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80010</wp:posOffset>
            </wp:positionV>
            <wp:extent cx="208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26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86360</wp:posOffset>
            </wp:positionV>
            <wp:extent cx="2081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1530" cy="8255"/>
                    </a:xfrm>
                    <a:prstGeom prst="rect">
                      <a:avLst/>
                    </a:prstGeom>
                    <a:noFill/>
                  </pic:spPr>
                </pic:pic>
              </a:graphicData>
            </a:graphic>
          </wp:anchor>
        </w:drawing>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63" w:lineRule="exact"/>
        <w:rPr>
          <w:sz w:val="24"/>
          <w:szCs w:val="24"/>
          <w:color w:val="auto"/>
        </w:rPr>
      </w:pPr>
    </w:p>
    <w:p>
      <w:pPr>
        <w:ind w:left="580" w:hanging="378"/>
        <w:spacing w:after="0"/>
        <w:tabs>
          <w:tab w:leader="none" w:pos="5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 xml:space="preserve">For the quarter ended </w:t>
      </w:r>
      <w:r>
        <w:rPr>
          <w:rFonts w:ascii="Times New Roman" w:cs="Times New Roman" w:eastAsia="Times New Roman" w:hAnsi="Times New Roman"/>
          <w:sz w:val="17"/>
          <w:szCs w:val="17"/>
          <w:color w:val="auto"/>
        </w:rPr>
        <w:t>March 31, 2024</w:t>
      </w:r>
    </w:p>
    <w:p>
      <w:pPr>
        <w:spacing w:after="0" w:line="5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OR</w:t>
      </w:r>
    </w:p>
    <w:p>
      <w:pPr>
        <w:ind w:left="620" w:hanging="418"/>
        <w:spacing w:after="0" w:line="236" w:lineRule="auto"/>
        <w:tabs>
          <w:tab w:leader="none" w:pos="620" w:val="left"/>
        </w:tabs>
        <w:numPr>
          <w:ilvl w:val="0"/>
          <w:numId w:val="2"/>
        </w:numPr>
        <w:rPr>
          <w:rFonts w:ascii="MS PGothic" w:cs="MS PGothic" w:eastAsia="MS PGothic" w:hAnsi="MS PGothic"/>
          <w:sz w:val="35"/>
          <w:szCs w:val="35"/>
          <w:color w:val="auto"/>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7" w:lineRule="exact"/>
        <w:rPr>
          <w:sz w:val="24"/>
          <w:szCs w:val="24"/>
          <w:color w:val="auto"/>
        </w:rPr>
      </w:pPr>
    </w:p>
    <w:p>
      <w:pPr>
        <w:jc w:val="center"/>
        <w:ind w:right="-119"/>
        <w:spacing w:after="0"/>
        <w:tabs>
          <w:tab w:leader="none" w:pos="140" w:val="left"/>
        </w:tabs>
        <w:rPr>
          <w:sz w:val="20"/>
          <w:szCs w:val="20"/>
          <w:color w:val="auto"/>
        </w:rPr>
      </w:pPr>
      <w:r>
        <w:rPr>
          <w:rFonts w:ascii="Times New Roman" w:cs="Times New Roman" w:eastAsia="Times New Roman" w:hAnsi="Times New Roman"/>
          <w:sz w:val="17"/>
          <w:szCs w:val="17"/>
          <w:b w:val="1"/>
          <w:bCs w:val="1"/>
          <w:color w:val="auto"/>
        </w:rPr>
        <w:t>For the transition period from</w:t>
        <w:tab/>
        <w:t>to</w:t>
      </w:r>
    </w:p>
    <w:p>
      <w:pPr>
        <w:spacing w:after="0" w:line="28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1443990</wp:posOffset>
            </wp:positionH>
            <wp:positionV relativeFrom="paragraph">
              <wp:posOffset>230505</wp:posOffset>
            </wp:positionV>
            <wp:extent cx="42551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51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5"/>
          <w:szCs w:val="35"/>
          <w:b w:val="1"/>
          <w:bCs w:val="1"/>
          <w:color w:val="auto"/>
        </w:rPr>
        <w:t>SPRINGBIG HOLDINGS, INC.</w:t>
      </w:r>
    </w:p>
    <w:p>
      <w:pPr>
        <w:spacing w:after="0" w:line="1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(Exact name of registrant as specified in its charter)</w:t>
      </w:r>
    </w:p>
    <w:p>
      <w:pPr>
        <w:spacing w:after="0" w:line="198"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3100" w:type="dxa"/>
            <w:vAlign w:val="bottom"/>
            <w:tcBorders>
              <w:bottom w:val="single" w:sz="8" w:color="auto"/>
            </w:tcBorders>
          </w:tcPr>
          <w:p>
            <w:pPr>
              <w:jc w:val="center"/>
              <w:ind w:left="233"/>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tcPr>
          <w:p>
            <w:pPr>
              <w:jc w:val="right"/>
              <w:ind w:right="1373"/>
              <w:spacing w:after="0"/>
              <w:rPr>
                <w:sz w:val="20"/>
                <w:szCs w:val="20"/>
                <w:color w:val="auto"/>
              </w:rPr>
            </w:pPr>
            <w:r>
              <w:rPr>
                <w:rFonts w:ascii="Times New Roman" w:cs="Times New Roman" w:eastAsia="Times New Roman" w:hAnsi="Times New Roman"/>
                <w:sz w:val="17"/>
                <w:szCs w:val="17"/>
                <w:b w:val="1"/>
                <w:bCs w:val="1"/>
                <w:color w:val="auto"/>
              </w:rPr>
              <w:t>88-2789488</w:t>
            </w:r>
          </w:p>
        </w:tc>
      </w:tr>
      <w:tr>
        <w:trPr>
          <w:trHeight w:val="221"/>
        </w:trPr>
        <w:tc>
          <w:tcPr>
            <w:tcW w:w="34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552"/>
        </w:trPr>
        <w:tc>
          <w:tcPr>
            <w:tcW w:w="310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621 NW 53rd Street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23"/>
        </w:trPr>
        <w:tc>
          <w:tcPr>
            <w:tcW w:w="3100" w:type="dxa"/>
            <w:vAlign w:val="bottom"/>
          </w:tcPr>
          <w:p>
            <w:pPr>
              <w:jc w:val="center"/>
              <w:ind w:left="1393"/>
              <w:spacing w:after="0"/>
              <w:rPr>
                <w:sz w:val="20"/>
                <w:szCs w:val="20"/>
                <w:color w:val="auto"/>
              </w:rPr>
            </w:pPr>
            <w:r>
              <w:rPr>
                <w:rFonts w:ascii="Times New Roman" w:cs="Times New Roman" w:eastAsia="Times New Roman" w:hAnsi="Times New Roman"/>
                <w:sz w:val="17"/>
                <w:szCs w:val="17"/>
                <w:b w:val="1"/>
                <w:bCs w:val="1"/>
                <w:color w:val="auto"/>
              </w:rPr>
              <w:t>Ste. 500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25"/>
        </w:trPr>
        <w:tc>
          <w:tcPr>
            <w:tcW w:w="310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rPr>
              <w:t>Boca Raton,</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Florida</w:t>
            </w:r>
          </w:p>
        </w:tc>
        <w:tc>
          <w:tcPr>
            <w:tcW w:w="3420" w:type="dxa"/>
            <w:vAlign w:val="bottom"/>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33487</w:t>
            </w:r>
          </w:p>
        </w:tc>
      </w:tr>
      <w:tr>
        <w:trPr>
          <w:trHeight w:val="228"/>
        </w:trPr>
        <w:tc>
          <w:tcPr>
            <w:tcW w:w="3980" w:type="dxa"/>
            <w:vAlign w:val="bottom"/>
            <w:gridSpan w:val="4"/>
          </w:tcPr>
          <w:p>
            <w:pPr>
              <w:jc w:val="center"/>
              <w:ind w:left="51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420" w:type="dxa"/>
            <w:vAlign w:val="bottom"/>
          </w:tcPr>
          <w:p>
            <w:pPr>
              <w:jc w:val="center"/>
              <w:ind w:left="87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3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Registrant’s telephone number, including area code (800) 772-9172</w:t>
      </w:r>
    </w:p>
    <w:p>
      <w:pPr>
        <w:spacing w:after="0" w:line="26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140"/>
          </w:cols>
          <w:pgMar w:left="320" w:top="475" w:right="439" w:bottom="1440" w:gutter="0" w:footer="0" w:header="0"/>
        </w:sectPr>
      </w:pPr>
    </w:p>
    <w:p>
      <w:pPr>
        <w:spacing w:after="0" w:line="157"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30143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434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-225425</wp:posOffset>
            </wp:positionH>
            <wp:positionV relativeFrom="paragraph">
              <wp:posOffset>22225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-303530</wp:posOffset>
            </wp:positionH>
            <wp:positionV relativeFrom="paragraph">
              <wp:posOffset>22225</wp:posOffset>
            </wp:positionV>
            <wp:extent cx="2672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72715" cy="82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3">
            <w:col w:w="4480" w:space="720"/>
            <w:col w:w="1580" w:space="720"/>
            <w:col w:w="3640"/>
          </w:cols>
          <w:pgMar w:left="320" w:top="475" w:right="4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None</w:t>
      </w:r>
    </w:p>
    <w:p>
      <w:pPr>
        <w:spacing w:after="0" w:line="390" w:lineRule="exact"/>
        <w:rPr>
          <w:sz w:val="24"/>
          <w:szCs w:val="24"/>
          <w:color w:val="auto"/>
        </w:rPr>
      </w:pPr>
    </w:p>
    <w:p>
      <w:pPr>
        <w:ind w:right="100"/>
        <w:spacing w:after="0" w:line="34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3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640715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47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38" w:lineRule="exact"/>
        <w:rPr>
          <w:sz w:val="20"/>
          <w:szCs w:val="20"/>
          <w:color w:val="auto"/>
        </w:rPr>
      </w:pPr>
    </w:p>
    <w:p>
      <w:pPr>
        <w:spacing w:after="0" w:line="3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0"/>
          <w:szCs w:val="20"/>
          <w:color w:val="auto"/>
        </w:rPr>
      </w:pPr>
    </w:p>
    <w:tbl>
      <w:tblPr>
        <w:tblLayout w:type="fixed"/>
        <w:tblInd w:w="2180" w:type="dxa"/>
        <w:tblCellMar>
          <w:top w:w="0" w:type="dxa"/>
          <w:left w:w="0" w:type="dxa"/>
          <w:bottom w:w="0" w:type="dxa"/>
          <w:right w:w="0" w:type="dxa"/>
        </w:tblCellMar>
      </w:tblPr>
      <w:tr>
        <w:trPr>
          <w:trHeight w:val="196"/>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60" w:type="dxa"/>
            <w:vAlign w:val="bottom"/>
          </w:tcPr>
          <w:p>
            <w:pPr>
              <w:spacing w:after="0"/>
              <w:rPr>
                <w:sz w:val="17"/>
                <w:szCs w:val="17"/>
                <w:color w:val="auto"/>
              </w:rPr>
            </w:pP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Accelerated filer</w:t>
            </w:r>
          </w:p>
        </w:tc>
        <w:tc>
          <w:tcPr>
            <w:tcW w:w="860" w:type="dxa"/>
            <w:vAlign w:val="bottom"/>
          </w:tcPr>
          <w:p>
            <w:pPr>
              <w:spacing w:after="0"/>
              <w:rPr>
                <w:sz w:val="17"/>
                <w:szCs w:val="17"/>
                <w:color w:val="auto"/>
              </w:rPr>
            </w:pPr>
          </w:p>
        </w:tc>
      </w:tr>
      <w:tr>
        <w:trPr>
          <w:trHeight w:val="27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60" w:type="dxa"/>
            <w:vAlign w:val="bottom"/>
          </w:tcPr>
          <w:p>
            <w:pPr>
              <w:ind w:left="72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62"/>
        </w:trPr>
        <w:tc>
          <w:tcPr>
            <w:tcW w:w="1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Emerging growth company</w:t>
            </w:r>
          </w:p>
        </w:tc>
        <w:tc>
          <w:tcPr>
            <w:tcW w:w="860" w:type="dxa"/>
            <w:vAlign w:val="bottom"/>
          </w:tcPr>
          <w:p>
            <w:pPr>
              <w:ind w:left="7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333"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3" w:lineRule="exact"/>
        <w:rPr>
          <w:sz w:val="20"/>
          <w:szCs w:val="20"/>
          <w:color w:val="auto"/>
        </w:rPr>
      </w:pPr>
    </w:p>
    <w:p>
      <w:pPr>
        <w:spacing w:after="0"/>
        <w:tabs>
          <w:tab w:leader="none" w:pos="5920" w:val="left"/>
          <w:tab w:leader="none" w:pos="6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Yes</w:t>
        <w:tab/>
        <w:t>No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14, 2024, there were 45,594,864 shares of common stock,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1264920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161925</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SPRINGBIG,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c>
          <w:tcPr>
            <w:tcW w:w="40" w:type="dxa"/>
            <w:vAlign w:val="bottom"/>
            <w:tcBorders>
              <w:left w:val="single" w:sz="8" w:color="CCEEFF"/>
            </w:tcBorders>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40" w:type="dxa"/>
            <w:vAlign w:val="bottom"/>
            <w:gridSpan w:val="6"/>
          </w:tcPr>
          <w:p>
            <w:pPr>
              <w:jc w:val="center"/>
              <w:ind w:right="1960"/>
              <w:spacing w:after="0"/>
              <w:rPr>
                <w:sz w:val="20"/>
                <w:szCs w:val="20"/>
                <w:color w:val="auto"/>
              </w:rPr>
            </w:pPr>
            <w:r>
              <w:rPr>
                <w:rFonts w:ascii="Times New Roman" w:cs="Times New Roman" w:eastAsia="Times New Roman" w:hAnsi="Times New Roman"/>
                <w:sz w:val="16"/>
                <w:szCs w:val="16"/>
                <w:b w:val="1"/>
                <w:bCs w:val="1"/>
                <w:color w:val="auto"/>
                <w:w w:val="98"/>
              </w:rPr>
              <w:t>Part I – Financial Information</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40" w:type="dxa"/>
            <w:vAlign w:val="bottom"/>
          </w:tcPr>
          <w:p>
            <w:pPr>
              <w:spacing w:after="0"/>
              <w:rPr>
                <w:sz w:val="16"/>
                <w:szCs w:val="16"/>
                <w:color w:val="auto"/>
              </w:rPr>
            </w:pPr>
          </w:p>
        </w:tc>
        <w:tc>
          <w:tcPr>
            <w:tcW w:w="7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auto"/>
              </w:rPr>
              <w:t>Item 1.</w:t>
            </w:r>
          </w:p>
        </w:tc>
        <w:tc>
          <w:tcPr>
            <w:tcW w:w="200" w:type="dxa"/>
            <w:vAlign w:val="bottom"/>
            <w:shd w:val="clear" w:color="auto" w:fill="CCEEFF"/>
          </w:tcPr>
          <w:p>
            <w:pPr>
              <w:spacing w:after="0"/>
              <w:rPr>
                <w:sz w:val="16"/>
                <w:szCs w:val="16"/>
                <w:color w:val="auto"/>
              </w:rPr>
            </w:pPr>
          </w:p>
        </w:tc>
        <w:tc>
          <w:tcPr>
            <w:tcW w:w="7760" w:type="dxa"/>
            <w:vAlign w:val="bottom"/>
            <w:gridSpan w:val="15"/>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2420" w:type="dxa"/>
            <w:vAlign w:val="bottom"/>
            <w:gridSpan w:val="3"/>
            <w:shd w:val="clear" w:color="auto" w:fill="CCEEFF"/>
          </w:tcPr>
          <w:p>
            <w:pPr>
              <w:jc w:val="right"/>
              <w:spacing w:after="0" w:line="152" w:lineRule="exact"/>
              <w:rPr>
                <w:sz w:val="20"/>
                <w:szCs w:val="20"/>
                <w:color w:val="auto"/>
              </w:rPr>
            </w:pPr>
            <w:r>
              <w:rPr>
                <w:rFonts w:ascii="Times New Roman" w:cs="Times New Roman" w:eastAsia="Times New Roman" w:hAnsi="Times New Roman"/>
                <w:sz w:val="16"/>
                <w:szCs w:val="16"/>
                <w:color w:val="0000FF"/>
              </w:rPr>
              <w:t>1</w:t>
            </w:r>
          </w:p>
        </w:tc>
        <w:tc>
          <w:tcPr>
            <w:tcW w:w="40" w:type="dxa"/>
            <w:vAlign w:val="bottom"/>
            <w:tcBorders>
              <w:left w:val="single" w:sz="8" w:color="CCEEFF"/>
            </w:tcBorders>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500" w:type="dxa"/>
            <w:vAlign w:val="bottom"/>
            <w:tcBorders>
              <w:bottom w:val="single" w:sz="8" w:color="0000FF"/>
            </w:tcBorders>
            <w:gridSpan w:val="12"/>
          </w:tcPr>
          <w:p>
            <w:pPr>
              <w:spacing w:after="0" w:line="163" w:lineRule="exact"/>
              <w:rPr>
                <w:sz w:val="20"/>
                <w:szCs w:val="20"/>
                <w:color w:val="auto"/>
              </w:rPr>
            </w:pPr>
            <w:r>
              <w:rPr>
                <w:rFonts w:ascii="Times New Roman" w:cs="Times New Roman" w:eastAsia="Times New Roman" w:hAnsi="Times New Roman"/>
                <w:sz w:val="16"/>
                <w:szCs w:val="16"/>
                <w:color w:val="0000FF"/>
                <w:w w:val="98"/>
              </w:rPr>
              <w:t>Condensed Consolidated Balance Sheets as of March 31, 2024 and December 31, 2023</w:t>
            </w:r>
          </w:p>
        </w:tc>
        <w:tc>
          <w:tcPr>
            <w:tcW w:w="2260" w:type="dxa"/>
            <w:vAlign w:val="bottom"/>
            <w:gridSpan w:val="3"/>
          </w:tcPr>
          <w:p>
            <w:pPr>
              <w:spacing w:after="0"/>
              <w:rPr>
                <w:sz w:val="15"/>
                <w:szCs w:val="15"/>
                <w:color w:val="auto"/>
              </w:rPr>
            </w:pPr>
          </w:p>
        </w:tc>
        <w:tc>
          <w:tcPr>
            <w:tcW w:w="2340" w:type="dxa"/>
            <w:vAlign w:val="bottom"/>
            <w:gridSpan w:val="2"/>
          </w:tcPr>
          <w:p>
            <w:pPr>
              <w:spacing w:after="0"/>
              <w:rPr>
                <w:sz w:val="15"/>
                <w:szCs w:val="15"/>
                <w:color w:val="auto"/>
              </w:rPr>
            </w:pPr>
          </w:p>
        </w:tc>
        <w:tc>
          <w:tcPr>
            <w:tcW w:w="80" w:type="dxa"/>
            <w:vAlign w:val="bottom"/>
            <w:tcBorders>
              <w:bottom w:val="single" w:sz="8" w:color="0000FF"/>
            </w:tcBorders>
          </w:tcPr>
          <w:p>
            <w:pPr>
              <w:jc w:val="right"/>
              <w:spacing w:after="0" w:line="163" w:lineRule="exact"/>
              <w:rPr>
                <w:sz w:val="20"/>
                <w:szCs w:val="20"/>
                <w:color w:val="auto"/>
              </w:rPr>
            </w:pPr>
            <w:r>
              <w:rPr>
                <w:rFonts w:ascii="Times New Roman" w:cs="Times New Roman" w:eastAsia="Times New Roman" w:hAnsi="Times New Roman"/>
                <w:sz w:val="16"/>
                <w:szCs w:val="16"/>
                <w:color w:val="0000FF"/>
                <w:w w:val="74"/>
              </w:rPr>
              <w:t>1</w:t>
            </w:r>
          </w:p>
        </w:tc>
        <w:tc>
          <w:tcPr>
            <w:tcW w:w="40" w:type="dxa"/>
            <w:vAlign w:val="bottom"/>
          </w:tcPr>
          <w:p>
            <w:pPr>
              <w:spacing w:after="0"/>
              <w:rPr>
                <w:sz w:val="15"/>
                <w:szCs w:val="15"/>
                <w:color w:val="auto"/>
              </w:rPr>
            </w:pPr>
          </w:p>
        </w:tc>
      </w:tr>
      <w:tr>
        <w:trPr>
          <w:trHeight w:val="193"/>
        </w:trPr>
        <w:tc>
          <w:tcPr>
            <w:tcW w:w="40" w:type="dxa"/>
            <w:vAlign w:val="bottom"/>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760" w:type="dxa"/>
            <w:vAlign w:val="bottom"/>
            <w:gridSpan w:val="15"/>
            <w:shd w:val="clear" w:color="auto" w:fill="CCEEFF"/>
          </w:tcPr>
          <w:p>
            <w:pPr>
              <w:spacing w:after="0" w:line="194" w:lineRule="exact"/>
              <w:rPr>
                <w:sz w:val="20"/>
                <w:szCs w:val="20"/>
                <w:color w:val="auto"/>
              </w:rPr>
            </w:pPr>
            <w:r>
              <w:rPr>
                <w:rFonts w:ascii="Times New Roman" w:cs="Times New Roman" w:eastAsia="Times New Roman" w:hAnsi="Times New Roman"/>
                <w:sz w:val="16"/>
                <w:szCs w:val="16"/>
                <w:color w:val="0000FF"/>
              </w:rPr>
              <w:t xml:space="preserve">Condensed Consolidated Statements of Operations for the three months </w:t>
            </w:r>
            <w:r>
              <w:rPr>
                <w:rFonts w:ascii="Times New Roman" w:cs="Times New Roman" w:eastAsia="Times New Roman" w:hAnsi="Times New Roman"/>
                <w:sz w:val="17"/>
                <w:szCs w:val="17"/>
                <w:color w:val="0000FF"/>
              </w:rPr>
              <w:t>ended</w:t>
            </w:r>
            <w:r>
              <w:rPr>
                <w:rFonts w:ascii="Times New Roman" w:cs="Times New Roman" w:eastAsia="Times New Roman" w:hAnsi="Times New Roman"/>
                <w:sz w:val="16"/>
                <w:szCs w:val="16"/>
                <w:color w:val="0000FF"/>
              </w:rPr>
              <w:t xml:space="preserve"> March 31, 2024 and 2023</w:t>
            </w:r>
          </w:p>
        </w:tc>
        <w:tc>
          <w:tcPr>
            <w:tcW w:w="2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0000FF"/>
              </w:rPr>
              <w:t>2</w:t>
            </w:r>
          </w:p>
        </w:tc>
        <w:tc>
          <w:tcPr>
            <w:tcW w:w="40" w:type="dxa"/>
            <w:vAlign w:val="bottom"/>
            <w:tcBorders>
              <w:left w:val="single" w:sz="8" w:color="CCEEFF"/>
            </w:tcBorders>
          </w:tcPr>
          <w:p>
            <w:pPr>
              <w:spacing w:after="0"/>
              <w:rPr>
                <w:sz w:val="16"/>
                <w:szCs w:val="16"/>
                <w:color w:val="auto"/>
              </w:rPr>
            </w:pPr>
          </w:p>
        </w:tc>
      </w:tr>
      <w:tr>
        <w:trPr>
          <w:trHeight w:val="39"/>
        </w:trPr>
        <w:tc>
          <w:tcPr>
            <w:tcW w:w="40" w:type="dxa"/>
            <w:vAlign w:val="bottom"/>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7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0" w:type="dxa"/>
            <w:vAlign w:val="bottom"/>
            <w:tcBorders>
              <w:left w:val="single" w:sz="8" w:color="CCEEFF"/>
            </w:tcBorders>
          </w:tcPr>
          <w:p>
            <w:pPr>
              <w:spacing w:after="0"/>
              <w:rPr>
                <w:sz w:val="3"/>
                <w:szCs w:val="3"/>
                <w:color w:val="auto"/>
              </w:rPr>
            </w:pPr>
          </w:p>
        </w:tc>
      </w:tr>
      <w:tr>
        <w:trPr>
          <w:trHeight w:val="190"/>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760" w:type="dxa"/>
            <w:vAlign w:val="bottom"/>
            <w:tcBorders>
              <w:bottom w:val="single" w:sz="8" w:color="0000FF"/>
            </w:tcBorders>
            <w:gridSpan w:val="15"/>
          </w:tcPr>
          <w:p>
            <w:pPr>
              <w:spacing w:after="0" w:line="151" w:lineRule="exact"/>
              <w:rPr>
                <w:sz w:val="20"/>
                <w:szCs w:val="20"/>
                <w:color w:val="auto"/>
              </w:rPr>
            </w:pPr>
            <w:r>
              <w:rPr>
                <w:rFonts w:ascii="Times New Roman" w:cs="Times New Roman" w:eastAsia="Times New Roman" w:hAnsi="Times New Roman"/>
                <w:sz w:val="16"/>
                <w:szCs w:val="16"/>
                <w:color w:val="0000FF"/>
                <w:w w:val="98"/>
              </w:rPr>
              <w:t>Condensed Consolidated Statements of Changes in Stockholder’s Deficit for three months ended March 31, 2024 and 2023</w:t>
            </w:r>
          </w:p>
        </w:tc>
        <w:tc>
          <w:tcPr>
            <w:tcW w:w="2340" w:type="dxa"/>
            <w:vAlign w:val="bottom"/>
            <w:gridSpan w:val="2"/>
          </w:tcPr>
          <w:p>
            <w:pPr>
              <w:spacing w:after="0"/>
              <w:rPr>
                <w:sz w:val="16"/>
                <w:szCs w:val="16"/>
                <w:color w:val="auto"/>
              </w:rPr>
            </w:pPr>
          </w:p>
        </w:tc>
        <w:tc>
          <w:tcPr>
            <w:tcW w:w="80" w:type="dxa"/>
            <w:vAlign w:val="bottom"/>
            <w:tcBorders>
              <w:bottom w:val="single" w:sz="8" w:color="0000FF"/>
            </w:tcBorders>
          </w:tcPr>
          <w:p>
            <w:pPr>
              <w:jc w:val="right"/>
              <w:spacing w:after="0" w:line="171" w:lineRule="exact"/>
              <w:rPr>
                <w:sz w:val="20"/>
                <w:szCs w:val="20"/>
                <w:color w:val="auto"/>
              </w:rPr>
            </w:pPr>
            <w:r>
              <w:rPr>
                <w:rFonts w:ascii="Times New Roman" w:cs="Times New Roman" w:eastAsia="Times New Roman" w:hAnsi="Times New Roman"/>
                <w:sz w:val="16"/>
                <w:szCs w:val="16"/>
                <w:color w:val="0000FF"/>
                <w:w w:val="74"/>
              </w:rPr>
              <w:t>3</w:t>
            </w:r>
          </w:p>
        </w:tc>
        <w:tc>
          <w:tcPr>
            <w:tcW w:w="40" w:type="dxa"/>
            <w:vAlign w:val="bottom"/>
          </w:tcPr>
          <w:p>
            <w:pPr>
              <w:spacing w:after="0"/>
              <w:rPr>
                <w:sz w:val="16"/>
                <w:szCs w:val="16"/>
                <w:color w:val="auto"/>
              </w:rPr>
            </w:pPr>
          </w:p>
        </w:tc>
      </w:tr>
      <w:tr>
        <w:trPr>
          <w:trHeight w:val="202"/>
        </w:trPr>
        <w:tc>
          <w:tcPr>
            <w:tcW w:w="4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640" w:type="dxa"/>
            <w:vAlign w:val="bottom"/>
            <w:tcBorders>
              <w:bottom w:val="single" w:sz="8" w:color="0000FF"/>
            </w:tcBorders>
            <w:gridSpan w:val="14"/>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0000FF"/>
                <w:w w:val="98"/>
              </w:rPr>
              <w:t>Condensed Consolidated Statements of Cash Flows for the three months ended March 31, 2024 and 2023</w:t>
            </w:r>
          </w:p>
        </w:tc>
        <w:tc>
          <w:tcPr>
            <w:tcW w:w="112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0000FF"/>
                <w:w w:val="74"/>
              </w:rPr>
              <w:t>5</w:t>
            </w:r>
          </w:p>
        </w:tc>
        <w:tc>
          <w:tcPr>
            <w:tcW w:w="40" w:type="dxa"/>
            <w:vAlign w:val="bottom"/>
            <w:tcBorders>
              <w:left w:val="single" w:sz="8" w:color="CCEEFF"/>
            </w:tcBorders>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760" w:type="dxa"/>
            <w:vAlign w:val="bottom"/>
            <w:gridSpan w:val="15"/>
          </w:tcPr>
          <w:p>
            <w:pPr>
              <w:spacing w:after="0" w:line="171" w:lineRule="exact"/>
              <w:rPr>
                <w:sz w:val="20"/>
                <w:szCs w:val="20"/>
                <w:color w:val="auto"/>
              </w:rPr>
            </w:pPr>
            <w:r>
              <w:rPr>
                <w:rFonts w:ascii="Times New Roman" w:cs="Times New Roman" w:eastAsia="Times New Roman" w:hAnsi="Times New Roman"/>
                <w:sz w:val="16"/>
                <w:szCs w:val="16"/>
                <w:color w:val="0000FF"/>
              </w:rPr>
              <w:t>Notes to the Condensed Consolidated Financial Statements</w:t>
            </w:r>
          </w:p>
        </w:tc>
        <w:tc>
          <w:tcPr>
            <w:tcW w:w="242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FF"/>
              </w:rPr>
              <w:t>6</w:t>
            </w:r>
          </w:p>
        </w:tc>
        <w:tc>
          <w:tcPr>
            <w:tcW w:w="40" w:type="dxa"/>
            <w:vAlign w:val="bottom"/>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r>
      <w:tr>
        <w:trPr>
          <w:trHeight w:val="199"/>
        </w:trPr>
        <w:tc>
          <w:tcPr>
            <w:tcW w:w="4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Item 2.</w:t>
            </w:r>
          </w:p>
        </w:tc>
        <w:tc>
          <w:tcPr>
            <w:tcW w:w="200" w:type="dxa"/>
            <w:vAlign w:val="bottom"/>
            <w:tcBorders>
              <w:bottom w:val="single" w:sz="8" w:color="CCEEFF"/>
            </w:tcBorders>
            <w:shd w:val="clear" w:color="auto" w:fill="CCEEFF"/>
          </w:tcPr>
          <w:p>
            <w:pPr>
              <w:spacing w:after="0"/>
              <w:rPr>
                <w:sz w:val="17"/>
                <w:szCs w:val="17"/>
                <w:color w:val="auto"/>
              </w:rPr>
            </w:pPr>
          </w:p>
        </w:tc>
        <w:tc>
          <w:tcPr>
            <w:tcW w:w="5660" w:type="dxa"/>
            <w:vAlign w:val="bottom"/>
            <w:tcBorders>
              <w:bottom w:val="single" w:sz="8" w:color="0000FF"/>
            </w:tcBorders>
            <w:gridSpan w:val="13"/>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98"/>
              </w:rPr>
              <w:t>Management’s Discussion and Analysis of Financial Condition and Results of Operations</w:t>
            </w:r>
          </w:p>
        </w:tc>
        <w:tc>
          <w:tcPr>
            <w:tcW w:w="2100" w:type="dxa"/>
            <w:vAlign w:val="bottom"/>
            <w:tcBorders>
              <w:bottom w:val="single" w:sz="8" w:color="CCEEFF"/>
            </w:tcBorders>
            <w:gridSpan w:val="2"/>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0000FF"/>
                <w:w w:val="87"/>
              </w:rPr>
              <w:t>25</w:t>
            </w:r>
          </w:p>
        </w:tc>
        <w:tc>
          <w:tcPr>
            <w:tcW w:w="40" w:type="dxa"/>
            <w:vAlign w:val="bottom"/>
            <w:tcBorders>
              <w:left w:val="single" w:sz="8" w:color="CCEEFF"/>
            </w:tcBorders>
          </w:tcPr>
          <w:p>
            <w:pPr>
              <w:spacing w:after="0"/>
              <w:rPr>
                <w:sz w:val="17"/>
                <w:szCs w:val="17"/>
                <w:color w:val="auto"/>
              </w:rPr>
            </w:pPr>
          </w:p>
        </w:tc>
      </w:tr>
      <w:tr>
        <w:trPr>
          <w:trHeight w:val="180"/>
        </w:trPr>
        <w:tc>
          <w:tcPr>
            <w:tcW w:w="40" w:type="dxa"/>
            <w:vAlign w:val="bottom"/>
          </w:tcPr>
          <w:p>
            <w:pPr>
              <w:spacing w:after="0"/>
              <w:rPr>
                <w:sz w:val="15"/>
                <w:szCs w:val="15"/>
                <w:color w:val="auto"/>
              </w:rPr>
            </w:pPr>
          </w:p>
        </w:tc>
        <w:tc>
          <w:tcPr>
            <w:tcW w:w="7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Item 3.</w:t>
            </w:r>
          </w:p>
        </w:tc>
        <w:tc>
          <w:tcPr>
            <w:tcW w:w="200" w:type="dxa"/>
            <w:vAlign w:val="bottom"/>
          </w:tcPr>
          <w:p>
            <w:pPr>
              <w:spacing w:after="0"/>
              <w:rPr>
                <w:sz w:val="15"/>
                <w:szCs w:val="15"/>
                <w:color w:val="auto"/>
              </w:rPr>
            </w:pPr>
          </w:p>
        </w:tc>
        <w:tc>
          <w:tcPr>
            <w:tcW w:w="3760" w:type="dxa"/>
            <w:vAlign w:val="bottom"/>
            <w:tcBorders>
              <w:bottom w:val="single" w:sz="8" w:color="0000FF"/>
            </w:tcBorders>
            <w:gridSpan w:val="10"/>
          </w:tcPr>
          <w:p>
            <w:pPr>
              <w:spacing w:after="0" w:line="171" w:lineRule="exact"/>
              <w:rPr>
                <w:sz w:val="20"/>
                <w:szCs w:val="20"/>
                <w:color w:val="auto"/>
              </w:rPr>
            </w:pPr>
            <w:r>
              <w:rPr>
                <w:rFonts w:ascii="Times New Roman" w:cs="Times New Roman" w:eastAsia="Times New Roman" w:hAnsi="Times New Roman"/>
                <w:sz w:val="16"/>
                <w:szCs w:val="16"/>
                <w:color w:val="0000FF"/>
                <w:w w:val="98"/>
              </w:rPr>
              <w:t>Quantitative and Qualitative Disclosure About Market Risk</w:t>
            </w:r>
          </w:p>
        </w:tc>
        <w:tc>
          <w:tcPr>
            <w:tcW w:w="4000" w:type="dxa"/>
            <w:vAlign w:val="bottom"/>
            <w:gridSpan w:val="5"/>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Item 4.</w:t>
            </w:r>
          </w:p>
        </w:tc>
        <w:tc>
          <w:tcPr>
            <w:tcW w:w="7960" w:type="dxa"/>
            <w:vAlign w:val="bottom"/>
            <w:gridSpan w:val="16"/>
            <w:shd w:val="clear" w:color="auto" w:fill="CCEEFF"/>
          </w:tcPr>
          <w:p>
            <w:pPr>
              <w:ind w:left="200"/>
              <w:spacing w:after="0" w:line="180" w:lineRule="exact"/>
              <w:rPr>
                <w:sz w:val="20"/>
                <w:szCs w:val="20"/>
                <w:color w:val="auto"/>
              </w:rPr>
            </w:pPr>
            <w:r>
              <w:rPr>
                <w:rFonts w:ascii="Times New Roman" w:cs="Times New Roman" w:eastAsia="Times New Roman" w:hAnsi="Times New Roman"/>
                <w:sz w:val="16"/>
                <w:szCs w:val="16"/>
                <w:color w:val="0000FF"/>
              </w:rPr>
              <w:t>Controls and Procedures</w:t>
            </w:r>
          </w:p>
        </w:tc>
        <w:tc>
          <w:tcPr>
            <w:tcW w:w="24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0000FF"/>
              </w:rPr>
              <w:t>30</w:t>
            </w:r>
          </w:p>
        </w:tc>
        <w:tc>
          <w:tcPr>
            <w:tcW w:w="40" w:type="dxa"/>
            <w:vAlign w:val="bottom"/>
            <w:tcBorders>
              <w:left w:val="single" w:sz="8" w:color="CCEEFF"/>
            </w:tcBorders>
          </w:tcPr>
          <w:p>
            <w:pPr>
              <w:spacing w:after="0"/>
              <w:rPr>
                <w:sz w:val="17"/>
                <w:szCs w:val="17"/>
                <w:color w:val="auto"/>
              </w:rPr>
            </w:pPr>
          </w:p>
        </w:tc>
      </w:tr>
      <w:tr>
        <w:trPr>
          <w:trHeight w:val="209"/>
        </w:trPr>
        <w:tc>
          <w:tcPr>
            <w:tcW w:w="40" w:type="dxa"/>
            <w:vAlign w:val="bottom"/>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gridSpan w:val="4"/>
          </w:tcPr>
          <w:p>
            <w:pPr>
              <w:jc w:val="center"/>
              <w:ind w:right="2040"/>
              <w:spacing w:after="0"/>
              <w:rPr>
                <w:sz w:val="20"/>
                <w:szCs w:val="20"/>
                <w:color w:val="auto"/>
              </w:rPr>
            </w:pPr>
            <w:r>
              <w:rPr>
                <w:rFonts w:ascii="Times New Roman" w:cs="Times New Roman" w:eastAsia="Times New Roman" w:hAnsi="Times New Roman"/>
                <w:sz w:val="16"/>
                <w:szCs w:val="16"/>
                <w:b w:val="1"/>
                <w:bCs w:val="1"/>
                <w:color w:val="auto"/>
                <w:w w:val="98"/>
              </w:rPr>
              <w:t>Part II – Other Information</w:t>
            </w:r>
          </w:p>
        </w:tc>
        <w:tc>
          <w:tcPr>
            <w:tcW w:w="22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r>
      <w:tr>
        <w:trPr>
          <w:trHeight w:val="191"/>
        </w:trPr>
        <w:tc>
          <w:tcPr>
            <w:tcW w:w="40" w:type="dxa"/>
            <w:vAlign w:val="bottom"/>
          </w:tcPr>
          <w:p>
            <w:pPr>
              <w:spacing w:after="0"/>
              <w:rPr>
                <w:sz w:val="16"/>
                <w:szCs w:val="16"/>
                <w:color w:val="auto"/>
              </w:rPr>
            </w:pPr>
          </w:p>
        </w:tc>
        <w:tc>
          <w:tcPr>
            <w:tcW w:w="780" w:type="dxa"/>
            <w:vAlign w:val="bottom"/>
            <w:tcBorders>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Item 1.</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0000FF"/>
            </w:tcBorders>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w w:val="97"/>
              </w:rPr>
              <w:t>Legal Proceedings</w:t>
            </w:r>
          </w:p>
        </w:tc>
        <w:tc>
          <w:tcPr>
            <w:tcW w:w="6580" w:type="dxa"/>
            <w:vAlign w:val="bottom"/>
            <w:tcBorders>
              <w:bottom w:val="single" w:sz="8" w:color="CCEEFF"/>
            </w:tcBorders>
            <w:gridSpan w:val="10"/>
            <w:shd w:val="clear" w:color="auto" w:fill="CCEEFF"/>
          </w:tcPr>
          <w:p>
            <w:pPr>
              <w:spacing w:after="0"/>
              <w:rPr>
                <w:sz w:val="16"/>
                <w:szCs w:val="16"/>
                <w:color w:val="auto"/>
              </w:rPr>
            </w:pPr>
          </w:p>
        </w:tc>
        <w:tc>
          <w:tcPr>
            <w:tcW w:w="2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FF"/>
            </w:tcBorders>
            <w:gridSpan w:val="2"/>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Borders>
              <w:left w:val="single" w:sz="8" w:color="CCEEFF"/>
            </w:tcBorders>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7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Item 1A.</w:t>
            </w:r>
          </w:p>
        </w:tc>
        <w:tc>
          <w:tcPr>
            <w:tcW w:w="200" w:type="dxa"/>
            <w:vAlign w:val="bottom"/>
          </w:tcPr>
          <w:p>
            <w:pPr>
              <w:spacing w:after="0"/>
              <w:rPr>
                <w:sz w:val="15"/>
                <w:szCs w:val="15"/>
                <w:color w:val="auto"/>
              </w:rPr>
            </w:pPr>
          </w:p>
        </w:tc>
        <w:tc>
          <w:tcPr>
            <w:tcW w:w="800" w:type="dxa"/>
            <w:vAlign w:val="bottom"/>
            <w:tcBorders>
              <w:bottom w:val="single" w:sz="8" w:color="0000FF"/>
            </w:tcBorders>
            <w:gridSpan w:val="3"/>
          </w:tcPr>
          <w:p>
            <w:pPr>
              <w:spacing w:after="0" w:line="171" w:lineRule="exact"/>
              <w:rPr>
                <w:sz w:val="20"/>
                <w:szCs w:val="20"/>
                <w:color w:val="auto"/>
              </w:rPr>
            </w:pPr>
            <w:r>
              <w:rPr>
                <w:rFonts w:ascii="Times New Roman" w:cs="Times New Roman" w:eastAsia="Times New Roman" w:hAnsi="Times New Roman"/>
                <w:sz w:val="16"/>
                <w:szCs w:val="16"/>
                <w:color w:val="0000FF"/>
                <w:w w:val="96"/>
              </w:rPr>
              <w:t>Risk Factors</w:t>
            </w:r>
          </w:p>
        </w:tc>
        <w:tc>
          <w:tcPr>
            <w:tcW w:w="6960" w:type="dxa"/>
            <w:vAlign w:val="bottom"/>
            <w:gridSpan w:val="12"/>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7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Item 2.</w:t>
            </w:r>
          </w:p>
        </w:tc>
        <w:tc>
          <w:tcPr>
            <w:tcW w:w="200" w:type="dxa"/>
            <w:vAlign w:val="bottom"/>
            <w:shd w:val="clear" w:color="auto" w:fill="CCEEFF"/>
          </w:tcPr>
          <w:p>
            <w:pPr>
              <w:spacing w:after="0"/>
              <w:rPr>
                <w:sz w:val="17"/>
                <w:szCs w:val="17"/>
                <w:color w:val="auto"/>
              </w:rPr>
            </w:pPr>
          </w:p>
        </w:tc>
        <w:tc>
          <w:tcPr>
            <w:tcW w:w="7760" w:type="dxa"/>
            <w:vAlign w:val="bottom"/>
            <w:gridSpan w:val="15"/>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4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0000FF"/>
              </w:rPr>
              <w:t>30</w:t>
            </w:r>
          </w:p>
        </w:tc>
        <w:tc>
          <w:tcPr>
            <w:tcW w:w="40" w:type="dxa"/>
            <w:vAlign w:val="bottom"/>
            <w:tcBorders>
              <w:left w:val="single" w:sz="8" w:color="CCEEFF"/>
            </w:tcBorders>
          </w:tcPr>
          <w:p>
            <w:pPr>
              <w:spacing w:after="0"/>
              <w:rPr>
                <w:sz w:val="17"/>
                <w:szCs w:val="17"/>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Item 3.</w:t>
            </w:r>
          </w:p>
        </w:tc>
        <w:tc>
          <w:tcPr>
            <w:tcW w:w="200" w:type="dxa"/>
            <w:vAlign w:val="bottom"/>
            <w:tcBorders>
              <w:top w:val="single" w:sz="8" w:color="CCEEFF"/>
            </w:tcBorders>
          </w:tcPr>
          <w:p>
            <w:pPr>
              <w:spacing w:after="0"/>
              <w:rPr>
                <w:sz w:val="15"/>
                <w:szCs w:val="15"/>
                <w:color w:val="auto"/>
              </w:rPr>
            </w:pPr>
          </w:p>
        </w:tc>
        <w:tc>
          <w:tcPr>
            <w:tcW w:w="2040" w:type="dxa"/>
            <w:vAlign w:val="bottom"/>
            <w:tcBorders>
              <w:top w:val="single" w:sz="8" w:color="0000FF"/>
              <w:bottom w:val="single" w:sz="8" w:color="0000FF"/>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FF"/>
                <w:w w:val="97"/>
              </w:rPr>
              <w:t>Defaults Upon Senior Securities</w:t>
            </w:r>
          </w:p>
        </w:tc>
        <w:tc>
          <w:tcPr>
            <w:tcW w:w="1760" w:type="dxa"/>
            <w:vAlign w:val="bottom"/>
            <w:tcBorders>
              <w:top w:val="single" w:sz="8" w:color="0000FF"/>
            </w:tcBorders>
            <w:gridSpan w:val="4"/>
          </w:tcPr>
          <w:p>
            <w:pPr>
              <w:spacing w:after="0"/>
              <w:rPr>
                <w:sz w:val="15"/>
                <w:szCs w:val="15"/>
                <w:color w:val="auto"/>
              </w:rPr>
            </w:pPr>
          </w:p>
        </w:tc>
        <w:tc>
          <w:tcPr>
            <w:tcW w:w="3960" w:type="dxa"/>
            <w:vAlign w:val="bottom"/>
            <w:tcBorders>
              <w:top w:val="single" w:sz="8" w:color="CCEEFF"/>
            </w:tcBorders>
            <w:gridSpan w:val="4"/>
          </w:tcPr>
          <w:p>
            <w:pPr>
              <w:spacing w:after="0"/>
              <w:rPr>
                <w:sz w:val="15"/>
                <w:szCs w:val="15"/>
                <w:color w:val="auto"/>
              </w:rPr>
            </w:pPr>
          </w:p>
        </w:tc>
        <w:tc>
          <w:tcPr>
            <w:tcW w:w="2260" w:type="dxa"/>
            <w:vAlign w:val="bottom"/>
            <w:tcBorders>
              <w:top w:val="single" w:sz="8" w:color="CCEEFF"/>
            </w:tcBorders>
          </w:tcPr>
          <w:p>
            <w:pPr>
              <w:spacing w:after="0"/>
              <w:rPr>
                <w:sz w:val="15"/>
                <w:szCs w:val="15"/>
                <w:color w:val="auto"/>
              </w:rPr>
            </w:pPr>
          </w:p>
        </w:tc>
        <w:tc>
          <w:tcPr>
            <w:tcW w:w="160" w:type="dxa"/>
            <w:vAlign w:val="bottom"/>
            <w:tcBorders>
              <w:top w:val="single" w:sz="8" w:color="0000FF"/>
              <w:bottom w:val="single" w:sz="8" w:color="0000FF"/>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Item 4.</w:t>
            </w:r>
          </w:p>
        </w:tc>
        <w:tc>
          <w:tcPr>
            <w:tcW w:w="2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FF"/>
            </w:tcBorders>
            <w:gridSpan w:val="6"/>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97"/>
              </w:rPr>
              <w:t>Mine Safety Disclosures</w:t>
            </w:r>
          </w:p>
        </w:tc>
        <w:tc>
          <w:tcPr>
            <w:tcW w:w="6200" w:type="dxa"/>
            <w:vAlign w:val="bottom"/>
            <w:tcBorders>
              <w:bottom w:val="single" w:sz="8" w:color="CCEEFF"/>
            </w:tcBorders>
            <w:gridSpan w:val="9"/>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Borders>
              <w:left w:val="single" w:sz="8" w:color="CCEEFF"/>
            </w:tcBorders>
          </w:tcPr>
          <w:p>
            <w:pPr>
              <w:spacing w:after="0"/>
              <w:rPr>
                <w:sz w:val="17"/>
                <w:szCs w:val="17"/>
                <w:color w:val="auto"/>
              </w:rPr>
            </w:pPr>
          </w:p>
        </w:tc>
      </w:tr>
      <w:tr>
        <w:trPr>
          <w:trHeight w:val="180"/>
        </w:trPr>
        <w:tc>
          <w:tcPr>
            <w:tcW w:w="40" w:type="dxa"/>
            <w:vAlign w:val="bottom"/>
          </w:tcPr>
          <w:p>
            <w:pPr>
              <w:spacing w:after="0"/>
              <w:rPr>
                <w:sz w:val="15"/>
                <w:szCs w:val="15"/>
                <w:color w:val="auto"/>
              </w:rPr>
            </w:pPr>
          </w:p>
        </w:tc>
        <w:tc>
          <w:tcPr>
            <w:tcW w:w="7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Item 5.</w:t>
            </w:r>
          </w:p>
        </w:tc>
        <w:tc>
          <w:tcPr>
            <w:tcW w:w="200" w:type="dxa"/>
            <w:vAlign w:val="bottom"/>
          </w:tcPr>
          <w:p>
            <w:pPr>
              <w:spacing w:after="0"/>
              <w:rPr>
                <w:sz w:val="15"/>
                <w:szCs w:val="15"/>
                <w:color w:val="auto"/>
              </w:rPr>
            </w:pPr>
          </w:p>
        </w:tc>
        <w:tc>
          <w:tcPr>
            <w:tcW w:w="1160" w:type="dxa"/>
            <w:vAlign w:val="bottom"/>
            <w:tcBorders>
              <w:bottom w:val="single" w:sz="8" w:color="0000FF"/>
            </w:tcBorders>
            <w:gridSpan w:val="4"/>
          </w:tcPr>
          <w:p>
            <w:pPr>
              <w:spacing w:after="0" w:line="171" w:lineRule="exact"/>
              <w:rPr>
                <w:sz w:val="20"/>
                <w:szCs w:val="20"/>
                <w:color w:val="auto"/>
              </w:rPr>
            </w:pPr>
            <w:r>
              <w:rPr>
                <w:rFonts w:ascii="Times New Roman" w:cs="Times New Roman" w:eastAsia="Times New Roman" w:hAnsi="Times New Roman"/>
                <w:sz w:val="16"/>
                <w:szCs w:val="16"/>
                <w:color w:val="0000FF"/>
                <w:w w:val="97"/>
              </w:rPr>
              <w:t>Other Information</w:t>
            </w:r>
          </w:p>
        </w:tc>
        <w:tc>
          <w:tcPr>
            <w:tcW w:w="6600" w:type="dxa"/>
            <w:vAlign w:val="bottom"/>
            <w:gridSpan w:val="11"/>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Borders>
              <w:bottom w:val="single" w:sz="8" w:color="0000FF"/>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0000FF"/>
                <w:w w:val="87"/>
              </w:rPr>
              <w:t>30</w:t>
            </w:r>
          </w:p>
        </w:tc>
        <w:tc>
          <w:tcPr>
            <w:tcW w:w="40" w:type="dxa"/>
            <w:vAlign w:val="bottom"/>
          </w:tcPr>
          <w:p>
            <w:pPr>
              <w:spacing w:after="0"/>
              <w:rPr>
                <w:sz w:val="15"/>
                <w:szCs w:val="15"/>
                <w:color w:val="auto"/>
              </w:rPr>
            </w:pPr>
          </w:p>
        </w:tc>
      </w:tr>
      <w:tr>
        <w:trPr>
          <w:trHeight w:val="199"/>
        </w:trPr>
        <w:tc>
          <w:tcPr>
            <w:tcW w:w="40" w:type="dxa"/>
            <w:vAlign w:val="bottom"/>
          </w:tcPr>
          <w:p>
            <w:pPr>
              <w:spacing w:after="0"/>
              <w:rPr>
                <w:sz w:val="17"/>
                <w:szCs w:val="17"/>
                <w:color w:val="auto"/>
              </w:rPr>
            </w:pPr>
          </w:p>
        </w:tc>
        <w:tc>
          <w:tcPr>
            <w:tcW w:w="7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Item 6.</w:t>
            </w: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0000FF"/>
                <w:w w:val="97"/>
              </w:rPr>
              <w:t>Exhibits</w:t>
            </w:r>
          </w:p>
        </w:tc>
        <w:tc>
          <w:tcPr>
            <w:tcW w:w="7220" w:type="dxa"/>
            <w:vAlign w:val="bottom"/>
            <w:tcBorders>
              <w:bottom w:val="single" w:sz="8" w:color="CCEEFF"/>
            </w:tcBorders>
            <w:gridSpan w:val="14"/>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0000FF"/>
                <w:w w:val="87"/>
              </w:rPr>
              <w:t>32</w:t>
            </w:r>
          </w:p>
        </w:tc>
        <w:tc>
          <w:tcPr>
            <w:tcW w:w="40" w:type="dxa"/>
            <w:vAlign w:val="bottom"/>
            <w:tcBorders>
              <w:left w:val="single" w:sz="8" w:color="CCEEFF"/>
            </w:tcBorders>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960" w:type="dxa"/>
            <w:vAlign w:val="bottom"/>
            <w:gridSpan w:val="16"/>
          </w:tcPr>
          <w:p>
            <w:pPr>
              <w:ind w:left="200"/>
              <w:spacing w:after="0" w:line="171" w:lineRule="exact"/>
              <w:rPr>
                <w:sz w:val="20"/>
                <w:szCs w:val="20"/>
                <w:color w:val="auto"/>
              </w:rPr>
            </w:pPr>
            <w:r>
              <w:rPr>
                <w:rFonts w:ascii="Times New Roman" w:cs="Times New Roman" w:eastAsia="Times New Roman" w:hAnsi="Times New Roman"/>
                <w:sz w:val="16"/>
                <w:szCs w:val="16"/>
                <w:color w:val="0000FF"/>
              </w:rPr>
              <w:t>Signatures</w:t>
            </w:r>
          </w:p>
        </w:tc>
        <w:tc>
          <w:tcPr>
            <w:tcW w:w="242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color w:val="0000FF"/>
              </w:rPr>
              <w:t>33</w:t>
            </w:r>
          </w:p>
        </w:tc>
        <w:tc>
          <w:tcPr>
            <w:tcW w:w="40" w:type="dxa"/>
            <w:vAlign w:val="bottom"/>
          </w:tcPr>
          <w:p>
            <w:pPr>
              <w:spacing w:after="0"/>
              <w:rPr>
                <w:sz w:val="14"/>
                <w:szCs w:val="14"/>
                <w:color w:val="auto"/>
              </w:rPr>
            </w:pPr>
          </w:p>
        </w:tc>
      </w:tr>
      <w:tr>
        <w:trPr>
          <w:trHeight w:val="1481"/>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1"/>
          <w:szCs w:val="21"/>
          <w:b w:val="1"/>
          <w:bCs w:val="1"/>
          <w:color w:val="auto"/>
        </w:rPr>
        <w:t>Part I – 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Forward Looking Statements</w:t>
      </w:r>
    </w:p>
    <w:p>
      <w:pPr>
        <w:spacing w:after="0" w:line="22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w:t>
      </w:r>
    </w:p>
    <w:p>
      <w:pPr>
        <w:spacing w:after="0" w:line="226" w:lineRule="auto"/>
        <w:rPr>
          <w:sz w:val="20"/>
          <w:szCs w:val="20"/>
          <w:color w:val="auto"/>
        </w:rPr>
      </w:pPr>
      <w:r>
        <w:rPr>
          <w:rFonts w:ascii="Times New Roman" w:cs="Times New Roman" w:eastAsia="Times New Roman" w:hAnsi="Times New Roman"/>
          <w:sz w:val="17"/>
          <w:szCs w:val="17"/>
          <w:color w:val="auto"/>
        </w:rPr>
        <w:t>"project," "plan," "intend," "believe," "may," "will," "should," "can have," "likely" and other words and terms of similar meaning in connection with any</w:t>
      </w:r>
    </w:p>
    <w:p>
      <w:pPr>
        <w:spacing w:after="0" w:line="217" w:lineRule="auto"/>
        <w:rPr>
          <w:sz w:val="20"/>
          <w:szCs w:val="20"/>
          <w:color w:val="auto"/>
        </w:rPr>
      </w:pPr>
      <w:r>
        <w:rPr>
          <w:rFonts w:ascii="Times New Roman" w:cs="Times New Roman" w:eastAsia="Times New Roman" w:hAnsi="Times New Roman"/>
          <w:sz w:val="17"/>
          <w:szCs w:val="17"/>
          <w:color w:val="auto"/>
        </w:rPr>
        <w:t>discussion of the timing or nature of future cash flows, operating or financial performance or other events. These forward looking statements are not historical facts, and are based on current expectations, estimates and projections about our industry and Company, management’s beliefs and certain assumptions made by</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revisions to the forward-looking statements made in this report.</w:t>
      </w:r>
    </w:p>
    <w:p>
      <w:pPr>
        <w:spacing w:after="0" w:line="2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7"/>
          <w:szCs w:val="17"/>
          <w:color w:val="auto"/>
        </w:rPr>
        <w:t>Factors that could cause our actual results and our financial condition to differ materially from those indicated in our forward looking statements include, but are not limited to, the following:</w:t>
      </w:r>
    </w:p>
    <w:p>
      <w:pPr>
        <w:spacing w:after="0" w:line="212" w:lineRule="exact"/>
        <w:rPr>
          <w:sz w:val="20"/>
          <w:szCs w:val="20"/>
          <w:color w:val="auto"/>
        </w:rPr>
      </w:pPr>
    </w:p>
    <w:p>
      <w:pPr>
        <w:ind w:left="620" w:hanging="300"/>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trends in the cannabis industry and SpringBig’s market size, including with respect to the potential total addressable market in the industry;</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SpringBig’s growth prospects;</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new product and service offerings SpringBig may introduce in the future;</w:t>
      </w:r>
    </w:p>
    <w:p>
      <w:pPr>
        <w:spacing w:after="0" w:line="14" w:lineRule="exact"/>
        <w:rPr>
          <w:rFonts w:ascii="Arial" w:cs="Arial" w:eastAsia="Arial" w:hAnsi="Arial"/>
          <w:sz w:val="21"/>
          <w:szCs w:val="21"/>
          <w:color w:val="auto"/>
        </w:rPr>
      </w:pPr>
    </w:p>
    <w:p>
      <w:pPr>
        <w:jc w:val="both"/>
        <w:ind w:left="640" w:hanging="320"/>
        <w:spacing w:after="0" w:line="233"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 w:lineRule="exact"/>
        <w:rPr>
          <w:rFonts w:ascii="Arial" w:cs="Arial" w:eastAsia="Arial" w:hAnsi="Arial"/>
          <w:sz w:val="21"/>
          <w:szCs w:val="21"/>
          <w:color w:val="auto"/>
        </w:rPr>
      </w:pPr>
    </w:p>
    <w:p>
      <w:pPr>
        <w:ind w:left="620" w:hanging="300"/>
        <w:spacing w:after="0" w:line="234"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the ability to implement business plans, forecasts, and other expectations, and identify and realize additional opportunities; and</w:t>
      </w:r>
    </w:p>
    <w:p>
      <w:pPr>
        <w:spacing w:after="0" w:line="14" w:lineRule="exact"/>
        <w:rPr>
          <w:rFonts w:ascii="Arial" w:cs="Arial" w:eastAsia="Arial" w:hAnsi="Arial"/>
          <w:sz w:val="21"/>
          <w:szCs w:val="21"/>
          <w:color w:val="auto"/>
        </w:rPr>
      </w:pPr>
    </w:p>
    <w:p>
      <w:pPr>
        <w:ind w:left="620" w:hanging="300"/>
        <w:spacing w:after="0" w:line="220" w:lineRule="auto"/>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other risks and uncertainties indicated from time to time in filings made with the Securities and Exchange Commission (the “SEC”).</w:t>
      </w:r>
    </w:p>
    <w:p>
      <w:pPr>
        <w:spacing w:after="0" w:line="20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w:t>
      </w:r>
    </w:p>
    <w:p>
      <w:pPr>
        <w:spacing w:after="0" w:line="226" w:lineRule="auto"/>
        <w:rPr>
          <w:sz w:val="20"/>
          <w:szCs w:val="20"/>
          <w:color w:val="auto"/>
        </w:rPr>
      </w:pPr>
      <w:r>
        <w:rPr>
          <w:rFonts w:ascii="Times New Roman" w:cs="Times New Roman" w:eastAsia="Times New Roman" w:hAnsi="Times New Roman"/>
          <w:sz w:val="17"/>
          <w:szCs w:val="17"/>
          <w:color w:val="auto"/>
        </w:rPr>
        <w:t>contained in any forward-looking statements. Should one or more of these risks or uncertainties materialize or should any of the assumptions made by the</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7"/>
          <w:szCs w:val="17"/>
          <w:color w:val="auto"/>
        </w:rPr>
        <w:t>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and in our periodic filings with the SEC. Our SEC filings are available publicly on the SEC’s website at www.sec.gov.</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should read this Quarterly Report on Form 10-Q completely and with the understanding that our actual future results, levels of activity and performance as</w:t>
      </w:r>
    </w:p>
    <w:p>
      <w:pPr>
        <w:spacing w:after="0" w:line="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well as other events and circumstances may be materially different from what we expect.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196215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84"/>
        </w:trPr>
        <w:tc>
          <w:tcPr>
            <w:tcW w:w="73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40" w:type="dxa"/>
            <w:vAlign w:val="bottom"/>
            <w:tcBorders>
              <w:bottom w:val="single" w:sz="8" w:color="CCEEFF"/>
            </w:tcBorders>
            <w:gridSpan w:val="4"/>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0" w:type="dxa"/>
            <w:vAlign w:val="bottom"/>
          </w:tcPr>
          <w:p>
            <w:pPr>
              <w:spacing w:after="0"/>
              <w:rPr>
                <w:sz w:val="1"/>
                <w:szCs w:val="1"/>
                <w:color w:val="auto"/>
              </w:rPr>
            </w:pPr>
          </w:p>
        </w:tc>
      </w:tr>
      <w:tr>
        <w:trPr>
          <w:trHeight w:val="223"/>
        </w:trPr>
        <w:tc>
          <w:tcPr>
            <w:tcW w:w="7340" w:type="dxa"/>
            <w:vAlign w:val="bottom"/>
          </w:tcPr>
          <w:p>
            <w:pPr>
              <w:ind w:left="33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23"/>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w:t>
            </w:r>
          </w:p>
        </w:tc>
        <w:tc>
          <w:tcPr>
            <w:tcW w:w="0" w:type="dxa"/>
            <w:vAlign w:val="bottom"/>
          </w:tcPr>
          <w:p>
            <w:pPr>
              <w:spacing w:after="0"/>
              <w:rPr>
                <w:sz w:val="1"/>
                <w:szCs w:val="1"/>
                <w:color w:val="auto"/>
              </w:rPr>
            </w:pPr>
          </w:p>
        </w:tc>
      </w:tr>
      <w:tr>
        <w:trPr>
          <w:trHeight w:val="223"/>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assets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0" w:type="dxa"/>
            <w:vAlign w:val="bottom"/>
          </w:tcPr>
          <w:p>
            <w:pPr>
              <w:spacing w:after="0"/>
              <w:rPr>
                <w:sz w:val="1"/>
                <w:szCs w:val="1"/>
                <w:color w:val="auto"/>
              </w:rPr>
            </w:pPr>
          </w:p>
        </w:tc>
      </w:tr>
      <w:tr>
        <w:trPr>
          <w:trHeight w:val="216"/>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176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0" w:type="dxa"/>
            <w:vAlign w:val="bottom"/>
          </w:tcPr>
          <w:p>
            <w:pPr>
              <w:spacing w:after="0"/>
              <w:rPr>
                <w:sz w:val="1"/>
                <w:szCs w:val="1"/>
                <w:color w:val="auto"/>
              </w:rPr>
            </w:pPr>
          </w:p>
        </w:tc>
      </w:tr>
      <w:tr>
        <w:trPr>
          <w:trHeight w:val="223"/>
        </w:trPr>
        <w:tc>
          <w:tcPr>
            <w:tcW w:w="7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Accrued expense and other current liabilities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Short-term cash advances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0" w:type="dxa"/>
            <w:vAlign w:val="bottom"/>
          </w:tcPr>
          <w:p>
            <w:pPr>
              <w:spacing w:after="0"/>
              <w:rPr>
                <w:sz w:val="1"/>
                <w:szCs w:val="1"/>
                <w:color w:val="auto"/>
              </w:rPr>
            </w:pPr>
          </w:p>
        </w:tc>
      </w:tr>
      <w:tr>
        <w:trPr>
          <w:trHeight w:val="223"/>
        </w:trPr>
        <w:tc>
          <w:tcPr>
            <w:tcW w:w="7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60" w:type="dxa"/>
            <w:vAlign w:val="bottom"/>
          </w:tcPr>
          <w:p>
            <w:pPr>
              <w:spacing w:after="0"/>
              <w:rPr>
                <w:sz w:val="19"/>
                <w:szCs w:val="19"/>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4,360</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Deferred payroll tax credits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0" w:type="dxa"/>
            <w:vAlign w:val="bottom"/>
          </w:tcPr>
          <w:p>
            <w:pPr>
              <w:spacing w:after="0"/>
              <w:rPr>
                <w:sz w:val="1"/>
                <w:szCs w:val="1"/>
                <w:color w:val="auto"/>
              </w:rPr>
            </w:pPr>
          </w:p>
        </w:tc>
      </w:tr>
      <w:tr>
        <w:trPr>
          <w:trHeight w:val="223"/>
        </w:trPr>
        <w:tc>
          <w:tcPr>
            <w:tcW w:w="73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Related party payable</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13,551</w:t>
            </w:r>
          </w:p>
        </w:tc>
        <w:tc>
          <w:tcPr>
            <w:tcW w:w="0" w:type="dxa"/>
            <w:vAlign w:val="bottom"/>
          </w:tcPr>
          <w:p>
            <w:pPr>
              <w:spacing w:after="0"/>
              <w:rPr>
                <w:sz w:val="1"/>
                <w:szCs w:val="1"/>
                <w:color w:val="auto"/>
              </w:rPr>
            </w:pPr>
          </w:p>
        </w:tc>
      </w:tr>
      <w:tr>
        <w:trPr>
          <w:trHeight w:val="223"/>
        </w:trPr>
        <w:tc>
          <w:tcPr>
            <w:tcW w:w="7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debt, non-current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Warrant liabilities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13,779</w:t>
            </w:r>
          </w:p>
        </w:tc>
        <w:tc>
          <w:tcPr>
            <w:tcW w:w="0" w:type="dxa"/>
            <w:vAlign w:val="bottom"/>
          </w:tcPr>
          <w:p>
            <w:pPr>
              <w:spacing w:after="0"/>
              <w:rPr>
                <w:sz w:val="1"/>
                <w:szCs w:val="1"/>
                <w:color w:val="auto"/>
              </w:rPr>
            </w:pPr>
          </w:p>
        </w:tc>
      </w:tr>
      <w:tr>
        <w:trPr>
          <w:trHeight w:val="242"/>
        </w:trPr>
        <w:tc>
          <w:tcPr>
            <w:tcW w:w="7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$0.0001 per share, 300,000,000 authorized at March 31, 2024; 45,594,864 issued and</w:t>
            </w:r>
          </w:p>
        </w:tc>
        <w:tc>
          <w:tcPr>
            <w:tcW w:w="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40" w:type="dxa"/>
            <w:vAlign w:val="bottom"/>
          </w:tcPr>
          <w:p>
            <w:pPr>
              <w:ind w:left="120"/>
              <w:spacing w:after="0" w:line="158" w:lineRule="exact"/>
              <w:rPr>
                <w:sz w:val="20"/>
                <w:szCs w:val="20"/>
                <w:color w:val="auto"/>
              </w:rPr>
            </w:pPr>
            <w:r>
              <w:rPr>
                <w:rFonts w:ascii="Times New Roman" w:cs="Times New Roman" w:eastAsia="Times New Roman" w:hAnsi="Times New Roman"/>
                <w:sz w:val="16"/>
                <w:szCs w:val="16"/>
                <w:color w:val="auto"/>
              </w:rPr>
              <w:t>outstanding as of March 31, 2024; (300,000,000 authorized at December 31, 2023; 45,339,762 issued and</w:t>
            </w:r>
          </w:p>
        </w:tc>
        <w:tc>
          <w:tcPr>
            <w:tcW w:w="26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as of December 31, 2023)</w:t>
            </w:r>
          </w:p>
        </w:tc>
        <w:tc>
          <w:tcPr>
            <w:tcW w:w="2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27,887</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(36,148)</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(36,565)</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(8,674)</w:t>
            </w:r>
          </w:p>
        </w:tc>
        <w:tc>
          <w:tcPr>
            <w:tcW w:w="0" w:type="dxa"/>
            <w:vAlign w:val="bottom"/>
          </w:tcPr>
          <w:p>
            <w:pPr>
              <w:spacing w:after="0"/>
              <w:rPr>
                <w:sz w:val="1"/>
                <w:szCs w:val="1"/>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 and stockholders’ deficit</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5,105</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80" w:type="dxa"/>
            <w:vAlign w:val="bottom"/>
            <w:shd w:val="clear" w:color="auto" w:fill="CCEEFF"/>
          </w:tcPr>
          <w:p>
            <w:pPr>
              <w:spacing w:after="0"/>
              <w:rPr>
                <w:sz w:val="19"/>
                <w:szCs w:val="19"/>
                <w:color w:val="auto"/>
              </w:rPr>
            </w:pPr>
          </w:p>
        </w:tc>
        <w:tc>
          <w:tcPr>
            <w:tcW w:w="342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65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80" w:type="dxa"/>
            <w:vAlign w:val="bottom"/>
          </w:tcPr>
          <w:p>
            <w:pPr>
              <w:spacing w:after="0"/>
              <w:rPr>
                <w:sz w:val="16"/>
                <w:szCs w:val="16"/>
                <w:color w:val="auto"/>
              </w:rPr>
            </w:pPr>
          </w:p>
        </w:tc>
        <w:tc>
          <w:tcPr>
            <w:tcW w:w="4280" w:type="dxa"/>
            <w:vAlign w:val="bottom"/>
            <w:gridSpan w:val="5"/>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68"/>
        </w:trPr>
        <w:tc>
          <w:tcPr>
            <w:tcW w:w="65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20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40" w:type="dxa"/>
            <w:vAlign w:val="bottom"/>
          </w:tcPr>
          <w:p>
            <w:pPr>
              <w:spacing w:after="0"/>
              <w:rPr>
                <w:sz w:val="19"/>
                <w:szCs w:val="19"/>
                <w:color w:val="auto"/>
              </w:rPr>
            </w:pP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7,157</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revenues</w:t>
            </w:r>
          </w:p>
        </w:tc>
        <w:tc>
          <w:tcPr>
            <w:tcW w:w="1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4,680</w:t>
            </w: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Selling, servicing and marketing</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Technology and software development</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1,769</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4,962</w:t>
            </w:r>
          </w:p>
        </w:tc>
        <w:tc>
          <w:tcPr>
            <w:tcW w:w="1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7,535</w:t>
            </w:r>
          </w:p>
        </w:tc>
        <w:tc>
          <w:tcPr>
            <w:tcW w:w="0" w:type="dxa"/>
            <w:vAlign w:val="bottom"/>
          </w:tcPr>
          <w:p>
            <w:pPr>
              <w:spacing w:after="0"/>
              <w:rPr>
                <w:sz w:val="1"/>
                <w:szCs w:val="1"/>
                <w:color w:val="auto"/>
              </w:rPr>
            </w:pPr>
          </w:p>
        </w:tc>
      </w:tr>
      <w:tr>
        <w:trPr>
          <w:trHeight w:val="242"/>
        </w:trPr>
        <w:tc>
          <w:tcPr>
            <w:tcW w:w="65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0" w:type="dxa"/>
            <w:vAlign w:val="bottom"/>
          </w:tcPr>
          <w:p>
            <w:pPr>
              <w:spacing w:after="0"/>
              <w:rPr>
                <w:sz w:val="1"/>
                <w:szCs w:val="1"/>
                <w:color w:val="auto"/>
              </w:rPr>
            </w:pPr>
          </w:p>
        </w:tc>
      </w:tr>
      <w:tr>
        <w:trPr>
          <w:trHeight w:val="262"/>
        </w:trPr>
        <w:tc>
          <w:tcPr>
            <w:tcW w:w="65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6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3"/>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note repurchase</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0" w:type="dxa"/>
            <w:vAlign w:val="bottom"/>
          </w:tcPr>
          <w:p>
            <w:pPr>
              <w:spacing w:after="0"/>
              <w:rPr>
                <w:sz w:val="1"/>
                <w:szCs w:val="1"/>
                <w:color w:val="auto"/>
              </w:rPr>
            </w:pPr>
          </w:p>
        </w:tc>
      </w:tr>
      <w:tr>
        <w:trPr>
          <w:trHeight w:val="223"/>
        </w:trPr>
        <w:tc>
          <w:tcPr>
            <w:tcW w:w="6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200" w:type="dxa"/>
            <w:vAlign w:val="bottom"/>
            <w:tcBorders>
              <w:top w:val="single" w:sz="8" w:color="auto"/>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vMerge w:val="continue"/>
          </w:tcPr>
          <w:p>
            <w:pPr>
              <w:spacing w:after="0"/>
              <w:rPr>
                <w:sz w:val="14"/>
                <w:szCs w:val="14"/>
                <w:color w:val="auto"/>
              </w:rPr>
            </w:pPr>
          </w:p>
        </w:tc>
        <w:tc>
          <w:tcPr>
            <w:tcW w:w="1200" w:type="dxa"/>
            <w:vAlign w:val="bottom"/>
            <w:tcBorders>
              <w:bottom w:val="single" w:sz="8" w:color="auto"/>
            </w:tcBorders>
          </w:tcPr>
          <w:p>
            <w:pPr>
              <w:jc w:val="right"/>
              <w:ind w:right="1035"/>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rPr>
              <w:t>0.01</w:t>
            </w:r>
          </w:p>
        </w:tc>
        <w:tc>
          <w:tcPr>
            <w:tcW w:w="140" w:type="dxa"/>
            <w:vAlign w:val="bottom"/>
          </w:tcPr>
          <w:p>
            <w:pPr>
              <w:spacing w:after="0"/>
              <w:rPr>
                <w:sz w:val="14"/>
                <w:szCs w:val="14"/>
                <w:color w:val="auto"/>
              </w:rPr>
            </w:pPr>
          </w:p>
        </w:tc>
        <w:tc>
          <w:tcPr>
            <w:tcW w:w="1220" w:type="dxa"/>
            <w:vAlign w:val="bottom"/>
            <w:tcBorders>
              <w:bottom w:val="single" w:sz="8" w:color="auto"/>
            </w:tcBorders>
          </w:tcPr>
          <w:p>
            <w:pPr>
              <w:jc w:val="right"/>
              <w:ind w:right="1033"/>
              <w:spacing w:after="0" w:line="169" w:lineRule="exact"/>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45,432,272</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26,803,839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80" w:type="dxa"/>
            <w:vAlign w:val="bottom"/>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77,315,056</w:t>
            </w:r>
          </w:p>
        </w:tc>
        <w:tc>
          <w:tcPr>
            <w:tcW w:w="1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26,803,839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2</w:t>
      </w:r>
    </w:p>
    <w:p>
      <w:pPr>
        <w:spacing w:after="0" w:line="2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59690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520" w:top="342"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STOCKHOLDER’S DEFICIT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4720" w:type="dxa"/>
            <w:vAlign w:val="bottom"/>
            <w:gridSpan w:val="8"/>
          </w:tcPr>
          <w:p>
            <w:pPr>
              <w:ind w:left="1060"/>
              <w:spacing w:after="0"/>
              <w:rPr>
                <w:sz w:val="20"/>
                <w:szCs w:val="20"/>
                <w:color w:val="auto"/>
              </w:rPr>
            </w:pPr>
            <w:r>
              <w:rPr>
                <w:rFonts w:ascii="Times New Roman" w:cs="Times New Roman" w:eastAsia="Times New Roman" w:hAnsi="Times New Roman"/>
                <w:sz w:val="17"/>
                <w:szCs w:val="17"/>
                <w:b w:val="1"/>
                <w:bCs w:val="1"/>
                <w:color w:val="auto"/>
              </w:rPr>
              <w:t>Three Months Ended March 31, 2024</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3"/>
        </w:trPr>
        <w:tc>
          <w:tcPr>
            <w:tcW w:w="3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3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Additional Paid-in-</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2"/>
        </w:trPr>
        <w:tc>
          <w:tcPr>
            <w:tcW w:w="3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45,339,762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27,887</w:t>
            </w:r>
          </w:p>
        </w:tc>
        <w:tc>
          <w:tcPr>
            <w:tcW w:w="1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(36,565)</w:t>
            </w:r>
          </w:p>
        </w:tc>
        <w:tc>
          <w:tcPr>
            <w:tcW w:w="1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(8,674)</w:t>
            </w:r>
          </w:p>
        </w:tc>
      </w:tr>
      <w:tr>
        <w:trPr>
          <w:trHeight w:val="22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23"/>
        </w:trPr>
        <w:tc>
          <w:tcPr>
            <w:tcW w:w="3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Issuance of common stock*</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255,102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45,594,864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28,119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(36,148)</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(8,025)</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5"/>
        </w:trPr>
        <w:tc>
          <w:tcPr>
            <w:tcW w:w="3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bl>
    <w:p>
      <w:pPr>
        <w:ind w:left="20"/>
        <w:spacing w:after="0"/>
        <w:rPr>
          <w:sz w:val="20"/>
          <w:szCs w:val="20"/>
          <w:color w:val="auto"/>
        </w:rPr>
      </w:pPr>
      <w:r>
        <w:rPr>
          <w:rFonts w:ascii="Times New Roman" w:cs="Times New Roman" w:eastAsia="Times New Roman" w:hAnsi="Times New Roman"/>
          <w:sz w:val="16"/>
          <w:szCs w:val="16"/>
          <w:color w:val="auto"/>
        </w:rPr>
        <w:t>* Common shares issued in exchange for services rendered.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4720" w:type="dxa"/>
            <w:vAlign w:val="bottom"/>
            <w:gridSpan w:val="8"/>
          </w:tcPr>
          <w:p>
            <w:pPr>
              <w:ind w:left="1060"/>
              <w:spacing w:after="0"/>
              <w:rPr>
                <w:sz w:val="20"/>
                <w:szCs w:val="20"/>
                <w:color w:val="auto"/>
              </w:rPr>
            </w:pPr>
            <w:r>
              <w:rPr>
                <w:rFonts w:ascii="Times New Roman" w:cs="Times New Roman" w:eastAsia="Times New Roman" w:hAnsi="Times New Roman"/>
                <w:sz w:val="17"/>
                <w:szCs w:val="17"/>
                <w:b w:val="1"/>
                <w:bCs w:val="1"/>
                <w:color w:val="auto"/>
              </w:rPr>
              <w:t>Three Months Ended March 31, 2023</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3"/>
        </w:trPr>
        <w:tc>
          <w:tcPr>
            <w:tcW w:w="3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3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Additional Paid-in-</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42"/>
        </w:trPr>
        <w:tc>
          <w:tcPr>
            <w:tcW w:w="31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26,659,711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22,701</w:t>
            </w:r>
          </w:p>
        </w:tc>
        <w:tc>
          <w:tcPr>
            <w:tcW w:w="16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(26,332)</w:t>
            </w:r>
          </w:p>
        </w:tc>
        <w:tc>
          <w:tcPr>
            <w:tcW w:w="18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r>
      <w:tr>
        <w:trPr>
          <w:trHeight w:val="22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r>
      <w:tr>
        <w:trPr>
          <w:trHeight w:val="223"/>
        </w:trPr>
        <w:tc>
          <w:tcPr>
            <w:tcW w:w="3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223"/>
        </w:trPr>
        <w:tc>
          <w:tcPr>
            <w:tcW w:w="3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r>
      <w:tr>
        <w:trPr>
          <w:trHeight w:val="216"/>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2023</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26,940,841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22,976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(28,594)</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(5,615)</w:t>
            </w:r>
          </w:p>
        </w:tc>
      </w:tr>
      <w:tr>
        <w:trPr>
          <w:trHeight w:val="20"/>
        </w:trPr>
        <w:tc>
          <w:tcPr>
            <w:tcW w:w="3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3</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40" w:type="dxa"/>
            <w:vAlign w:val="bottom"/>
            <w:shd w:val="clear" w:color="auto" w:fill="CCEEFF"/>
          </w:tcPr>
          <w:p>
            <w:pPr>
              <w:spacing w:after="0"/>
              <w:rPr>
                <w:sz w:val="18"/>
                <w:szCs w:val="18"/>
                <w:color w:val="auto"/>
              </w:rPr>
            </w:pPr>
          </w:p>
        </w:tc>
        <w:tc>
          <w:tcPr>
            <w:tcW w:w="286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shd w:val="clear" w:color="auto" w:fill="CCEEFF"/>
          </w:tcPr>
          <w:p>
            <w:pPr>
              <w:spacing w:after="0"/>
              <w:rPr>
                <w:sz w:val="18"/>
                <w:szCs w:val="18"/>
                <w:color w:val="auto"/>
              </w:rPr>
            </w:pPr>
          </w:p>
        </w:tc>
      </w:tr>
      <w:tr>
        <w:trPr>
          <w:trHeight w:val="209"/>
        </w:trPr>
        <w:tc>
          <w:tcPr>
            <w:tcW w:w="78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04"/>
        </w:trPr>
        <w:tc>
          <w:tcPr>
            <w:tcW w:w="7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20" w:type="dxa"/>
            <w:vAlign w:val="bottom"/>
            <w:gridSpan w:val="3"/>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40" w:type="dxa"/>
            <w:vAlign w:val="bottom"/>
            <w:shd w:val="clear" w:color="auto" w:fill="CCEEFF"/>
          </w:tcPr>
          <w:p>
            <w:pPr>
              <w:spacing w:after="0"/>
              <w:rPr>
                <w:sz w:val="17"/>
                <w:szCs w:val="17"/>
                <w:color w:val="auto"/>
              </w:rPr>
            </w:pP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w:t>
            </w:r>
          </w:p>
        </w:tc>
      </w:tr>
      <w:tr>
        <w:trPr>
          <w:trHeight w:val="208"/>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note repurchase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8"/>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amortization on convertible note</w:t>
            </w:r>
          </w:p>
        </w:tc>
        <w:tc>
          <w:tcPr>
            <w:tcW w:w="10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financing costs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Bad debt expense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interest on convertible notes</w:t>
            </w:r>
          </w:p>
        </w:tc>
        <w:tc>
          <w:tcPr>
            <w:tcW w:w="10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operating lease right of use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warrants</w:t>
            </w:r>
          </w:p>
        </w:tc>
        <w:tc>
          <w:tcPr>
            <w:tcW w:w="10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8"/>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2"/>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r>
      <w:tr>
        <w:trPr>
          <w:trHeight w:val="208"/>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Contract assets</w:t>
            </w:r>
          </w:p>
        </w:tc>
        <w:tc>
          <w:tcPr>
            <w:tcW w:w="10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payroll tax credits</w:t>
            </w:r>
          </w:p>
        </w:tc>
        <w:tc>
          <w:tcPr>
            <w:tcW w:w="10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r>
      <w:tr>
        <w:trPr>
          <w:trHeight w:val="208"/>
        </w:trPr>
        <w:tc>
          <w:tcPr>
            <w:tcW w:w="7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44"/>
        </w:trPr>
        <w:tc>
          <w:tcPr>
            <w:tcW w:w="7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convertible note</w:t>
            </w:r>
          </w:p>
        </w:tc>
        <w:tc>
          <w:tcPr>
            <w:tcW w:w="10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44"/>
        </w:trPr>
        <w:tc>
          <w:tcPr>
            <w:tcW w:w="7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09"/>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1"/>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convertible notes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convertible notes</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issuance of term notes</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short-term cash advance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related party payable</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Cost of convertible and term note issuance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1"/>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3,274</w:t>
            </w:r>
          </w:p>
        </w:tc>
        <w:tc>
          <w:tcPr>
            <w:tcW w:w="22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w:t>
            </w:r>
          </w:p>
        </w:tc>
      </w:tr>
      <w:tr>
        <w:trPr>
          <w:trHeight w:val="244"/>
        </w:trPr>
        <w:tc>
          <w:tcPr>
            <w:tcW w:w="78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342" w:right="339" w:bottom="1440" w:gutter="0" w:footer="0" w:header="0"/>
        </w:sectPr>
      </w:pPr>
    </w:p>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64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1,337</w:t>
            </w:r>
          </w:p>
        </w:tc>
        <w:tc>
          <w:tcPr>
            <w:tcW w:w="220" w:type="dxa"/>
            <w:vAlign w:val="bottom"/>
          </w:tcPr>
          <w:p>
            <w:pPr>
              <w:spacing w:after="0"/>
              <w:rPr>
                <w:sz w:val="17"/>
                <w:szCs w:val="17"/>
                <w:color w:val="auto"/>
              </w:rPr>
            </w:pPr>
          </w:p>
        </w:tc>
        <w:tc>
          <w:tcPr>
            <w:tcW w:w="620" w:type="dxa"/>
            <w:vAlign w:val="bottom"/>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11"/>
        </w:trPr>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3,546</w:t>
            </w:r>
          </w:p>
        </w:tc>
      </w:tr>
      <w:tr>
        <w:trPr>
          <w:trHeight w:val="203"/>
        </w:trPr>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1,668</w:t>
            </w:r>
          </w:p>
        </w:tc>
        <w:tc>
          <w:tcPr>
            <w:tcW w:w="220" w:type="dxa"/>
            <w:vAlign w:val="bottom"/>
          </w:tcPr>
          <w:p>
            <w:pPr>
              <w:spacing w:after="0"/>
              <w:rPr>
                <w:sz w:val="17"/>
                <w:szCs w:val="17"/>
                <w:color w:val="auto"/>
              </w:rPr>
            </w:pP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2,569</w:t>
            </w: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-307340</wp:posOffset>
            </wp:positionV>
            <wp:extent cx="7136130" cy="133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120" w:space="720"/>
            <w:col w:w="3400"/>
          </w:cols>
          <w:pgMar w:left="320" w:top="342"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flows disclosures</w:t>
            </w: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230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589</w:t>
            </w:r>
          </w:p>
        </w:tc>
        <w:tc>
          <w:tcPr>
            <w:tcW w:w="82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8"/>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for services rendered relating to debt financing</w:t>
            </w:r>
          </w:p>
        </w:tc>
        <w:tc>
          <w:tcPr>
            <w:tcW w:w="2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w:t>
            </w:r>
          </w:p>
        </w:tc>
        <w:tc>
          <w:tcPr>
            <w:tcW w:w="8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cost of debt issuance</w:t>
            </w:r>
          </w:p>
        </w:tc>
        <w:tc>
          <w:tcPr>
            <w:tcW w:w="230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319</w:t>
            </w:r>
          </w:p>
        </w:tc>
        <w:tc>
          <w:tcPr>
            <w:tcW w:w="82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Obtaining a right-of-use asset in exchange for a lease liability</w:t>
            </w:r>
          </w:p>
        </w:tc>
        <w:tc>
          <w:tcPr>
            <w:tcW w:w="230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2,781</w:t>
            </w:r>
          </w:p>
        </w:tc>
        <w:tc>
          <w:tcPr>
            <w:tcW w:w="82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4</w:t>
      </w:r>
    </w:p>
    <w:p>
      <w:pPr>
        <w:spacing w:after="0" w:line="2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59690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DESCRIPTION OF BUSINESS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SpringBig Holdings, Inc. and its wholly-owned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one direct wholly-owned subsidiary, SpringBig, Inc.</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20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Beginning June 15, 2022, the ticker symbols for the Company’s common stock and publicly traded warrants were changed to “SBIG” and “SBIGW,” respectively, and commenced trading on The Nasdaq Capital Market.</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9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7"/>
          <w:szCs w:val="17"/>
          <w:color w:val="auto"/>
        </w:rPr>
        <w:t>The Company’s common stock is now quoted for trading on the OTCQX® Best Market and its public warrants are now quoted for trading on the OTC Pink Market under their current trading symbols “SBIG” and “SBIGW,” respectively. The Company’s common stock started trading on the OTCQX® Best Market on September 6, 2023. The Company remains a reporting company under the Securities Exchange Act of 1934, as amended (the “Exchange 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Principles of Consolidation and Basis of Presentation</w:t>
      </w:r>
    </w:p>
    <w:p>
      <w:pPr>
        <w:spacing w:after="0" w:line="2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March 31, 2024 are not necessarily indicative of the results that may be expected for future periods or for the year ending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both"/>
        <w:spacing w:after="0" w:line="281" w:lineRule="auto"/>
        <w:rPr>
          <w:sz w:val="20"/>
          <w:szCs w:val="20"/>
          <w:color w:val="auto"/>
        </w:rPr>
      </w:pPr>
      <w:r>
        <w:rPr>
          <w:rFonts w:ascii="Times New Roman" w:cs="Times New Roman" w:eastAsia="Times New Roman" w:hAnsi="Times New Roman"/>
          <w:sz w:val="17"/>
          <w:szCs w:val="17"/>
          <w:color w:val="auto"/>
        </w:rPr>
        <w:t>The financial data presented herein should be read in conjunction with the audited consolidated financial statements and accompanying notes as of and for the year ended December 31, 2023, as reported in the 2023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Going Concern and Liquidity</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Historically, the Company has incurred losses, which has resulted in an accumulated deficit of approximately $36.1 million as of March 31, 2024. Cash flows used in operating activities were $1.9 million for the three months ended March 31, 2024. As of March 31, 2024, the Company had a working capital deficit of approximately $1.4 million, inclusive of $1.7 million in cash and cash equivalents to cover overhead expenses.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ability to continue as a going concern is dependent on its ability to meet its liquidity needs through a combination of factors but not limited to, cash and cash equivalents, increase in revenue through increased usage by customers and new customers and strategic capital raises. The ultimate success of these plans is not guaranteed.</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Based on management projections and cash on hand, we estimate that our liquidity and cash resources are sufficient for our current and projected financial needs for the next twelve months, at a minimum.</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are prepared on a going concern basis and do not include any adjustments that might result from uncertainty about the Company’s ability to continue as a going concern.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Foreign Currency</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translate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Use of Estimates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consolidated financial statements. Therefore, we consider the policies related to these financial areas to be our critical accounting policies.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Segments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manages its business as a single operating segment. Our chief operating decision maker reviews financial information presented for the purposes of allocating resources and evaluating financial performance at an entity level and we have no segment managers who are held accountable by the chief operating decision maker for operations and operating results. The products and services across the Company are similar in nature, distributed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0" w:name="page11"/>
    <w:bookmarkEnd w:id="10"/>
    <w:p>
      <w:pPr>
        <w:jc w:val="both"/>
        <w:spacing w:after="0" w:line="281" w:lineRule="auto"/>
        <w:rPr>
          <w:sz w:val="20"/>
          <w:szCs w:val="20"/>
          <w:color w:val="auto"/>
        </w:rPr>
      </w:pPr>
      <w:r>
        <w:rPr>
          <w:rFonts w:ascii="Times New Roman" w:cs="Times New Roman" w:eastAsia="Times New Roman" w:hAnsi="Times New Roman"/>
          <w:sz w:val="17"/>
          <w:szCs w:val="17"/>
          <w:color w:val="auto"/>
        </w:rPr>
        <w:t>comparable manner and have customers with common characteristics. We determined that we have one operating and reportable segment in accordance with Accounting Standards Codification (“ASC”) 280, Segment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Fair Value of Financial Instruments</w:t>
      </w:r>
    </w:p>
    <w:p>
      <w:pPr>
        <w:spacing w:after="0" w:line="2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financial assets, which include cash equivalents, current financial assets and our current financial liabilities have fair values that approximate their carrying value due to their short-term maturities.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Concentrations of Credit Risk</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 xml:space="preserve">We perform ongoing credit evaluations of our customers’ financial condition and require no collateral from our customers. We maintain a credit loss reserve for expected credit losses based upon the expected collectability of accounts receivable balances. See </w:t>
      </w:r>
      <w:r>
        <w:rPr>
          <w:rFonts w:ascii="Times New Roman" w:cs="Times New Roman" w:eastAsia="Times New Roman" w:hAnsi="Times New Roman"/>
          <w:sz w:val="17"/>
          <w:szCs w:val="17"/>
          <w:i w:val="1"/>
          <w:iCs w:val="1"/>
          <w:color w:val="auto"/>
        </w:rPr>
        <w:t>Effective Accounting Pronouncements</w:t>
      </w:r>
      <w:r>
        <w:rPr>
          <w:rFonts w:ascii="Times New Roman" w:cs="Times New Roman" w:eastAsia="Times New Roman" w:hAnsi="Times New Roman"/>
          <w:sz w:val="17"/>
          <w:szCs w:val="17"/>
          <w:color w:val="auto"/>
        </w:rPr>
        <w:t xml:space="preserve"> within this Note below for further information.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had one customer representing 14% of our total revenues for the three months ended March 31, 2024 and the same customer represented more than 12% of total revenues for the three months ended March 31, 2023.</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At March 31, 2024, we had two customers representing 23% of accounts receivable and the same two customers represented 30% of accounts receivable at December 31, 2023.</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had one vendor representing 60% of cost of goods sold for the three months ended March 31, 2024 and the same vendor represented 75% of cost of goods sold for the three month period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had one vendor representing 26% of accounts payable as of March 31, 2024. At December 31, 2023, two vendors represented 30% of accounts payable.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Deferred Financing Costs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23, 2024, the Company issued $6.4 million aggregate principal amount of 8% Secured Convertible Notes and $1.6 million aggregate principal amount of 12% Secured Term Notes. See Note 9. The expenses directly related to issuance of this debt, including investment bank advisory fees, legal fees and other advisory fees, have been deferred and will be expensed over the two year term of the debt up to January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Cash and Cash Equivalents</w:t>
      </w:r>
    </w:p>
    <w:p>
      <w:pPr>
        <w:spacing w:after="0" w:line="2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considers all highly liquid investments with a maturity of three months or less, when acquired, to be cash equivalents. The Company maintains its cash with three commercial banks.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March 31, 2024, the Company exceeded the federally insured limits of $250,000 for interest and non-interest bearing deposits. The Company had cash balances with a single financial institution in excess of the FDIC insured limits by amounts of $1.3 million as of March 31, 2024. We monitor the financial condition of such institution and have not experienced any losses associated with these accounts.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Allowance for Credit Losses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Corporation's reserve methodology used to determine the appropriate level of the allowance for credit losses ("ACL") is a critical accounting estimate. The ACL is maintained at a level believed to be appropriate to provide for the current credit losses expected to be incurred related to the Company’s accounts and unbilled receivables at the balance sheet date. The evaluation of expected losses is based on the probability of default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7"/>
          <w:szCs w:val="17"/>
          <w:color w:val="auto"/>
        </w:rPr>
        <w:t>historical loss rates, as well as adjustments for forward-looking information, including industry and macroeconomic forecasts, as required. Management's current methodology includes utilizing a historical loss rate equivalent to the average loss rate during the preceding forty-eight months and applying this rate to accounts and unbilled receivables at the date of recording. This rate as well as the various quantitative and qualitative factors used in the methodologies are reviewed quarterly.</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 ACCOUNTS RECEIVABLE</w:t>
            </w:r>
          </w:p>
        </w:tc>
        <w:tc>
          <w:tcPr>
            <w:tcW w:w="1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33"/>
        </w:trPr>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 consisted of the following (in thousands):</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3"/>
        </w:trPr>
        <w:tc>
          <w:tcPr>
            <w:tcW w:w="6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23"/>
        </w:trPr>
        <w:tc>
          <w:tcPr>
            <w:tcW w:w="694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69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6940" w:type="dxa"/>
            <w:vAlign w:val="bottom"/>
            <w:shd w:val="clear" w:color="auto" w:fill="CCEEFF"/>
          </w:tcPr>
          <w:p>
            <w:pPr>
              <w:spacing w:after="0"/>
              <w:rPr>
                <w:sz w:val="18"/>
                <w:szCs w:val="18"/>
                <w:color w:val="auto"/>
              </w:rPr>
            </w:pPr>
          </w:p>
        </w:tc>
        <w:tc>
          <w:tcPr>
            <w:tcW w:w="146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460" w:type="dxa"/>
            <w:vAlign w:val="bottom"/>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4,005</w:t>
            </w:r>
          </w:p>
        </w:tc>
        <w:tc>
          <w:tcPr>
            <w:tcW w:w="26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Unbilled receivables</w:t>
            </w:r>
          </w:p>
        </w:tc>
        <w:tc>
          <w:tcPr>
            <w:tcW w:w="1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receivables</w:t>
            </w:r>
          </w:p>
        </w:tc>
        <w:tc>
          <w:tcPr>
            <w:tcW w:w="1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4,543</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14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w:t>
            </w: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60" w:type="dxa"/>
            <w:vAlign w:val="bottom"/>
            <w:tcBorders>
              <w:bottom w:val="single" w:sz="8" w:color="auto"/>
            </w:tcBorders>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3,211</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2,948</w:t>
            </w:r>
          </w:p>
        </w:tc>
      </w:tr>
      <w:tr>
        <w:trPr>
          <w:trHeight w:val="20"/>
        </w:trPr>
        <w:tc>
          <w:tcPr>
            <w:tcW w:w="69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Bad debt expense was $87,000 and $169,000 for the three months ended March 31, 2024 and 2023, respectively, and is included in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details the activity related to the Company’s allowance for credit losses for the quarter ending March 31, 2024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r>
      <w:tr>
        <w:trPr>
          <w:trHeight w:val="22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December 31, 2023</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w:t>
            </w:r>
          </w:p>
        </w:tc>
      </w:tr>
      <w:tr>
        <w:trPr>
          <w:trHeight w:val="21"/>
        </w:trPr>
        <w:tc>
          <w:tcPr>
            <w:tcW w:w="8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29"/>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Current-period provision (release) for expected credit losses</w:t>
            </w:r>
          </w:p>
        </w:tc>
        <w:tc>
          <w:tcPr>
            <w:tcW w:w="4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8"/>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the allowance, net of recoveries and other</w:t>
            </w:r>
          </w:p>
        </w:tc>
        <w:tc>
          <w:tcPr>
            <w:tcW w:w="420" w:type="dxa"/>
            <w:vAlign w:val="bottom"/>
          </w:tcPr>
          <w:p>
            <w:pPr>
              <w:spacing w:after="0"/>
              <w:rPr>
                <w:sz w:val="19"/>
                <w:szCs w:val="19"/>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
        </w:trPr>
        <w:tc>
          <w:tcPr>
            <w:tcW w:w="80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22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March 31, 2024</w:t>
            </w:r>
          </w:p>
        </w:tc>
        <w:tc>
          <w:tcPr>
            <w:tcW w:w="420" w:type="dxa"/>
            <w:vAlign w:val="bottom"/>
            <w:tcBorders>
              <w:bottom w:val="single" w:sz="8" w:color="CCEEFF"/>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w:t>
            </w:r>
          </w:p>
        </w:tc>
      </w:tr>
      <w:tr>
        <w:trPr>
          <w:trHeight w:val="20"/>
        </w:trPr>
        <w:tc>
          <w:tcPr>
            <w:tcW w:w="8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PREPAID EXPENSES AND OTHER CURRENT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6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(in thousands):</w:t>
            </w: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
        </w:trPr>
        <w:tc>
          <w:tcPr>
            <w:tcW w:w="7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5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5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insurance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prepaid expenses</w:t>
            </w: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1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41"/>
        </w:trPr>
        <w:tc>
          <w:tcPr>
            <w:tcW w:w="75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PROPERTY AND EQUIPMENT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7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24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&amp; fixtures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Data warehouse</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cost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w:t>
            </w: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w:t>
            </w: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0"/>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useful life of computer equipment, software, furniture and fixtures, and the data warehouse is three years.</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Depreciation and amortization expense for the three months ended March 31, 2024 and 2023 was $54,000 and $66,000, respectively. The amounts are included in general and administrative expenses in the condensed consolidated statements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CONVERTIBLE NOTE RECEIVABLE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April 2022, the Company purchased $250,000 in aggregate principal amount of convertible promissory note due April 1, 2026 (the “Convertible Note Receivable”). The Convertible Note Receivable accrued interest at the rate of 5% per annum on the principal amount of the Convertible Note Receivable. The Company determined that the fair value of the Convertible Note was $0 at December 31, 2023. The loss of $272,000, including $22,000 of accrued interest income, was recorded in interest expense on the Company’s condensed consolidated statements of operations for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7 – ACCRUED EXPENSES AND OTHER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46"/>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7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7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7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wages, commission and bonus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3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professional fees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financial advisory fees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r>
      <w:tr>
        <w:trPr>
          <w:trHeight w:val="216"/>
        </w:trPr>
        <w:tc>
          <w:tcPr>
            <w:tcW w:w="74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1,951</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RELATED PARTY TRANSACTIONS</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incurred software development and information technology related costs to a vendor related through common ownership to a major stockholder of approximately $2,000 for the three months ended March 31, 2024, and $4,000 for the three months ended March 31, 2023, respectively, and the related expense is recorded to technology and software development costs on the condensed consolidated statement of operations. Amounts due to this related party were $2,000 and $2,000 at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7"/>
          <w:szCs w:val="17"/>
          <w:color w:val="auto"/>
        </w:rPr>
        <w:t>The $540,000 related party payable at December 31, 2023, was repaid in January 2024, following completion of the issuance of $6.4 million aggregate principal amount of 8% Secured Convertible Notes and $1.6 million aggregate principal amount of 12% Secured Term Notes.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Jeffrey Harris, CEO, and Paul Sykes, CFO, both participated in the debt financing transaction completed on January 23, 2024. Jeffrey Harris purchased $320,000 8% Secured Convertible Notes, due 2026, and $80,000 12% Secured Term Notes, due 2026. Paul Sykes purchased $25,000 8% Secured Convertible Notes, due 2026, and $6,250 12% Secured Term Notes, due 2026.</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There are two members of the board of directors at March 31, 2024, who are related parties to investors in the debt financing transaction completed on January 23, 2024. In aggregate these investors purchased $5.2 million 12% Secured Convertible Notes and $1.3 million 8% Secured Term Notes.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9 – LONG-TERM DEBT</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3"/>
        </w:trPr>
        <w:tc>
          <w:tcPr>
            <w:tcW w:w="7480" w:type="dxa"/>
            <w:vAlign w:val="bottom"/>
          </w:tcPr>
          <w:p>
            <w:pPr>
              <w:spacing w:after="0"/>
              <w:rPr>
                <w:sz w:val="20"/>
                <w:szCs w:val="20"/>
                <w:color w:val="auto"/>
              </w:rPr>
            </w:pPr>
            <w:r>
              <w:rPr>
                <w:rFonts w:ascii="Times New Roman" w:cs="Times New Roman" w:eastAsia="Times New Roman" w:hAnsi="Times New Roman"/>
                <w:sz w:val="17"/>
                <w:szCs w:val="17"/>
                <w:color w:val="auto"/>
              </w:rPr>
              <w:t>The table below presents the components of outstanding debt (in thousands):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63"/>
        </w:trPr>
        <w:tc>
          <w:tcPr>
            <w:tcW w:w="7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3"/>
        </w:trPr>
        <w:tc>
          <w:tcPr>
            <w:tcW w:w="7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4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7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49"/>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 Secured Term Notes, due January 23, 2026</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30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r>
      <w:tr>
        <w:trPr>
          <w:trHeight w:val="24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 Secured Convertible Notes, due January 23, 2026</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3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48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3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Deferred financing fees, net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3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4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7,198</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January 23, 2024, the Company issued $1.6 million aggregate principal amount of 12% Secured Term Notes and $6.4 million aggregate principal amount of 8% Secured Convertible Notes to a group of investors.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12% Secured Term Notes, due in January 2026, accrue interest payable in cash semi-annually. The 8% Secured Convertible Notes accrue interest which is added to the outstanding principal balance annually.</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8% Secured Convertible Notes are convertible into common stock at a conversion price of $0.15 per share at the holder’s option any time up to the day prior to maturity in January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12% Secured Term Notes and 8% Secured Convertible Notes rank pari passu and are secured on substantially all the assets of the Company.</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12% Secured Term Notes and 8%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2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recorded $233,000 of interest expense in connection with the 12% Secured Term Notes and 8% Secured Convertible Notes for the three months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6% SENIOR SECURED CONVERTIBLE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 warrant representing 586,890 shares of common stock of the Company (the “Convertible Warrant”) with a fair value of $839,000 as at the date of the business combination was also issued in a private placement with the purchaser party thereto. To determine the fair value of the Convertible Warrant, the Company performed a Black-Scholes calculation as of June 14, 2022 using a stock price of $4.28, a strike price of $12.00, a risk free rate of 3.61%, annualized volatility of 65%, and a time to maturity of five years.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March 31, 2024 was $0. At December 31, 2023, the outstanding principal of the Secured Convertible Notes was $5.1 million with a carrying value of $4.4 million, net of discount of $0.7 million. The Company recorded a $1.6 million gain on repurchase of the note for the three months ended March 31, 2024.</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recorded $14,000 and $402,000 of interest expense in connection with the Senior Secured Convertible Notes for the three months ended March 31, 2024 and March 31, 2023,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WARRANT LIABILITIES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 xml:space="preserve">The Company accounts for the warrants in accordance with the guidance contained in </w:t>
      </w:r>
      <w:r>
        <w:rPr>
          <w:rFonts w:ascii="Times New Roman" w:cs="Times New Roman" w:eastAsia="Times New Roman" w:hAnsi="Times New Roman"/>
          <w:sz w:val="17"/>
          <w:szCs w:val="17"/>
          <w:i w:val="1"/>
          <w:iCs w:val="1"/>
          <w:color w:val="auto"/>
        </w:rPr>
        <w:t>ASC 815 Derivatives and Hedging</w:t>
      </w:r>
      <w:r>
        <w:rPr>
          <w:rFonts w:ascii="Times New Roman" w:cs="Times New Roman" w:eastAsia="Times New Roman" w:hAnsi="Times New Roman"/>
          <w:sz w:val="17"/>
          <w:szCs w:val="17"/>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2024 and December 31, 2023, the estimated fair value of the warrants was $6,400 and $3,200,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a change in fair value loss of approximately $3,000 and $153,000 for the three months ended March 31, 2024 and 2023, respectively.</w:t>
      </w: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 xml:space="preserve">The fair value is determined in accordance with </w:t>
      </w:r>
      <w:r>
        <w:rPr>
          <w:rFonts w:ascii="Times New Roman" w:cs="Times New Roman" w:eastAsia="Times New Roman" w:hAnsi="Times New Roman"/>
          <w:sz w:val="17"/>
          <w:szCs w:val="17"/>
          <w:i w:val="1"/>
          <w:iCs w:val="1"/>
          <w:color w:val="auto"/>
        </w:rPr>
        <w:t>ASC 820, Fair Value Measurement</w:t>
      </w:r>
      <w:r>
        <w:rPr>
          <w:rFonts w:ascii="Times New Roman" w:cs="Times New Roman" w:eastAsia="Times New Roman" w:hAnsi="Times New Roman"/>
          <w:sz w:val="17"/>
          <w:szCs w:val="17"/>
          <w:color w:val="auto"/>
        </w:rPr>
        <w:t>. See Note 17, Fair Value Measurements, to the accompanying condensed consolidated financial statements for further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REVENUE RECOGNITION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represents our revenues disaggregated by type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shd w:val="clear" w:color="auto" w:fill="CCEEFF"/>
          </w:tcPr>
          <w:p>
            <w:pPr>
              <w:spacing w:after="0"/>
              <w:rPr>
                <w:sz w:val="18"/>
                <w:szCs w:val="18"/>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3"/>
        </w:trPr>
        <w:tc>
          <w:tcPr>
            <w:tcW w:w="7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Brand revenue</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Pr>
          <w:p>
            <w:pPr>
              <w:spacing w:after="0"/>
              <w:rPr>
                <w:sz w:val="19"/>
                <w:szCs w:val="19"/>
                <w:color w:val="auto"/>
              </w:rPr>
            </w:pP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Retail revenue</w:t>
            </w:r>
          </w:p>
        </w:tc>
        <w:tc>
          <w:tcPr>
            <w:tcW w:w="1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6,415</w:t>
            </w:r>
          </w:p>
        </w:tc>
        <w:tc>
          <w:tcPr>
            <w:tcW w:w="1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6,862</w:t>
            </w: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240" w:type="dxa"/>
            <w:vAlign w:val="bottom"/>
            <w:tcBorders>
              <w:bottom w:val="single" w:sz="8" w:color="auto"/>
            </w:tcBorders>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7,157</w:t>
            </w:r>
          </w:p>
        </w:tc>
      </w:tr>
      <w:tr>
        <w:trPr>
          <w:trHeight w:val="20"/>
        </w:trPr>
        <w:tc>
          <w:tcPr>
            <w:tcW w:w="7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5" w:name="page16"/>
    <w:bookmarkEnd w:id="15"/>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Geographic Information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geographical region consist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20" w:type="dxa"/>
            <w:vAlign w:val="bottom"/>
            <w:shd w:val="clear" w:color="auto" w:fill="CCEEFF"/>
          </w:tcPr>
          <w:p>
            <w:pPr>
              <w:spacing w:after="0"/>
              <w:rPr>
                <w:sz w:val="18"/>
                <w:szCs w:val="18"/>
                <w:color w:val="auto"/>
              </w:rPr>
            </w:pPr>
          </w:p>
        </w:tc>
        <w:tc>
          <w:tcPr>
            <w:tcW w:w="3220" w:type="dxa"/>
            <w:vAlign w:val="bottom"/>
            <w:gridSpan w:val="4"/>
            <w:shd w:val="clear" w:color="auto" w:fill="CCEEFF"/>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shd w:val="clear" w:color="auto" w:fill="CCEEFF"/>
          </w:tcPr>
          <w:p>
            <w:pPr>
              <w:spacing w:after="0"/>
              <w:rPr>
                <w:sz w:val="18"/>
                <w:szCs w:val="18"/>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0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Brand revenue</w:t>
            </w: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23"/>
        </w:trPr>
        <w:tc>
          <w:tcPr>
            <w:tcW w:w="7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24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0" w:type="dxa"/>
            <w:vAlign w:val="bottom"/>
          </w:tcPr>
          <w:p>
            <w:pPr>
              <w:spacing w:after="0"/>
              <w:rPr>
                <w:sz w:val="19"/>
                <w:szCs w:val="19"/>
                <w:color w:val="auto"/>
              </w:rPr>
            </w:pP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22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1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Retail revenue</w:t>
            </w:r>
          </w:p>
        </w:tc>
        <w:tc>
          <w:tcPr>
            <w:tcW w:w="1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United States</w:t>
            </w:r>
          </w:p>
        </w:tc>
        <w:tc>
          <w:tcPr>
            <w:tcW w:w="1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w:t>
            </w:r>
          </w:p>
        </w:tc>
      </w:tr>
      <w:tr>
        <w:trPr>
          <w:trHeight w:val="22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Canada</w:t>
            </w:r>
          </w:p>
        </w:tc>
        <w:tc>
          <w:tcPr>
            <w:tcW w:w="1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41"/>
        </w:trPr>
        <w:tc>
          <w:tcPr>
            <w:tcW w:w="74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Revenues by geography are generally based on the country of the Company’s contracting entity. Total United States revenue was approximately 98% of total revenue for the three months ended March 31, 2024 and 97% for the three months ended March 31,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13 – CONTRACT ASSETS AND LIABILITIES</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33"/>
        </w:trPr>
        <w:tc>
          <w:tcPr>
            <w:tcW w:w="7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Contract assets consisted of the following as of (in thousands):</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3"/>
        </w:trPr>
        <w:tc>
          <w:tcPr>
            <w:tcW w:w="7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3"/>
        </w:trPr>
        <w:tc>
          <w:tcPr>
            <w:tcW w:w="7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4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7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7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Deferred sales commissions</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7"/>
          <w:szCs w:val="17"/>
          <w:color w:val="auto"/>
        </w:rPr>
        <w:t>The movement in the contract assets during the three months ended March 31, 2024 and the year ended December 31, 2023, comprised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74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ind w:lef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74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223"/>
        </w:trPr>
        <w:tc>
          <w:tcPr>
            <w:tcW w:w="74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Contract assets at start of the period</w:t>
            </w:r>
          </w:p>
        </w:tc>
        <w:tc>
          <w:tcPr>
            <w:tcW w:w="1420" w:type="dxa"/>
            <w:vAlign w:val="bottom"/>
          </w:tcPr>
          <w:p>
            <w:pPr>
              <w:jc w:val="right"/>
              <w:ind w:right="121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ind w:left="1093"/>
              <w:spacing w:after="0"/>
              <w:rPr>
                <w:sz w:val="20"/>
                <w:szCs w:val="20"/>
                <w:color w:val="auto"/>
              </w:rPr>
            </w:pPr>
            <w:r>
              <w:rPr>
                <w:rFonts w:ascii="Times New Roman" w:cs="Times New Roman" w:eastAsia="Times New Roman" w:hAnsi="Times New Roman"/>
                <w:sz w:val="17"/>
                <w:szCs w:val="17"/>
                <w:color w:val="auto"/>
              </w:rPr>
              <w:t>333</w:t>
            </w:r>
          </w:p>
        </w:tc>
      </w:tr>
      <w:tr>
        <w:trPr>
          <w:trHeight w:val="223"/>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Expense deferred during the period</w:t>
            </w: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1093"/>
              <w:spacing w:after="0"/>
              <w:rPr>
                <w:sz w:val="20"/>
                <w:szCs w:val="20"/>
                <w:color w:val="auto"/>
              </w:rPr>
            </w:pPr>
            <w:r>
              <w:rPr>
                <w:rFonts w:ascii="Times New Roman" w:cs="Times New Roman" w:eastAsia="Times New Roman" w:hAnsi="Times New Roman"/>
                <w:sz w:val="17"/>
                <w:szCs w:val="17"/>
                <w:color w:val="auto"/>
              </w:rPr>
              <w:t>165</w:t>
            </w:r>
          </w:p>
        </w:tc>
      </w:tr>
      <w:tr>
        <w:trPr>
          <w:trHeight w:val="223"/>
        </w:trPr>
        <w:tc>
          <w:tcPr>
            <w:tcW w:w="7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(Less) amounts expensed during the period</w:t>
            </w:r>
          </w:p>
        </w:tc>
        <w:tc>
          <w:tcPr>
            <w:tcW w:w="1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left="1053"/>
              <w:spacing w:after="0"/>
              <w:rPr>
                <w:sz w:val="20"/>
                <w:szCs w:val="20"/>
                <w:color w:val="auto"/>
              </w:rPr>
            </w:pPr>
            <w:r>
              <w:rPr>
                <w:rFonts w:ascii="Times New Roman" w:cs="Times New Roman" w:eastAsia="Times New Roman" w:hAnsi="Times New Roman"/>
                <w:sz w:val="17"/>
                <w:szCs w:val="17"/>
                <w:color w:val="auto"/>
              </w:rPr>
              <w:t>(225)</w:t>
            </w:r>
          </w:p>
        </w:tc>
      </w:tr>
      <w:tr>
        <w:trPr>
          <w:trHeight w:val="241"/>
        </w:trPr>
        <w:tc>
          <w:tcPr>
            <w:tcW w:w="7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Contract assets at end of the period</w:t>
            </w:r>
          </w:p>
        </w:tc>
        <w:tc>
          <w:tcPr>
            <w:tcW w:w="1420" w:type="dxa"/>
            <w:vAlign w:val="bottom"/>
            <w:tcBorders>
              <w:bottom w:val="single" w:sz="8" w:color="auto"/>
            </w:tcBorders>
            <w:shd w:val="clear" w:color="auto" w:fill="CCEEFF"/>
          </w:tcPr>
          <w:p>
            <w:pPr>
              <w:jc w:val="right"/>
              <w:ind w:right="1213"/>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center"/>
              <w:ind w:left="1093"/>
              <w:spacing w:after="0"/>
              <w:rPr>
                <w:sz w:val="20"/>
                <w:szCs w:val="20"/>
                <w:color w:val="auto"/>
              </w:rPr>
            </w:pPr>
            <w:r>
              <w:rPr>
                <w:rFonts w:ascii="Times New Roman" w:cs="Times New Roman" w:eastAsia="Times New Roman" w:hAnsi="Times New Roman"/>
                <w:sz w:val="17"/>
                <w:szCs w:val="17"/>
                <w:color w:val="auto"/>
              </w:rPr>
              <w:t>273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 STOCK BASED COMPENSATION</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connection with the business combination, the Tuatara shareholders approved the SpringBig Holdings, Inc. 2022 Long-Term Incentive Plan (the “2022 Incentive Plan”), which became effective upon the Closing.</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jc w:val="both"/>
        <w:spacing w:after="0" w:line="281" w:lineRule="auto"/>
        <w:rPr>
          <w:sz w:val="20"/>
          <w:szCs w:val="20"/>
          <w:color w:val="auto"/>
        </w:rPr>
      </w:pPr>
      <w:r>
        <w:rPr>
          <w:rFonts w:ascii="Times New Roman" w:cs="Times New Roman" w:eastAsia="Times New Roman" w:hAnsi="Times New Roman"/>
          <w:sz w:val="17"/>
          <w:szCs w:val="17"/>
          <w:color w:val="auto"/>
        </w:rPr>
        <w:t>2022 Incentive Plan that expire or terminate without being exercised in full, or that are paid out in cash rather than in shares, will not reduce the number of shares available for issuance under the 2022 Incentive Plan.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ending December 31, 2023; provided that the annual increase with respect to the fiscal year ending December 31, 2023, which is 1,332,986 shares of common stock, took effect on the first business day following the annual shareholder meeting.</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number of shares automatically added to the number of shares authorized for issuance on January 1, 2024, was 2,266,988, being 5% of the number of the Company’s common stock issued and outstanding on December 31, 2023. The total number of shares of common stock authorized for issuance under the 2022 Incentive Plan is 5,125,149 as of March 31, 2024.</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information on stock options outstanding as of March 31, 2024 under the Legacy Incentive Plan: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20" w:type="dxa"/>
            <w:vAlign w:val="bottom"/>
            <w:tcBorders>
              <w:bottom w:val="single" w:sz="8" w:color="auto"/>
            </w:tcBorders>
            <w:gridSpan w:val="4"/>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20" w:type="dxa"/>
            <w:vAlign w:val="bottom"/>
            <w:tcBorders>
              <w:bottom w:val="single" w:sz="8" w:color="auto"/>
            </w:tcBorders>
            <w:gridSpan w:val="6"/>
            <w:shd w:val="clear" w:color="auto" w:fill="CCEEFF"/>
          </w:tcPr>
          <w:p>
            <w:pPr>
              <w:jc w:val="right"/>
              <w:ind w:right="1021"/>
              <w:spacing w:after="0"/>
              <w:rPr>
                <w:sz w:val="20"/>
                <w:szCs w:val="20"/>
                <w:color w:val="auto"/>
              </w:rPr>
            </w:pPr>
            <w:r>
              <w:rPr>
                <w:rFonts w:ascii="Times New Roman" w:cs="Times New Roman" w:eastAsia="Times New Roman" w:hAnsi="Times New Roman"/>
                <w:sz w:val="16"/>
                <w:szCs w:val="16"/>
                <w:b w:val="1"/>
                <w:bCs w:val="1"/>
                <w:color w:val="auto"/>
                <w:w w:val="96"/>
              </w:rPr>
              <w:t>Options Vested and Exercisable</w:t>
            </w:r>
          </w:p>
        </w:tc>
        <w:tc>
          <w:tcPr>
            <w:tcW w:w="0" w:type="dxa"/>
            <w:vAlign w:val="bottom"/>
          </w:tcPr>
          <w:p>
            <w:pPr>
              <w:spacing w:after="0"/>
              <w:rPr>
                <w:sz w:val="1"/>
                <w:szCs w:val="1"/>
                <w:color w:val="auto"/>
              </w:rPr>
            </w:pPr>
          </w:p>
        </w:tc>
      </w:tr>
      <w:tr>
        <w:trPr>
          <w:trHeight w:val="150"/>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00" w:type="dxa"/>
            <w:vAlign w:val="bottom"/>
          </w:tcPr>
          <w:p>
            <w:pPr>
              <w:spacing w:after="0"/>
              <w:rPr>
                <w:sz w:val="13"/>
                <w:szCs w:val="13"/>
                <w:color w:val="auto"/>
              </w:rPr>
            </w:pPr>
          </w:p>
        </w:tc>
        <w:tc>
          <w:tcPr>
            <w:tcW w:w="132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1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Contractual Life</w:t>
            </w:r>
          </w:p>
        </w:tc>
        <w:tc>
          <w:tcPr>
            <w:tcW w:w="14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8"/>
                <w:szCs w:val="18"/>
                <w:color w:val="auto"/>
              </w:rPr>
            </w:pPr>
          </w:p>
        </w:tc>
        <w:tc>
          <w:tcPr>
            <w:tcW w:w="132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04"/>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January 1, 2024</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2,271,894</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2,244,102</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granted</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exercised</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Options 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cancelled</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March 31, 2024</w:t>
            </w:r>
          </w:p>
        </w:tc>
        <w:tc>
          <w:tcPr>
            <w:tcW w:w="12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2,268,930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2,255,034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2024 and 2023, compensation expense recorded in connection with the Legacy Incentive Plan was $17,000 and $30,000, respectively. These charges are recorded in administrative expense on the condensed consolidated statements of operations.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 options were exercised during the three months ended March 31, 2024. As of March 31, 2024, the intrinsic value of the 2,255,034 options outstanding and exercisable was $0. As of March 31, 2024, the total compensation cost related to non-vested awards not yet recognized was $17,000 with a weighted-average period of.0.25 years over which it is expected to be recognized.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information on Restricted Stock Units outstanding as of March 31, 2024 under the 2022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0"/>
        </w:trPr>
        <w:tc>
          <w:tcPr>
            <w:tcW w:w="6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320" w:type="dxa"/>
            <w:vAlign w:val="bottom"/>
            <w:tcBorders>
              <w:bottom w:val="single" w:sz="8" w:color="auto"/>
            </w:tcBorders>
            <w:gridSpan w:val="6"/>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0"/>
        </w:trPr>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3"/>
          </w:tcPr>
          <w:p>
            <w:pPr>
              <w:jc w:val="center"/>
              <w:ind w:right="140"/>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 Average Fair</w:t>
            </w:r>
          </w:p>
        </w:tc>
        <w:tc>
          <w:tcPr>
            <w:tcW w:w="114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RSUs</w:t>
            </w:r>
          </w:p>
        </w:tc>
        <w:tc>
          <w:tcPr>
            <w:tcW w:w="180" w:type="dxa"/>
            <w:vAlign w:val="bottom"/>
          </w:tcPr>
          <w:p>
            <w:pPr>
              <w:spacing w:after="0"/>
              <w:rPr>
                <w:sz w:val="13"/>
                <w:szCs w:val="13"/>
                <w:color w:val="auto"/>
              </w:rPr>
            </w:pPr>
          </w:p>
        </w:tc>
        <w:tc>
          <w:tcPr>
            <w:tcW w:w="126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Average Vesting</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b w:val="1"/>
                <w:bCs w:val="1"/>
                <w:color w:val="auto"/>
                <w:w w:val="96"/>
              </w:rPr>
              <w:t>(Per Share)</w:t>
            </w:r>
          </w:p>
        </w:tc>
        <w:tc>
          <w:tcPr>
            <w:tcW w:w="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20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December 31, 2022</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725,000</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RSUs granted</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1,989,000</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 forfeited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(276,836)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RSUs vested and common stock issued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(225,655)</w:t>
            </w:r>
          </w:p>
        </w:tc>
        <w:tc>
          <w:tcPr>
            <w:tcW w:w="1440" w:type="dxa"/>
            <w:vAlign w:val="bottom"/>
            <w:tcBorders>
              <w:bottom w:val="single" w:sz="8" w:color="CCEEFF"/>
            </w:tcBorders>
            <w:gridSpan w:val="2"/>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Balance, December 31, 2023</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2,211,509</w:t>
            </w:r>
          </w:p>
        </w:tc>
        <w:tc>
          <w:tcPr>
            <w:tcW w:w="1440" w:type="dxa"/>
            <w:vAlign w:val="bottom"/>
            <w:gridSpan w:val="2"/>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RSUs 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Outstanding Balance, </w:t>
            </w:r>
            <w:r>
              <w:rPr>
                <w:rFonts w:ascii="Times New Roman" w:cs="Times New Roman" w:eastAsia="Times New Roman" w:hAnsi="Times New Roman"/>
                <w:sz w:val="17"/>
                <w:szCs w:val="17"/>
                <w:b w:val="1"/>
                <w:bCs w:val="1"/>
                <w:color w:val="auto"/>
              </w:rPr>
              <w:t>March 31, 2024</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2,161,509</w:t>
            </w:r>
          </w:p>
        </w:tc>
        <w:tc>
          <w:tcPr>
            <w:tcW w:w="1440" w:type="dxa"/>
            <w:vAlign w:val="bottom"/>
            <w:gridSpan w:val="2"/>
            <w:shd w:val="clear" w:color="auto" w:fill="CCEEFF"/>
          </w:tcPr>
          <w:p>
            <w:pPr>
              <w:jc w:val="right"/>
              <w:ind w:right="10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During the three months ended March 31, 2024 and 2023, compensation expense recorded in connection with the 2023 Incentive Plan was $178,000 and $132,000, respectively. The expense is reported within general and administrative expenses. The remaining expense of approximately $1.1 million will be recognized in future periods through September 2026. The Restricted Stock Units vest one-third on each of the first, second, and third anniversary after issuance.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 LEASES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leases office facilities in Boca Raton, Florida, Seattle, Washington and Ontario, Canada under non-cancelable operating lease agreements. The leases require monthly payments ranging from $4,000 to $48,000 and expire on various dates through February 2032. In addition to minimum rent, the Company is required to pay a proportionate share of operating expenses under these leases.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2022, the Company entered into a new lease which became effective on January 1, 2024 after completion of leasehold improvements. The new lease term is for 98 months and monthly rental payments range from $38,000 to $48,000 over the life of the lease.</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 xml:space="preserve">As of March 31, 2024, and December 31, 2023, the following amounts were presented on the Company’s condensed consolidated balance sheets in accordance with </w:t>
      </w:r>
      <w:r>
        <w:rPr>
          <w:rFonts w:ascii="Times New Roman" w:cs="Times New Roman" w:eastAsia="Times New Roman" w:hAnsi="Times New Roman"/>
          <w:sz w:val="17"/>
          <w:szCs w:val="17"/>
          <w:i w:val="1"/>
          <w:iCs w:val="1"/>
          <w:color w:val="auto"/>
        </w:rPr>
        <w:t>ASC 842 - Lease Accounting</w:t>
      </w:r>
      <w:r>
        <w:rPr>
          <w:rFonts w:ascii="Times New Roman" w:cs="Times New Roman" w:eastAsia="Times New Roman" w:hAnsi="Times New Roman"/>
          <w:sz w:val="17"/>
          <w:szCs w:val="17"/>
          <w:color w:val="auto"/>
        </w:rPr>
        <w:t xml:space="preserve">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208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300" w:type="dxa"/>
            <w:vAlign w:val="bottom"/>
            <w:shd w:val="clear" w:color="auto" w:fill="CCEEFF"/>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3"/>
        </w:trPr>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center"/>
              <w:ind w:right="39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6"/>
        </w:trPr>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08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13"/>
              <w:spacing w:after="0"/>
              <w:rPr>
                <w:sz w:val="20"/>
                <w:szCs w:val="20"/>
                <w:color w:val="auto"/>
              </w:rPr>
            </w:pPr>
            <w:r>
              <w:rPr>
                <w:rFonts w:ascii="Times New Roman" w:cs="Times New Roman" w:eastAsia="Times New Roman" w:hAnsi="Times New Roman"/>
                <w:sz w:val="17"/>
                <w:szCs w:val="17"/>
                <w:b w:val="1"/>
                <w:bCs w:val="1"/>
                <w:color w:val="auto"/>
              </w:rPr>
              <w:t>(audited)</w:t>
            </w:r>
          </w:p>
        </w:tc>
      </w:tr>
      <w:tr>
        <w:trPr>
          <w:trHeight w:val="193"/>
        </w:trPr>
        <w:tc>
          <w:tcPr>
            <w:tcW w:w="20" w:type="dxa"/>
            <w:vAlign w:val="bottom"/>
          </w:tcPr>
          <w:p>
            <w:pPr>
              <w:spacing w:after="0"/>
              <w:rPr>
                <w:sz w:val="16"/>
                <w:szCs w:val="16"/>
                <w:color w:val="auto"/>
              </w:rPr>
            </w:pPr>
          </w:p>
        </w:tc>
        <w:tc>
          <w:tcPr>
            <w:tcW w:w="54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33"/>
        </w:trPr>
        <w:tc>
          <w:tcPr>
            <w:tcW w:w="20" w:type="dxa"/>
            <w:vAlign w:val="bottom"/>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3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 of use asset - operating lease</w:t>
            </w:r>
          </w:p>
        </w:tc>
        <w:tc>
          <w:tcPr>
            <w:tcW w:w="208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3,031</w:t>
            </w:r>
          </w:p>
        </w:tc>
        <w:tc>
          <w:tcPr>
            <w:tcW w:w="22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w:t>
            </w:r>
          </w:p>
        </w:tc>
        <w:tc>
          <w:tcPr>
            <w:tcW w:w="2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w:t>
            </w:r>
          </w:p>
        </w:tc>
        <w:tc>
          <w:tcPr>
            <w:tcW w:w="2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r>
      <w:tr>
        <w:trPr>
          <w:trHeight w:val="221"/>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operating lease liability</w:t>
            </w:r>
          </w:p>
        </w:tc>
        <w:tc>
          <w:tcPr>
            <w:tcW w:w="208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w:t>
            </w:r>
          </w:p>
        </w:tc>
        <w:tc>
          <w:tcPr>
            <w:tcW w:w="220" w:type="dxa"/>
            <w:vAlign w:val="bottom"/>
          </w:tcPr>
          <w:p>
            <w:pPr>
              <w:spacing w:after="0"/>
              <w:rPr>
                <w:sz w:val="19"/>
                <w:szCs w:val="19"/>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r>
    </w:tbl>
    <w:p>
      <w:pPr>
        <w:spacing w:after="0" w:line="2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For the three months ended March 31, 2024 and March 31, 2023, the Company’s operating lease cost was $160,000 and $133,000, respectively. Other information pertaining to capitalized assets and liabilities under the leasing standard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 w:type="dxa"/>
            <w:vAlign w:val="bottom"/>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48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36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20" w:type="dxa"/>
            <w:vAlign w:val="bottom"/>
          </w:tcPr>
          <w:p>
            <w:pPr>
              <w:spacing w:after="0"/>
              <w:rPr>
                <w:sz w:val="20"/>
                <w:szCs w:val="20"/>
                <w:color w:val="auto"/>
              </w:rPr>
            </w:pPr>
          </w:p>
        </w:tc>
      </w:tr>
      <w:tr>
        <w:trPr>
          <w:trHeight w:val="184"/>
        </w:trPr>
        <w:tc>
          <w:tcPr>
            <w:tcW w:w="20" w:type="dxa"/>
            <w:vAlign w:val="bottom"/>
          </w:tcPr>
          <w:p>
            <w:pPr>
              <w:spacing w:after="0"/>
              <w:rPr>
                <w:sz w:val="15"/>
                <w:szCs w:val="15"/>
                <w:color w:val="auto"/>
              </w:rPr>
            </w:pPr>
          </w:p>
        </w:tc>
        <w:tc>
          <w:tcPr>
            <w:tcW w:w="620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b w:val="1"/>
                <w:bCs w:val="1"/>
                <w:color w:val="auto"/>
              </w:rPr>
              <w:t>Other information</w:t>
            </w: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3"/>
        </w:trPr>
        <w:tc>
          <w:tcPr>
            <w:tcW w:w="20" w:type="dxa"/>
            <w:vAlign w:val="bottom"/>
            <w:shd w:val="clear" w:color="auto" w:fill="CCEEFF"/>
          </w:tcPr>
          <w:p>
            <w:pPr>
              <w:spacing w:after="0"/>
              <w:rPr>
                <w:sz w:val="20"/>
                <w:szCs w:val="20"/>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cash flows paid to operating leases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 in exchange for new operating lease liabilities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remaining lease term — operating leases (months)</w:t>
            </w:r>
          </w:p>
        </w:tc>
        <w:tc>
          <w:tcPr>
            <w:tcW w:w="124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360" w:type="dxa"/>
            <w:vAlign w:val="bottom"/>
          </w:tcPr>
          <w:p>
            <w:pPr>
              <w:spacing w:after="0"/>
              <w:rPr>
                <w:sz w:val="19"/>
                <w:szCs w:val="19"/>
                <w:color w:val="auto"/>
              </w:rPr>
            </w:pPr>
          </w:p>
        </w:tc>
        <w:tc>
          <w:tcPr>
            <w:tcW w:w="1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1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5.67%</w:t>
            </w:r>
          </w:p>
        </w:tc>
        <w:tc>
          <w:tcPr>
            <w:tcW w:w="20" w:type="dxa"/>
            <w:vAlign w:val="bottom"/>
          </w:tcPr>
          <w:p>
            <w:pPr>
              <w:spacing w:after="0"/>
              <w:rPr>
                <w:sz w:val="19"/>
                <w:szCs w:val="19"/>
                <w:color w:val="auto"/>
              </w:rPr>
            </w:pPr>
          </w:p>
        </w:tc>
      </w:tr>
      <w:tr>
        <w:trPr>
          <w:trHeight w:val="524"/>
        </w:trPr>
        <w:tc>
          <w:tcPr>
            <w:tcW w:w="6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As of March 31, 2024, the Company’s lease liabilities mature as follows: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620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120" w:type="dxa"/>
            <w:vAlign w:val="bottom"/>
            <w:gridSpan w:val="3"/>
          </w:tcPr>
          <w:p>
            <w:pPr>
              <w:spacing w:after="0"/>
              <w:rPr>
                <w:sz w:val="22"/>
                <w:szCs w:val="22"/>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Year:</w:t>
            </w: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1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2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0" w:type="dxa"/>
            <w:vAlign w:val="bottom"/>
          </w:tcPr>
          <w:p>
            <w:pPr>
              <w:spacing w:after="0"/>
              <w:rPr>
                <w:sz w:val="19"/>
                <w:szCs w:val="19"/>
                <w:color w:val="auto"/>
              </w:rPr>
            </w:pPr>
          </w:p>
        </w:tc>
      </w:tr>
      <w:tr>
        <w:trPr>
          <w:trHeight w:val="22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20" w:type="dxa"/>
            <w:vAlign w:val="bottom"/>
            <w:shd w:val="clear" w:color="auto" w:fill="CCEEFF"/>
          </w:tcPr>
          <w:p>
            <w:pPr>
              <w:spacing w:after="0"/>
              <w:rPr>
                <w:sz w:val="19"/>
                <w:szCs w:val="19"/>
                <w:color w:val="auto"/>
              </w:rPr>
            </w:pPr>
          </w:p>
        </w:tc>
      </w:tr>
      <w:tr>
        <w:trPr>
          <w:trHeight w:val="223"/>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20" w:type="dxa"/>
            <w:vAlign w:val="bottom"/>
          </w:tcPr>
          <w:p>
            <w:pPr>
              <w:spacing w:after="0"/>
              <w:rPr>
                <w:sz w:val="19"/>
                <w:szCs w:val="19"/>
                <w:color w:val="auto"/>
              </w:rPr>
            </w:pPr>
          </w:p>
        </w:tc>
      </w:tr>
      <w:tr>
        <w:trPr>
          <w:trHeight w:val="223"/>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20" w:type="dxa"/>
            <w:vAlign w:val="bottom"/>
            <w:tcBorders>
              <w:bottom w:val="single" w:sz="8" w:color="auto"/>
            </w:tcBorders>
          </w:tcPr>
          <w:p>
            <w:pPr>
              <w:spacing w:after="0"/>
              <w:rPr>
                <w:sz w:val="19"/>
                <w:szCs w:val="19"/>
                <w:color w:val="auto"/>
              </w:rPr>
            </w:pPr>
          </w:p>
        </w:tc>
      </w:tr>
      <w:tr>
        <w:trPr>
          <w:trHeight w:val="216"/>
        </w:trPr>
        <w:tc>
          <w:tcPr>
            <w:tcW w:w="20" w:type="dxa"/>
            <w:vAlign w:val="bottom"/>
            <w:shd w:val="clear" w:color="auto" w:fill="CCEEFF"/>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4,403</w:t>
            </w:r>
          </w:p>
        </w:tc>
        <w:tc>
          <w:tcPr>
            <w:tcW w:w="2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2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(1,259)</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Employee Retention Payroll Tax Credits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three months ended March 31, 2023, we received $2.0 million related to these credits, recognized $0.6 million as an offset related to operating expenses thorough accounts payable, and we have deferred recognition of remaining $1.4 million, which is recorded in current liabilities on the accompanying condensed consolidated balance sheets.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 FAIR VALUE MEASUREMENTS</w:t>
      </w:r>
    </w:p>
    <w:p>
      <w:pPr>
        <w:spacing w:after="0" w:line="2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9" w:name="page20"/>
    <w:bookmarkEnd w:id="19"/>
    <w:p>
      <w:pPr>
        <w:jc w:val="both"/>
        <w:spacing w:after="0" w:line="297" w:lineRule="auto"/>
        <w:rPr>
          <w:sz w:val="20"/>
          <w:szCs w:val="20"/>
          <w:color w:val="auto"/>
        </w:rPr>
      </w:pPr>
      <w:r>
        <w:rPr>
          <w:rFonts w:ascii="Times New Roman" w:cs="Times New Roman" w:eastAsia="Times New Roman" w:hAnsi="Times New Roman"/>
          <w:sz w:val="17"/>
          <w:szCs w:val="17"/>
          <w:color w:val="auto"/>
        </w:rPr>
        <w:t>(market data obtained from independent sources) and to minimize the use of unobservable inputs (internal assumptions about how market participants would price assets and liabilities).</w:t>
      </w:r>
    </w:p>
    <w:p>
      <w:pPr>
        <w:spacing w:after="0" w:line="1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color w:val="auto"/>
        </w:rPr>
        <w:t>The following fair value hierarchy is used to classify assets and liabilities based on the observable inputs and unobservable inputs used in order to value the assets and liabilities: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Valuation is based on unadjusted quoted prices in active markets for identical assets and liabilities that are accessible at the reporting date. Because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valuations are based on quoted prices that are readily and regularly available in an active market, valuation of these products does not entail a significant degree of judgment.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 Valuation is determined from pricing inputs that are other than quoted prices in active markets that are either directly or indirectly observable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Valuation is based on inputs that are both significant to the fair value measurement and unobservable. Level 3 inputs include situations where there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little, if any, market activity for the financial instrument. The inputs into the determination of fair value generally require significant management judgment or estimation.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Liabilities measured at fair value on a recurring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balances of the Company’s liabilities measured at fair value on a recurring basis as of March 31, 2024,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Total Fair Value</w:t>
            </w: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6"/>
        </w:trPr>
        <w:tc>
          <w:tcPr>
            <w:tcW w:w="48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4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balances of the Company’s liabilities measured at fair value on a recurring basis as of December 31, 2023, are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4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Total Fair Value</w:t>
            </w:r>
          </w:p>
        </w:tc>
      </w:tr>
      <w:tr>
        <w:trPr>
          <w:trHeight w:val="203"/>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2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48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4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following is a description of the methodologies used to estimate the fair values of liabilities measured at fair value on a recurring basis and within the fair value hierarchy.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Warrant liabilities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0" w:name="page21"/>
    <w:bookmarkEnd w:id="20"/>
    <w:p>
      <w:pPr>
        <w:jc w:val="both"/>
        <w:spacing w:after="0" w:line="297" w:lineRule="auto"/>
        <w:rPr>
          <w:sz w:val="20"/>
          <w:szCs w:val="20"/>
          <w:color w:val="auto"/>
        </w:rPr>
      </w:pPr>
      <w:r>
        <w:rPr>
          <w:rFonts w:ascii="Times New Roman" w:cs="Times New Roman" w:eastAsia="Times New Roman" w:hAnsi="Times New Roman"/>
          <w:sz w:val="17"/>
          <w:szCs w:val="17"/>
          <w:color w:val="auto"/>
        </w:rPr>
        <w:t>The Company utilizes a fair value approach to account for its warrants based on the quoted price at March 31, 2024, the calculation is consistent with ASC 820, Fair Value Measurement, with changes in fair value recorded in current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2024, the value of the public warrants was approximately $6,400 using a closing price of $0.0004.</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Fair Value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provides a roll-forward in the changes in fair value in the public warrants for the three months ended March 31, 2024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January 1, 2024</w:t>
            </w:r>
          </w:p>
        </w:tc>
        <w:tc>
          <w:tcPr>
            <w:tcW w:w="7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w:t>
            </w:r>
          </w:p>
        </w:tc>
        <w:tc>
          <w:tcPr>
            <w:tcW w:w="7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6"/>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2024</w:t>
            </w: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included in earnings for the period relating to liabilities held at March 31, 2024</w:t>
            </w: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transfers of financial liabilities between levels of the fair value hierarchy during the three months ended March 31, 2024.</w:t>
      </w:r>
    </w:p>
    <w:p>
      <w:pPr>
        <w:spacing w:after="0" w:line="22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Fair Value Considerations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Carrying value of accounts receivables, contract assets, prepaid expenses and other assets, accounts payable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accrued expenses approximate fair value due to their short-term maturities and/or low credit risk.</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 STOCKHOLDERS’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Sponsor Escrow Agreement</w:t>
      </w:r>
    </w:p>
    <w:p>
      <w:pPr>
        <w:spacing w:after="0" w:line="2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Contingent and Earnout Shares</w:t>
      </w: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212" w:lineRule="exact"/>
        <w:rPr>
          <w:sz w:val="20"/>
          <w:szCs w:val="20"/>
          <w:color w:val="auto"/>
        </w:rPr>
      </w:pPr>
    </w:p>
    <w:p>
      <w:pPr>
        <w:ind w:left="640" w:hanging="320"/>
        <w:spacing w:after="0" w:line="297" w:lineRule="auto"/>
        <w:tabs>
          <w:tab w:leader="none" w:pos="63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1" w:name="page22"/>
    <w:bookmarkEnd w:id="21"/>
    <w:p>
      <w:pPr>
        <w:ind w:left="640" w:hanging="320"/>
        <w:spacing w:after="0" w:line="297"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3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5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 NET INCOME (LOSS) PER SHARE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2024 and 2023, there were 45,594,864 and 26,940,841 shares of common stock issued and outstanding, respectively.</w:t>
      </w:r>
    </w:p>
    <w:p>
      <w:pPr>
        <w:spacing w:after="0" w:line="23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Basic net income (loss) per share is computed by dividing the net income (loss) by the weighted-average number of shares of common stock outstanding during the period on a basic and diluted basis.</w:t>
      </w:r>
    </w:p>
    <w:p>
      <w:pPr>
        <w:spacing w:after="0" w:line="17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following table reconciles actual basic and diluted income (loss) per share for the three months ended March 31, 2024 and 2023, respectively (in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5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8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3"/>
        </w:trPr>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03"/>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3"/>
        </w:trPr>
        <w:tc>
          <w:tcPr>
            <w:tcW w:w="7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Net income (loss) for basic net income (loss) calculation</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80" w:type="dxa"/>
            <w:vAlign w:val="bottom"/>
          </w:tcPr>
          <w:p>
            <w:pPr>
              <w:spacing w:after="0"/>
              <w:rPr>
                <w:sz w:val="19"/>
                <w:szCs w:val="19"/>
                <w:color w:val="auto"/>
              </w:rPr>
            </w:pPr>
          </w:p>
        </w:tc>
      </w:tr>
      <w:tr>
        <w:trPr>
          <w:trHeight w:val="203"/>
        </w:trPr>
        <w:tc>
          <w:tcPr>
            <w:tcW w:w="12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Effect of dilutive securities:</w:t>
            </w:r>
          </w:p>
        </w:tc>
        <w:tc>
          <w:tcPr>
            <w:tcW w:w="5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23"/>
        </w:trPr>
        <w:tc>
          <w:tcPr>
            <w:tcW w:w="76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Interest expense on Convertible Notes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2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(loss) for diluted net income (loss) calculation</w:t>
            </w: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Denominator for basic net income (loss) per share, weighted average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45,432,272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26,803,839</w:t>
            </w:r>
          </w:p>
        </w:tc>
        <w:tc>
          <w:tcPr>
            <w:tcW w:w="80" w:type="dxa"/>
            <w:vAlign w:val="bottom"/>
            <w:shd w:val="clear" w:color="auto" w:fill="CCEEFF"/>
          </w:tcPr>
          <w:p>
            <w:pPr>
              <w:spacing w:after="0"/>
              <w:rPr>
                <w:sz w:val="19"/>
                <w:szCs w:val="19"/>
                <w:color w:val="auto"/>
              </w:rPr>
            </w:pPr>
          </w:p>
        </w:tc>
      </w:tr>
      <w:tr>
        <w:trPr>
          <w:trHeight w:val="193"/>
        </w:trPr>
        <w:tc>
          <w:tcPr>
            <w:tcW w:w="120" w:type="dxa"/>
            <w:vAlign w:val="bottom"/>
          </w:tcPr>
          <w:p>
            <w:pPr>
              <w:spacing w:after="0"/>
              <w:rPr>
                <w:sz w:val="16"/>
                <w:szCs w:val="16"/>
                <w:color w:val="auto"/>
              </w:rPr>
            </w:pPr>
          </w:p>
        </w:tc>
        <w:tc>
          <w:tcPr>
            <w:tcW w:w="1960" w:type="dxa"/>
            <w:vAlign w:val="bottom"/>
            <w:tcBorders>
              <w:bottom w:val="single" w:sz="8" w:color="auto"/>
            </w:tcBorders>
          </w:tcPr>
          <w:p>
            <w:pPr>
              <w:spacing w:after="0" w:line="184" w:lineRule="exact"/>
              <w:rPr>
                <w:sz w:val="20"/>
                <w:szCs w:val="20"/>
                <w:color w:val="auto"/>
              </w:rPr>
            </w:pPr>
            <w:r>
              <w:rPr>
                <w:rFonts w:ascii="Times New Roman" w:cs="Times New Roman" w:eastAsia="Times New Roman" w:hAnsi="Times New Roman"/>
                <w:sz w:val="17"/>
                <w:szCs w:val="17"/>
                <w:color w:val="auto"/>
              </w:rPr>
              <w:t>Effect of dilutive securities:</w:t>
            </w:r>
          </w:p>
        </w:tc>
        <w:tc>
          <w:tcPr>
            <w:tcW w:w="5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3"/>
        </w:trPr>
        <w:tc>
          <w:tcPr>
            <w:tcW w:w="7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Convertible notes stock conversion, weighted average as converted</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31,882,784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120" w:type="dxa"/>
            <w:vAlign w:val="bottom"/>
          </w:tcPr>
          <w:p>
            <w:pPr>
              <w:spacing w:after="0"/>
              <w:rPr>
                <w:sz w:val="18"/>
                <w:szCs w:val="18"/>
                <w:color w:val="auto"/>
              </w:rPr>
            </w:pPr>
          </w:p>
        </w:tc>
        <w:tc>
          <w:tcPr>
            <w:tcW w:w="75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Denominator for diluted net income per share</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77,315,056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26,803,839</w:t>
            </w:r>
          </w:p>
        </w:tc>
        <w:tc>
          <w:tcPr>
            <w:tcW w:w="80" w:type="dxa"/>
            <w:vAlign w:val="bottom"/>
          </w:tcPr>
          <w:p>
            <w:pPr>
              <w:spacing w:after="0"/>
              <w:rPr>
                <w:sz w:val="18"/>
                <w:szCs w:val="18"/>
                <w:color w:val="auto"/>
              </w:rPr>
            </w:pPr>
          </w:p>
        </w:tc>
      </w:tr>
      <w:tr>
        <w:trPr>
          <w:trHeight w:val="223"/>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Pr>
          <w:p>
            <w:pPr>
              <w:spacing w:after="0"/>
              <w:rPr>
                <w:sz w:val="19"/>
                <w:szCs w:val="19"/>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40"/>
        </w:trPr>
        <w:tc>
          <w:tcPr>
            <w:tcW w:w="1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anti-dilutive securities excluded from the weighted-average shares used to calculate the diluted net income per common share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and the net loss per common share for the three months ended March 31, 2023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764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3"/>
        </w:trPr>
        <w:tc>
          <w:tcPr>
            <w:tcW w:w="76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unvested and subject to exercise of stock options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13,896</w:t>
            </w:r>
          </w:p>
        </w:tc>
        <w:tc>
          <w:tcPr>
            <w:tcW w:w="1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120,431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subject to outstanding common stock options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2,255,034</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2,945,020</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subject to convertible notes stock conversion</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695,261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subject to warrants stock conversion</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16,000,000</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16,586,980</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subject to contingent earn out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10,500,000</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10,500,000</w:t>
            </w:r>
          </w:p>
        </w:tc>
      </w:tr>
      <w:tr>
        <w:trPr>
          <w:trHeight w:val="228"/>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2,161,509</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1,314,000</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 BENEFIT PLAN</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maintains a safe harbor 401(k) retirement plan for the benefit of its employees. The plan allows participants to make contributions subject to certain limitations. Company matching contributions were $96,000 and $158,000 for the three months ended March 31, 2024 and 2023,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 INCOME TAXES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22 – SUBSEQUENT EVENTS</w:t>
      </w:r>
    </w:p>
    <w:p>
      <w:pPr>
        <w:spacing w:after="0" w:line="226"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7"/>
          <w:szCs w:val="17"/>
          <w:color w:val="auto"/>
        </w:rPr>
        <w:t>Management has considered subsequent events through May 14, 2024, the date this report was issued, and there were no events that required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SpringBig serves approximately 1,200 retail and brand clients across more than 2,600 distinct retail locations in North America. Our clients distribute more than 570 million messages annually, via text, push or email, and in the last year more than $7.9 billion of gross merchandise value was accounted for by clients utilizing our platform.</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OTCQX® Best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Metrics</w:t>
      </w:r>
    </w:p>
    <w:p>
      <w:pPr>
        <w:spacing w:after="0" w:line="239" w:lineRule="exact"/>
        <w:rPr>
          <w:sz w:val="20"/>
          <w:szCs w:val="20"/>
          <w:color w:val="auto"/>
        </w:rPr>
      </w:pPr>
    </w:p>
    <w:p>
      <w:pPr>
        <w:jc w:val="both"/>
        <w:ind w:right="480"/>
        <w:spacing w:after="0" w:line="281" w:lineRule="auto"/>
        <w:rPr>
          <w:sz w:val="20"/>
          <w:szCs w:val="20"/>
          <w:color w:val="auto"/>
        </w:rPr>
      </w:pPr>
      <w:r>
        <w:rPr>
          <w:rFonts w:ascii="Times New Roman" w:cs="Times New Roman" w:eastAsia="Times New Roman" w:hAnsi="Times New Roman"/>
          <w:sz w:val="17"/>
          <w:szCs w:val="17"/>
          <w:color w:val="auto"/>
        </w:rPr>
        <w:t>We monitor the following key financial and operational metrics to evaluate our business, measure our performance, identify trends affecting our business, formulate business plans, and make strategic decisions. The following is our analysis for the three months ended March 31, 2024 and 2023,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20" w:type="dxa"/>
            <w:vAlign w:val="bottom"/>
            <w:shd w:val="clear" w:color="auto" w:fill="CCEEFF"/>
          </w:tcPr>
          <w:p>
            <w:pPr>
              <w:spacing w:after="0"/>
              <w:rPr>
                <w:sz w:val="19"/>
                <w:szCs w:val="19"/>
                <w:color w:val="auto"/>
              </w:rPr>
            </w:pPr>
          </w:p>
        </w:tc>
        <w:tc>
          <w:tcPr>
            <w:tcW w:w="3540" w:type="dxa"/>
            <w:vAlign w:val="bottom"/>
            <w:gridSpan w:val="4"/>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760" w:type="dxa"/>
            <w:vAlign w:val="bottom"/>
            <w:shd w:val="clear" w:color="auto" w:fill="CCEEFF"/>
          </w:tcPr>
          <w:p>
            <w:pPr>
              <w:spacing w:after="0"/>
              <w:rPr>
                <w:sz w:val="19"/>
                <w:szCs w:val="19"/>
                <w:color w:val="auto"/>
              </w:rPr>
            </w:pPr>
          </w:p>
        </w:tc>
      </w:tr>
      <w:tr>
        <w:trPr>
          <w:trHeight w:val="223"/>
        </w:trPr>
        <w:tc>
          <w:tcPr>
            <w:tcW w:w="69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760" w:type="dxa"/>
            <w:vAlign w:val="bottom"/>
            <w:tcBorders>
              <w:bottom w:val="single" w:sz="8" w:color="auto"/>
            </w:tcBorders>
          </w:tcPr>
          <w:p>
            <w:pPr>
              <w:spacing w:after="0"/>
              <w:rPr>
                <w:sz w:val="19"/>
                <w:szCs w:val="19"/>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6,474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7,157</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340" w:type="dxa"/>
            <w:vAlign w:val="bottom"/>
          </w:tcPr>
          <w:p>
            <w:pPr>
              <w:spacing w:after="0"/>
              <w:rPr>
                <w:sz w:val="19"/>
                <w:szCs w:val="19"/>
                <w:color w:val="auto"/>
              </w:rPr>
            </w:pPr>
          </w:p>
        </w:tc>
        <w:tc>
          <w:tcPr>
            <w:tcW w:w="7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(2,262)</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(1,331)</w:t>
            </w:r>
          </w:p>
        </w:tc>
      </w:tr>
      <w:tr>
        <w:trPr>
          <w:trHeight w:val="262"/>
        </w:trPr>
        <w:tc>
          <w:tcPr>
            <w:tcW w:w="6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retail clients</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1,207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1,366</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revenue retention</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messages (million)</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637</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488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 reconciliation of net loss to Adjusted EBITDA see “EBITDA” and “Adjusted EBITDA,”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24" w:name="page25"/>
    <w:bookmarkEnd w:id="24"/>
    <w:p>
      <w:pPr>
        <w:jc w:val="both"/>
        <w:spacing w:after="0" w:line="281" w:lineRule="auto"/>
        <w:rPr>
          <w:sz w:val="20"/>
          <w:szCs w:val="20"/>
          <w:color w:val="auto"/>
        </w:rPr>
      </w:pPr>
      <w:r>
        <w:rPr>
          <w:rFonts w:ascii="Times New Roman" w:cs="Times New Roman" w:eastAsia="Times New Roman" w:hAnsi="Times New Roman"/>
          <w:sz w:val="17"/>
          <w:szCs w:val="17"/>
          <w:color w:val="auto"/>
        </w:rPr>
        <w:t>cancellation fee payable by the client), are payable monthly, and automatically renew for subsequent and recurring twelve-month periods unless notice of cancellation is provided in advance.</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Key Operating Metrics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21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Number of Retail Clients. </w:t>
      </w:r>
      <w:r>
        <w:rPr>
          <w:rFonts w:ascii="Times New Roman" w:cs="Times New Roman" w:eastAsia="Times New Roman" w:hAnsi="Times New Roman"/>
          <w:sz w:val="17"/>
          <w:szCs w:val="17"/>
          <w:color w:val="auto"/>
        </w:rPr>
        <w:t>We disclose in the table above the number of discrete SpringBig platforms used by clients of the business at the end of the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Net Revenue Retention. </w:t>
      </w:r>
      <w:r>
        <w:rPr>
          <w:rFonts w:ascii="Times New Roman" w:cs="Times New Roman" w:eastAsia="Times New Roman" w:hAnsi="Times New Roman"/>
          <w:sz w:val="17"/>
          <w:szCs w:val="17"/>
          <w:color w:val="auto"/>
        </w:rPr>
        <w:t>We believe that the growth in the use of our platform by our clients is an important metric in evaluating our business and growth.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i w:val="1"/>
          <w:iCs w:val="1"/>
          <w:color w:val="auto"/>
        </w:rPr>
        <w:t xml:space="preserve">Number of Messages Sent. </w:t>
      </w:r>
      <w:r>
        <w:rPr>
          <w:rFonts w:ascii="Times New Roman" w:cs="Times New Roman" w:eastAsia="Times New Roman" w:hAnsi="Times New Roman"/>
          <w:sz w:val="17"/>
          <w:szCs w:val="17"/>
          <w:color w:val="auto"/>
        </w:rPr>
        <w:t>We believe that the volume of messages sent is important as it indicates the frequency of use and level of engagement of our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our clients. Messages are distributed by text, email, and direct push notifications to mobile applications.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EBITDA and Adjusted EBITDA</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bad debt expense and stock-based compensation).</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EBITDA and Adjusted EBITDA have limitations, and you should not consider these in isolation or as a substitute for analysis of our results as reported under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GAAP, including net loss, which we consider to be the most directly comparable GAAP financial measure. Some of these limitations are: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5" w:name="page26"/>
    <w:bookmarkEnd w:id="25"/>
    <w:p>
      <w:pPr>
        <w:ind w:left="640" w:hanging="320"/>
        <w:spacing w:after="0" w:line="245" w:lineRule="auto"/>
        <w:tabs>
          <w:tab w:leader="none" w:pos="6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changes in, or cash requirements for, our working capital needs; and</w:t>
      </w:r>
    </w:p>
    <w:p>
      <w:pPr>
        <w:spacing w:after="0" w:line="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and Adjusted EBITDA do not reflect tax payments that may represent a reduction in cash available.</w:t>
      </w:r>
    </w:p>
    <w:p>
      <w:pPr>
        <w:spacing w:after="0" w:line="2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Because of these limitations, you should consider EBITDA and Adjusted EBITDA alongside other financial performance measures, including net loss and our other GAAP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net loss before taxes to non-GAAP EBITDA and Adjusted EBITDA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shd w:val="clear" w:color="auto" w:fill="CCEEFF"/>
          </w:tcPr>
          <w:p>
            <w:pPr>
              <w:spacing w:after="0"/>
              <w:rPr>
                <w:sz w:val="19"/>
                <w:szCs w:val="19"/>
                <w:color w:val="auto"/>
              </w:rPr>
            </w:pPr>
          </w:p>
        </w:tc>
        <w:tc>
          <w:tcPr>
            <w:tcW w:w="3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42"/>
        </w:trPr>
        <w:tc>
          <w:tcPr>
            <w:tcW w:w="7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1,342</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w:t>
            </w:r>
          </w:p>
        </w:tc>
        <w:tc>
          <w:tcPr>
            <w:tcW w:w="0" w:type="dxa"/>
            <w:vAlign w:val="bottom"/>
          </w:tcPr>
          <w:p>
            <w:pPr>
              <w:spacing w:after="0"/>
              <w:rPr>
                <w:sz w:val="1"/>
                <w:szCs w:val="1"/>
                <w:color w:val="auto"/>
              </w:rPr>
            </w:pPr>
          </w:p>
        </w:tc>
      </w:tr>
      <w:tr>
        <w:trPr>
          <w:trHeight w:val="262"/>
        </w:trPr>
        <w:tc>
          <w:tcPr>
            <w:tcW w:w="75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expense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repurchase of convertible debt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and related payments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62"/>
        </w:trPr>
        <w:tc>
          <w:tcPr>
            <w:tcW w:w="754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is recorded in General and administrative expenses</w:t>
            </w: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54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Overall Economic Trends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Growth and Retention of Customers</w:t>
      </w:r>
    </w:p>
    <w:p>
      <w:pPr>
        <w:spacing w:after="0" w:line="2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Regulation and Maturation of Cannabis Markets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7"/>
          <w:szCs w:val="17"/>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believe that maintaining and enhancing our brand identity and our reputation is critical to maintaining and growing our relationships with customers and to our ability to attract new customers.</w:t>
      </w:r>
    </w:p>
    <w:p>
      <w:pPr>
        <w:spacing w:after="0" w:line="17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Cost of revenue consists primarily of amounts payable to distributors of messages on behalf of the Company’s customers across cellular networks and integrations.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Servicing and Marketing Expenses</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Software Development Expenses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7"/>
          <w:szCs w:val="17"/>
          <w:i w:val="1"/>
          <w:iCs w:val="1"/>
          <w:color w:val="auto"/>
        </w:rPr>
        <w:t>Intangibles – Goodwill and Other – Internal Use Software</w:t>
      </w:r>
      <w:r>
        <w:rPr>
          <w:rFonts w:ascii="Times New Roman" w:cs="Times New Roman" w:eastAsia="Times New Roman" w:hAnsi="Times New Roman"/>
          <w:sz w:val="17"/>
          <w:szCs w:val="17"/>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March 31, 2024 compared to Three Months Ended March 31, 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indicated: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7"/>
                <w:szCs w:val="17"/>
                <w:b w:val="1"/>
                <w:bCs w:val="1"/>
                <w:color w:val="auto"/>
              </w:rPr>
              <w:t>Increase</w:t>
            </w:r>
          </w:p>
        </w:tc>
        <w:tc>
          <w:tcPr>
            <w:tcW w:w="124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(decrease)</w:t>
            </w: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56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6,474</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1,794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4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4,680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Selling, servicing and marketing</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Technology and software development</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1,666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1,769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4,962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(2,573)</w:t>
            </w: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note repurchase</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1,573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1,573</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Change in fair value of warrants</w:t>
            </w: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before taxes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23"/>
        </w:trPr>
        <w:tc>
          <w:tcPr>
            <w:tcW w:w="5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8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after taxes</w:t>
            </w:r>
          </w:p>
        </w:tc>
        <w:tc>
          <w:tcPr>
            <w:tcW w:w="82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nm-not meaningful</w:t>
      </w:r>
    </w:p>
    <w:p>
      <w:pPr>
        <w:spacing w:after="0" w:line="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decreased $0.7 million for the three months ended March 31, 2024, representing a 10% year-on-year reduction compared with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2023. Our subscription revenue was $5.4 million for the three months ended March 31, 2024 compared with $5.7 million in the same quarter in 2023, representing 4% year-over-year decline and is impacted by the Company having to cease providing access to our platform to clients who became delinquent in their payments. The excess use revenue also declined, by 28% year-over-year due to the weaker economy in particular impacting the cannabis sector and our clients being budget-conscious in limiting their messaging activity to within the volumes of their subscription. Our revenue from Brands clients decreased from $0.3 million in the three months ended March 31, 2024, as compared to $0.1 million for the three months ended March 31, 2023. SpringBig expanded its product offerings during the quarter, including the introduction of a paid-for consumer VIP loyalty tier that retail clients can operate in conjunction with their standard loyalty program, and in the three months ended March 31, 2024, we derived revenue from this new product and envisage significant future growth.</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net revenue retention rate was 89% for the three months ended March 31, 2024, compared with 100% for the three months ended March 31, 2023, reflecting the challenging macroeconomic conditions of the cannabis market and the financial stress of some of our retail clients leading to the Company having to suspend or cease some access to our platform.</w:t>
      </w:r>
    </w:p>
    <w:p>
      <w:pPr>
        <w:spacing w:after="0" w:line="186"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7"/>
          <w:szCs w:val="17"/>
          <w:i w:val="1"/>
          <w:iCs w:val="1"/>
          <w:color w:val="auto"/>
        </w:rPr>
        <w:t>Gross Profit</w:t>
      </w:r>
      <w:r>
        <w:rPr>
          <w:rFonts w:ascii="Times New Roman" w:cs="Times New Roman" w:eastAsia="Times New Roman" w:hAnsi="Times New Roman"/>
          <w:sz w:val="17"/>
          <w:szCs w:val="17"/>
          <w:color w:val="auto"/>
        </w:rPr>
        <w:t>. Gross profit decreased by $1.1 million to $4.7 million for the three months ended March 31, 2024 from $5.8 million for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2023, representing a 19% year-on-year reduction. In part this reduction was due to the $0.7 million decline in revenues and additionally our cost of revenue increased by $0.4 million due to higher messaging distribution costs which represent the main expense in our cost of revenue. The gross profit margin reduced from 81% for the three months ended March 31, 2023 to 72% for the three months ended March 31, 2024.</w:t>
      </w:r>
    </w:p>
    <w:p>
      <w:pPr>
        <w:spacing w:after="0" w:line="1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i w:val="1"/>
          <w:iCs w:val="1"/>
          <w:color w:val="auto"/>
        </w:rPr>
        <w:t>Operating Expenses</w:t>
      </w:r>
      <w:r>
        <w:rPr>
          <w:rFonts w:ascii="Times New Roman" w:cs="Times New Roman" w:eastAsia="Times New Roman" w:hAnsi="Times New Roman"/>
          <w:sz w:val="17"/>
          <w:szCs w:val="17"/>
          <w:color w:val="auto"/>
        </w:rPr>
        <w:t>. The Company has focused on right-sizing the operating expenses of the business over the course of the past eighteen months to accelerate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path to profitability in the challenging macroeconomic conditions that prevail across the cannabis market, and which impacts revenue in the near-term.</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Our operating expenses decreased by $2.6 million, or 34%, for the three months ended March 31, 2024 compared with the same period in 2023.</w:t>
      </w:r>
    </w:p>
    <w:p>
      <w:pPr>
        <w:spacing w:after="0" w:line="2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Selling, servicing and marketing expenses decreased by $1.0 million, or 38%, for the quarter ended March 31, 2024, compared to the same period in 2023, due to lower compensation expense as a result of lower employee headcount.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Technology and software development expenses decreased by $0.6 million, or 28%, for the quarter ended March 31, 2024, compared to the same period in 2023, with the decrease being attributable to lower expenses associated with the use of offshore contract developers and a small reduction in compensation expense.</w:t>
      </w: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decreased by $1.0 million, or 36%, for the quarter ended March 31, 2024, compared to the same period in 2023, with the decrease being largely attributable to lower costs, including insurance, directors fees and legal and accounting advisory fees, due to being quoted for trading on the OTCQX® Best Market rather than listed on the Nasdaq Capital Market.</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Interest expense was $0.9 million for the quarter ended March 31, 2024, compared with $0.4 million for the quarter ended March 31,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increase being due to interest payable cash advances used as bridging finance prior to completing the transaction to raise $8.0 million of debt financing. The cash advances are being repaid weekly and will be fully repaid by the end of the third quarter of 2024.</w:t>
      </w:r>
    </w:p>
    <w:p>
      <w:pPr>
        <w:spacing w:after="0" w:line="18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i w:val="1"/>
          <w:iCs w:val="1"/>
          <w:color w:val="auto"/>
        </w:rPr>
        <w:t>Gain on note repurchase</w:t>
      </w:r>
      <w:r>
        <w:rPr>
          <w:rFonts w:ascii="Times New Roman" w:cs="Times New Roman" w:eastAsia="Times New Roman" w:hAnsi="Times New Roman"/>
          <w:sz w:val="17"/>
          <w:szCs w:val="17"/>
          <w:color w:val="auto"/>
        </w:rPr>
        <w:t>. The gain on the repurchase of the 6% Senior Secured Note is the difference between the cash paid to repurchase the entire obligation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$2.9 million and the outstanding principal and accrued interest of $5.2 million, less unamortized discounts and warrant value of $0.7 million.</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Change in fair value of warrants</w:t>
      </w:r>
      <w:r>
        <w:rPr>
          <w:rFonts w:ascii="Times New Roman" w:cs="Times New Roman" w:eastAsia="Times New Roman" w:hAnsi="Times New Roman"/>
          <w:sz w:val="17"/>
          <w:szCs w:val="17"/>
          <w:color w:val="auto"/>
        </w:rPr>
        <w:t>. The liability relating to warrants issued by SpringBig is included on the balance sheet at the fair value prevailing at the end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accounting period and any change in value is reported in the income statement. As at March 31, 2024, the market value of the public warrants, which are quoted for trading on the OTC Pink Market, was $0.0004 per warrant compared with $0.0002 at December 31, 2023. The increase in value, which is recognized as an expense in our income statement for the three months ended March 31, 2024, was $3,200.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&amp; Capital Resources</w:t>
      </w: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9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w:t>
      </w:r>
    </w:p>
    <w:p>
      <w:pPr>
        <w:spacing w:after="0" w:line="226" w:lineRule="auto"/>
        <w:rPr>
          <w:sz w:val="20"/>
          <w:szCs w:val="20"/>
          <w:color w:val="auto"/>
        </w:rPr>
      </w:pPr>
      <w:r>
        <w:rPr>
          <w:rFonts w:ascii="Times New Roman" w:cs="Times New Roman" w:eastAsia="Times New Roman" w:hAnsi="Times New Roman"/>
          <w:sz w:val="17"/>
          <w:szCs w:val="17"/>
          <w:color w:val="auto"/>
        </w:rPr>
        <w:t>which, approximately 1.0 million related to conversion of a portion of the 6% Senior Secured Convertible Note to common shares on June 15, 2023. The cash</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9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December 31, 2023, and March 31, 2024, the total outstanding amount payable to Cedar was $1.1 million and $0.6 million, respectively, payable in weekly installments of $30,000 until August 2024.</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December 31, 2023, and March 31, 2024, the total outstanding amount payable to ACF was $1.7 million and $1.1 million, respectively, payable in weekly installments of $55,000 until July 2024.</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January 23, 2024, the Company raised $6.4 million through the issuance of 8% Convertible Notes and $1.6 million through the issuance of 12% Term Notes. The net cash proceeds, after transaction expenses, were $7.5 million.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9" w:name="page30"/>
    <w:bookmarkEnd w:id="29"/>
    <w:p>
      <w:pPr>
        <w:jc w:val="both"/>
        <w:spacing w:after="0" w:line="249" w:lineRule="auto"/>
        <w:rPr>
          <w:sz w:val="20"/>
          <w:szCs w:val="20"/>
          <w:color w:val="auto"/>
        </w:rPr>
      </w:pPr>
      <w:r>
        <w:rPr>
          <w:rFonts w:ascii="Times New Roman" w:cs="Times New Roman" w:eastAsia="Times New Roman" w:hAnsi="Times New Roman"/>
          <w:sz w:val="17"/>
          <w:szCs w:val="17"/>
          <w:color w:val="auto"/>
        </w:rPr>
        <w:t>The 8% Convertible Notes accrue interest which is added to the outstanding principal balance annually. The Notes are convertible into common stock at a conversion price of $0.15 per share at the holder’s option any time up to the day prior to maturity in January 2026. The 12% Term Notes, due in January 2026, accrue interest payable in cash semi-annually. The 8% Convertible Notes and 12% Term Notes rank pari passu and are secured by substantially all the assets of the Company.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8% Convertible Notes, purchased the entire outstanding obligation to the note holder for $2.9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 these transactions in January 2024, the Company has a stronger and cleaner balance sheet.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accounts receivable, and working capital at March 31, 2024 and December 31, 2023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54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700" w:type="dxa"/>
            <w:vAlign w:val="bottom"/>
          </w:tcPr>
          <w:p>
            <w:pPr>
              <w:jc w:val="right"/>
              <w:ind w:right="14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1,668</w:t>
            </w:r>
          </w:p>
        </w:tc>
        <w:tc>
          <w:tcPr>
            <w:tcW w:w="200" w:type="dxa"/>
            <w:vAlign w:val="bottom"/>
          </w:tcPr>
          <w:p>
            <w:pPr>
              <w:spacing w:after="0"/>
              <w:rPr>
                <w:sz w:val="18"/>
                <w:szCs w:val="18"/>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70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3,211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2,948</w:t>
            </w: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7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(9,106)</w:t>
            </w:r>
          </w:p>
        </w:tc>
      </w:tr>
    </w:tbl>
    <w:p>
      <w:pPr>
        <w:spacing w:after="0" w:line="2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8% Convertible Notes and 12% Term Notes also contain a number of restrictive covenants that may impose significant restrictions on obtaining future financings, including restrictions on SpringBig’s ability to do any of each following while the 8% Convertible Notes and 12%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8"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investing and financing activities for the three months ended March 31, 2024 and 2023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shd w:val="clear" w:color="auto" w:fill="CCEEFF"/>
          </w:tcPr>
          <w:p>
            <w:pPr>
              <w:spacing w:after="0"/>
              <w:rPr>
                <w:sz w:val="18"/>
                <w:szCs w:val="18"/>
                <w:color w:val="auto"/>
              </w:rPr>
            </w:pPr>
          </w:p>
        </w:tc>
        <w:tc>
          <w:tcPr>
            <w:tcW w:w="27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shd w:val="clear" w:color="auto" w:fill="CCEEFF"/>
          </w:tcPr>
          <w:p>
            <w:pPr>
              <w:spacing w:after="0"/>
              <w:rPr>
                <w:sz w:val="18"/>
                <w:szCs w:val="18"/>
                <w:color w:val="auto"/>
              </w:rPr>
            </w:pPr>
          </w:p>
        </w:tc>
      </w:tr>
      <w:tr>
        <w:trPr>
          <w:trHeight w:val="216"/>
        </w:trPr>
        <w:tc>
          <w:tcPr>
            <w:tcW w:w="79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right w:val="single" w:sz="8" w:color="DBDBDB"/>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0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94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(used in) provided by:</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23"/>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3,274</w:t>
            </w:r>
          </w:p>
        </w:tc>
        <w:tc>
          <w:tcPr>
            <w:tcW w:w="16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1,337</w:t>
            </w: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28"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Cash provided by operating activities consists primarily of net income (loss) adjusted for certain non-cash items, including depreciation and amortization, non-cash stock compensation expenses, changes in the fair value of financial instruments and the effect of changes in working capital and other activities.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0" w:name="page31"/>
    <w:bookmarkEnd w:id="30"/>
    <w:p>
      <w:pPr>
        <w:jc w:val="both"/>
        <w:ind w:firstLine="433"/>
        <w:spacing w:after="0" w:line="249" w:lineRule="auto"/>
        <w:rPr>
          <w:sz w:val="20"/>
          <w:szCs w:val="20"/>
          <w:color w:val="auto"/>
        </w:rPr>
      </w:pPr>
      <w:r>
        <w:rPr>
          <w:rFonts w:ascii="Times New Roman" w:cs="Times New Roman" w:eastAsia="Times New Roman" w:hAnsi="Times New Roman"/>
          <w:sz w:val="17"/>
          <w:szCs w:val="17"/>
          <w:color w:val="auto"/>
        </w:rPr>
        <w:t>In the three months ended March 31, 2024, the net income was $0.4 million and the cash used in operating activities was $1.9 million. The difference of $2.3 million is due to the $1.6 million gain on the repurchase of the 6% Secured Convertible Note in January 2024, the cash benefit of which is reflected in financing activities, and a $1.3 million increase in working capital (primarily due to reduced payables) being partially offset by $0.6 million of non-cash items (including depreciation, amortization, stock-based compensation and change in the fair value of warrants).</w:t>
      </w:r>
    </w:p>
    <w:p>
      <w:pPr>
        <w:spacing w:after="0" w:line="198" w:lineRule="exact"/>
        <w:rPr>
          <w:sz w:val="20"/>
          <w:szCs w:val="20"/>
          <w:color w:val="auto"/>
        </w:rPr>
      </w:pPr>
    </w:p>
    <w:p>
      <w:pPr>
        <w:jc w:val="both"/>
        <w:ind w:firstLine="433"/>
        <w:spacing w:after="0" w:line="251" w:lineRule="auto"/>
        <w:rPr>
          <w:sz w:val="20"/>
          <w:szCs w:val="20"/>
          <w:color w:val="auto"/>
        </w:rPr>
      </w:pPr>
      <w:r>
        <w:rPr>
          <w:rFonts w:ascii="Times New Roman" w:cs="Times New Roman" w:eastAsia="Times New Roman" w:hAnsi="Times New Roman"/>
          <w:sz w:val="17"/>
          <w:szCs w:val="17"/>
          <w:color w:val="auto"/>
        </w:rPr>
        <w:t>In the three months ended March 31, 2023, the net loss was $2.3 million. The cash provided by operations was $0.4 million, benefiting from the receipt of $1.4 million relating to refundable employee retention payroll tax credits under the Coronavirus Aid, Relief and Economic Security Act (CARES Act), $1.0 million of non-cash items and a $0.3 million reduction in working capital. Due to the complex nature of the employee retention credit computations, we have deferred any benefit related to these credits until we have reasonable certainty, including, but not limited to, the completion of any potential audit or examination or the expiration of the related statute of limitations.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28" w:lineRule="exact"/>
        <w:rPr>
          <w:sz w:val="20"/>
          <w:szCs w:val="20"/>
          <w:color w:val="auto"/>
        </w:rPr>
      </w:pPr>
    </w:p>
    <w:p>
      <w:pPr>
        <w:jc w:val="both"/>
        <w:ind w:firstLine="433"/>
        <w:spacing w:after="0" w:line="281" w:lineRule="auto"/>
        <w:rPr>
          <w:sz w:val="20"/>
          <w:szCs w:val="20"/>
          <w:color w:val="auto"/>
        </w:rPr>
      </w:pPr>
      <w:r>
        <w:rPr>
          <w:rFonts w:ascii="Times New Roman" w:cs="Times New Roman" w:eastAsia="Times New Roman" w:hAnsi="Times New Roman"/>
          <w:sz w:val="17"/>
          <w:szCs w:val="17"/>
          <w:color w:val="auto"/>
        </w:rPr>
        <w:t>SpringBig has low capital investment requirements, with our needs being comprised primarily of computer equipment and office furniture and related items. Cash used in investing activities was $59,000 for the three months ended March 31, 2024 and $12,000 for the three months ended March 31, 2023.</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2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the three months ended March 31, 2024, the net cash provided by financing activities was $3.3 million. The proceeds of $7.5 million, net of expenses, from the issuance of the $1.6 million aggregate principal amount of 12% Secured Term Notes, due 2026, and $6.4 million aggregate principal amount of 8% Secured Convertible Notes, due 2026, were in part used to repay the 6% Senior Secured Convertible and associated warrants for cash consideration of $2.9 million. The short-term cash advances were repaid by $0.7 million, and we repaid a related party loan of $0.5 million.</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31, 2023, the net cash used by financing activities of $1.3 million comprised $1.4 million repayment of the 6% Senior Secured Convertible Note partially offset by proceeds of $0.1 million from the exercise of employee stock options.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1" w:lineRule="exact"/>
        <w:rPr>
          <w:sz w:val="20"/>
          <w:szCs w:val="20"/>
          <w:color w:val="auto"/>
        </w:rPr>
      </w:pPr>
    </w:p>
    <w:p>
      <w:pPr>
        <w:jc w:val="both"/>
        <w:ind w:firstLine="433"/>
        <w:spacing w:after="0" w:line="229" w:lineRule="auto"/>
        <w:rPr>
          <w:sz w:val="20"/>
          <w:szCs w:val="20"/>
          <w:color w:val="auto"/>
        </w:rPr>
      </w:pPr>
      <w:r>
        <w:rPr>
          <w:rFonts w:ascii="Times New Roman" w:cs="Times New Roman" w:eastAsia="Times New Roman" w:hAnsi="Times New Roman"/>
          <w:sz w:val="17"/>
          <w:szCs w:val="17"/>
          <w:color w:val="auto"/>
        </w:rPr>
        <w:t>At March 31, 2024,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resources that is material to shareholders.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are not expected to be realized. The Company adopted </w:t>
      </w:r>
      <w:r>
        <w:rPr>
          <w:rFonts w:ascii="Times New Roman" w:cs="Times New Roman" w:eastAsia="Times New Roman" w:hAnsi="Times New Roman"/>
          <w:sz w:val="17"/>
          <w:szCs w:val="17"/>
          <w:i w:val="1"/>
          <w:iCs w:val="1"/>
          <w:color w:val="auto"/>
        </w:rPr>
        <w:t>ASU 2016-17, Balance Sheet Classification of Deferred Taxes</w:t>
      </w:r>
      <w:r>
        <w:rPr>
          <w:rFonts w:ascii="Times New Roman" w:cs="Times New Roman" w:eastAsia="Times New Roman" w:hAnsi="Times New Roman"/>
          <w:sz w:val="17"/>
          <w:szCs w:val="17"/>
          <w:color w:val="auto"/>
        </w:rPr>
        <w:t>. The guidance requires that all deferred tax assets and liabilities, along with any related valuation allowance, be classified as noncurrent on the balance sheet. As a result, each jurisdiction will only have one net noncurrent deferred tax asset or liability.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December 31, 2023 and 2022, there are no uncertain tax positions taken, or expected to be taken, that would require recognition of a liability or disclosure in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ASC 718, Compensation - Stock Compensation, </w:t>
      </w:r>
      <w:r>
        <w:rPr>
          <w:rFonts w:ascii="Times New Roman" w:cs="Times New Roman" w:eastAsia="Times New Roman" w:hAnsi="Times New Roman"/>
          <w:sz w:val="17"/>
          <w:szCs w:val="17"/>
          <w:color w:val="auto"/>
        </w:rPr>
        <w:t>addresses accounting for share-based awards, including stock options, restricted stock, performance shares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estimates the fair value of stock options using the Black-Scholes valuation model. The expected life represents the term the options granted are</w:t>
      </w:r>
    </w:p>
    <w:p>
      <w:pPr>
        <w:spacing w:after="0" w:line="4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expected to be outstanding. The expected volatility was determined using the historical volatility of similar publicly traded companies. The risk-free interest rate is based on the U.S. Treasury rate in effect at the time of grant.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Accounts receivable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Recent Accounting Pronouncements</w:t>
      </w:r>
    </w:p>
    <w:p>
      <w:pPr>
        <w:spacing w:after="0" w:line="237" w:lineRule="exact"/>
        <w:rPr>
          <w:sz w:val="20"/>
          <w:szCs w:val="20"/>
          <w:color w:val="auto"/>
        </w:rPr>
      </w:pPr>
    </w:p>
    <w:p>
      <w:pPr>
        <w:jc w:val="both"/>
        <w:ind w:firstLine="349"/>
        <w:spacing w:after="0" w:line="246" w:lineRule="auto"/>
        <w:rPr>
          <w:sz w:val="20"/>
          <w:szCs w:val="20"/>
          <w:color w:val="auto"/>
        </w:rPr>
      </w:pPr>
      <w:r>
        <w:rPr>
          <w:rFonts w:ascii="Times New Roman" w:cs="Times New Roman" w:eastAsia="Times New Roman" w:hAnsi="Times New Roman"/>
          <w:sz w:val="17"/>
          <w:szCs w:val="17"/>
          <w:color w:val="231F20"/>
        </w:rPr>
        <w:t xml:space="preserve">In November 2023, the FASB issued ASU No. 2023-07 (Topic 280), </w:t>
      </w:r>
      <w:r>
        <w:rPr>
          <w:rFonts w:ascii="Times New Roman" w:cs="Times New Roman" w:eastAsia="Times New Roman" w:hAnsi="Times New Roman"/>
          <w:sz w:val="17"/>
          <w:szCs w:val="17"/>
          <w:i w:val="1"/>
          <w:iCs w:val="1"/>
          <w:color w:val="231F20"/>
        </w:rPr>
        <w:t>Improvements to Reportable Segment Disclosures</w:t>
      </w:r>
      <w:r>
        <w:rPr>
          <w:rFonts w:ascii="Times New Roman" w:cs="Times New Roman" w:eastAsia="Times New Roman" w:hAnsi="Times New Roman"/>
          <w:sz w:val="17"/>
          <w:szCs w:val="17"/>
          <w:color w:val="231F20"/>
        </w:rPr>
        <w:t>. The ASU primarily will require enhanced disclosures about significant segment expenses. Additionally, it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Company is currently evaluating the impact this ASU will have on its consolidated financial statements and disclosures.</w:t>
      </w:r>
    </w:p>
    <w:p>
      <w:pPr>
        <w:spacing w:after="0" w:line="201" w:lineRule="exact"/>
        <w:rPr>
          <w:sz w:val="20"/>
          <w:szCs w:val="20"/>
          <w:color w:val="auto"/>
        </w:rPr>
      </w:pPr>
    </w:p>
    <w:p>
      <w:pPr>
        <w:jc w:val="both"/>
        <w:ind w:firstLine="349"/>
        <w:spacing w:after="0" w:line="255" w:lineRule="auto"/>
        <w:rPr>
          <w:sz w:val="20"/>
          <w:szCs w:val="20"/>
          <w:color w:val="auto"/>
        </w:rPr>
      </w:pPr>
      <w:r>
        <w:rPr>
          <w:rFonts w:ascii="Times New Roman" w:cs="Times New Roman" w:eastAsia="Times New Roman" w:hAnsi="Times New Roman"/>
          <w:sz w:val="17"/>
          <w:szCs w:val="17"/>
          <w:color w:val="231F20"/>
        </w:rPr>
        <w:t xml:space="preserve">In December 2023, the FASB issued ASU No. 2023-09 (Topic 740), </w:t>
      </w:r>
      <w:r>
        <w:rPr>
          <w:rFonts w:ascii="Times New Roman" w:cs="Times New Roman" w:eastAsia="Times New Roman" w:hAnsi="Times New Roman"/>
          <w:sz w:val="17"/>
          <w:szCs w:val="17"/>
          <w:i w:val="1"/>
          <w:iCs w:val="1"/>
          <w:color w:val="231F20"/>
        </w:rPr>
        <w:t>Improvements to Income Tax Disclosures</w:t>
      </w:r>
      <w:r>
        <w:rPr>
          <w:rFonts w:ascii="Times New Roman" w:cs="Times New Roman" w:eastAsia="Times New Roman" w:hAnsi="Times New Roman"/>
          <w:sz w:val="17"/>
          <w:szCs w:val="17"/>
          <w:color w:val="231F20"/>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and Smaller Reporting Company Status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2" w:name="page33"/>
    <w:bookmarkEnd w:id="32"/>
    <w:p>
      <w:pPr>
        <w:jc w:val="both"/>
        <w:spacing w:after="0" w:line="281" w:lineRule="auto"/>
        <w:rPr>
          <w:sz w:val="20"/>
          <w:szCs w:val="20"/>
          <w:color w:val="auto"/>
        </w:rPr>
      </w:pPr>
      <w:r>
        <w:rPr>
          <w:rFonts w:ascii="Times New Roman" w:cs="Times New Roman" w:eastAsia="Times New Roman" w:hAnsi="Times New Roman"/>
          <w:sz w:val="17"/>
          <w:szCs w:val="17"/>
          <w:color w:val="auto"/>
        </w:rPr>
        <w:t>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Fluctuation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an original maturity of three months or less to be cash equivalents.</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Rate Risk</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Our Chief Executive Officer (our principal executive officer) and Chief Financial Officer (our principal financial and accounting officer) evaluated the effectiveness of our “disclosure controls and procedures” (as defined in the Exchange Act Rules 13a-15(e) and 15d-15(e)) as of March 31, 2024,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2023, for a description of the Company’s material weaknesses in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3" w:name="page34"/>
    <w:bookmarkEnd w:id="33"/>
    <w:p>
      <w:pPr>
        <w:jc w:val="both"/>
        <w:spacing w:after="0" w:line="281"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quarter ended March 31, 2024 that has materially affected, or is reasonably likely to materially affect, the Company’s internal control over financial reporting.</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13"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7"/>
          <w:szCs w:val="17"/>
          <w:color w:val="auto"/>
        </w:rPr>
        <w:t>For a description of developments to legal proceedings during the nine months ended March 31, 2024, see "Litigation" under Note 16, "Commitments and Contingencies" to our condensed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business involves a high degree of risk. You should carefully consider the risks described under the caption “Risk Factors” in Part I, Item 1A of our Annual Report on Form 10-K for the year ended December 31, 2023, as well as the risks, uncertainties and other information set forth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February 27, 2024, the Company issued 255,102 shares of our common stock to Michael Faber. We issued the shares as consideration for advisory services. The Company issued the foregoing securities in transactions not involving an underwriter and not requiring registration under Section 5 of the Securities Act of 1933, as amended, in reliance on the exemption afforded by Section 4(a)(2) thereof.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6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7"/>
          <w:szCs w:val="17"/>
          <w:color w:val="auto"/>
        </w:rPr>
        <w:t>During the three months ended March 31, 2024,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187325</wp:posOffset>
            </wp:positionV>
            <wp:extent cx="7127875" cy="241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7875" cy="241300"/>
                    </a:xfrm>
                    <a:prstGeom prst="rect">
                      <a:avLst/>
                    </a:prstGeom>
                    <a:noFill/>
                  </pic:spPr>
                </pic:pic>
              </a:graphicData>
            </a:graphic>
          </wp:anchor>
        </w:drawing>
      </w:r>
    </w:p>
    <w:p>
      <w:pPr>
        <w:sectPr>
          <w:pgSz w:w="11900" w:h="16838" w:orient="portrait"/>
          <w:cols w:equalWidth="0" w:num="1">
            <w:col w:w="11060"/>
          </w:cols>
          <w:pgMar w:left="320" w:top="919" w:right="519" w:bottom="1440" w:gutter="0" w:footer="0" w:header="0"/>
        </w:sect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14"/>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3.1</w:t>
            </w:r>
          </w:p>
        </w:tc>
        <w:tc>
          <w:tcPr>
            <w:tcW w:w="31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w w:val="99"/>
              </w:rPr>
            </w:pPr>
            <w:hyperlink r:id="rId54">
              <w:r>
                <w:rPr>
                  <w:rFonts w:ascii="Times New Roman" w:cs="Times New Roman" w:eastAsia="Times New Roman" w:hAnsi="Times New Roman"/>
                  <w:sz w:val="14"/>
                  <w:szCs w:val="14"/>
                  <w:color w:val="0000FF"/>
                  <w:w w:val="99"/>
                </w:rPr>
                <w:t>Certificate of Incorporation of SpringBig Holdings, Inc.</w:t>
              </w:r>
            </w:hyperlink>
          </w:p>
        </w:tc>
        <w:tc>
          <w:tcPr>
            <w:tcW w:w="16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3.2</w:t>
            </w:r>
          </w:p>
        </w:tc>
        <w:tc>
          <w:tcPr>
            <w:tcW w:w="212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9"/>
              </w:rPr>
            </w:pPr>
            <w:hyperlink r:id="rId54">
              <w:r>
                <w:rPr>
                  <w:rFonts w:ascii="Times New Roman" w:cs="Times New Roman" w:eastAsia="Times New Roman" w:hAnsi="Times New Roman"/>
                  <w:sz w:val="14"/>
                  <w:szCs w:val="14"/>
                  <w:color w:val="0000FF"/>
                  <w:w w:val="99"/>
                </w:rPr>
                <w:t>By-Laws of SpringBig Holdings, Inc.</w:t>
              </w:r>
            </w:hyperlink>
          </w:p>
        </w:tc>
        <w:tc>
          <w:tcPr>
            <w:tcW w:w="268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4.1</w:t>
            </w:r>
          </w:p>
        </w:tc>
        <w:tc>
          <w:tcPr>
            <w:tcW w:w="480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w w:val="99"/>
              </w:rPr>
            </w:pPr>
            <w:hyperlink r:id="rId55">
              <w:r>
                <w:rPr>
                  <w:rFonts w:ascii="Times New Roman" w:cs="Times New Roman" w:eastAsia="Times New Roman" w:hAnsi="Times New Roman"/>
                  <w:sz w:val="14"/>
                  <w:szCs w:val="14"/>
                  <w:color w:val="0000FF"/>
                  <w:w w:val="99"/>
                </w:rPr>
                <w:t>Senior Secured Convertible Promissory Note of SpringBig Holdings, Inc., dated as of</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1000" w:type="dxa"/>
            <w:vAlign w:val="bottom"/>
            <w:tcBorders>
              <w:bottom w:val="single" w:sz="8" w:color="0000FF"/>
            </w:tcBorders>
          </w:tcPr>
          <w:p>
            <w:pPr>
              <w:spacing w:after="0" w:line="111" w:lineRule="exact"/>
              <w:rPr>
                <w:rFonts w:ascii="Times New Roman" w:cs="Times New Roman" w:eastAsia="Times New Roman" w:hAnsi="Times New Roman"/>
                <w:sz w:val="12"/>
                <w:szCs w:val="12"/>
                <w:color w:val="0000FF"/>
              </w:rPr>
            </w:pPr>
            <w:hyperlink r:id="rId55">
              <w:r>
                <w:rPr>
                  <w:rFonts w:ascii="Times New Roman" w:cs="Times New Roman" w:eastAsia="Times New Roman" w:hAnsi="Times New Roman"/>
                  <w:sz w:val="12"/>
                  <w:szCs w:val="12"/>
                  <w:color w:val="0000FF"/>
                </w:rPr>
                <w:t>January 23, 2024.</w:t>
              </w:r>
            </w:hyperlink>
          </w:p>
        </w:tc>
        <w:tc>
          <w:tcPr>
            <w:tcW w:w="80" w:type="dxa"/>
            <w:vAlign w:val="bottom"/>
          </w:tcPr>
          <w:p>
            <w:pPr>
              <w:spacing w:after="0"/>
              <w:rPr>
                <w:sz w:val="10"/>
                <w:szCs w:val="10"/>
                <w:color w:val="auto"/>
              </w:rPr>
            </w:pPr>
          </w:p>
        </w:tc>
        <w:tc>
          <w:tcPr>
            <w:tcW w:w="14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4.2</w:t>
            </w:r>
          </w:p>
        </w:tc>
        <w:tc>
          <w:tcPr>
            <w:tcW w:w="4800" w:type="dxa"/>
            <w:vAlign w:val="bottom"/>
            <w:gridSpan w:val="16"/>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Senior Secured Term Promissory Note of SpringBig Holdings, Inc., dated as of</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1000" w:type="dxa"/>
            <w:vAlign w:val="bottom"/>
            <w:tcBorders>
              <w:top w:val="single" w:sz="8" w:color="0000FF"/>
              <w:bottom w:val="single" w:sz="8" w:color="0000FF"/>
            </w:tcBorders>
          </w:tcPr>
          <w:p>
            <w:pPr>
              <w:spacing w:after="0" w:line="111" w:lineRule="exact"/>
              <w:rPr>
                <w:rFonts w:ascii="Times New Roman" w:cs="Times New Roman" w:eastAsia="Times New Roman" w:hAnsi="Times New Roman"/>
                <w:sz w:val="12"/>
                <w:szCs w:val="12"/>
                <w:color w:val="0000FF"/>
              </w:rPr>
            </w:pPr>
            <w:hyperlink r:id="rId56">
              <w:r>
                <w:rPr>
                  <w:rFonts w:ascii="Times New Roman" w:cs="Times New Roman" w:eastAsia="Times New Roman" w:hAnsi="Times New Roman"/>
                  <w:sz w:val="12"/>
                  <w:szCs w:val="12"/>
                  <w:color w:val="0000FF"/>
                </w:rPr>
                <w:t>January 23, 2024.</w:t>
              </w:r>
            </w:hyperlink>
          </w:p>
        </w:tc>
        <w:tc>
          <w:tcPr>
            <w:tcW w:w="8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gridSpan w:val="2"/>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gridSpan w:val="2"/>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10.1</w:t>
            </w:r>
          </w:p>
        </w:tc>
        <w:tc>
          <w:tcPr>
            <w:tcW w:w="4800" w:type="dxa"/>
            <w:vAlign w:val="bottom"/>
            <w:gridSpan w:val="16"/>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Debt Settlement Agreement, dated as of January 16, 2024, by and among SpringBig</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4600" w:type="dxa"/>
            <w:vAlign w:val="bottom"/>
            <w:tcBorders>
              <w:top w:val="single" w:sz="8" w:color="0000FF"/>
              <w:bottom w:val="single" w:sz="8" w:color="0000FF"/>
            </w:tcBorders>
            <w:gridSpan w:val="13"/>
          </w:tcPr>
          <w:p>
            <w:pPr>
              <w:spacing w:after="0" w:line="111"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Holdings, Inc., SpringBig, Inc. and L1 Capital Global Opportunities Master Fund.</w:t>
              </w:r>
            </w:hyperlink>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10.2</w:t>
            </w:r>
          </w:p>
        </w:tc>
        <w:tc>
          <w:tcPr>
            <w:tcW w:w="4800" w:type="dxa"/>
            <w:vAlign w:val="bottom"/>
            <w:gridSpan w:val="16"/>
          </w:tcPr>
          <w:p>
            <w:pPr>
              <w:spacing w:after="0"/>
              <w:rPr>
                <w:rFonts w:ascii="Times New Roman" w:cs="Times New Roman" w:eastAsia="Times New Roman" w:hAnsi="Times New Roman"/>
                <w:sz w:val="14"/>
                <w:szCs w:val="14"/>
                <w:color w:val="0000FF"/>
              </w:rPr>
            </w:pPr>
            <w:hyperlink r:id="rId58">
              <w:r>
                <w:rPr>
                  <w:rFonts w:ascii="Times New Roman" w:cs="Times New Roman" w:eastAsia="Times New Roman" w:hAnsi="Times New Roman"/>
                  <w:sz w:val="14"/>
                  <w:szCs w:val="14"/>
                  <w:color w:val="0000FF"/>
                </w:rPr>
                <w:t>Note Purchase Agreement, dated January 23, 2024, by and among SpringBig</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2660" w:type="dxa"/>
            <w:vAlign w:val="bottom"/>
            <w:tcBorders>
              <w:top w:val="single" w:sz="8" w:color="0000FF"/>
              <w:bottom w:val="single" w:sz="8" w:color="0000FF"/>
            </w:tcBorders>
            <w:gridSpan w:val="5"/>
          </w:tcPr>
          <w:p>
            <w:pPr>
              <w:spacing w:after="0" w:line="111"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Holdings, Inc. and the purchasers party thereto.</w:t>
              </w:r>
            </w:hyperlink>
          </w:p>
        </w:tc>
        <w:tc>
          <w:tcPr>
            <w:tcW w:w="940" w:type="dxa"/>
            <w:vAlign w:val="bottom"/>
            <w:tcBorders>
              <w:top w:val="single" w:sz="8" w:color="0000FF"/>
            </w:tcBorders>
            <w:gridSpan w:val="2"/>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10.3</w:t>
            </w:r>
          </w:p>
        </w:tc>
        <w:tc>
          <w:tcPr>
            <w:tcW w:w="4800" w:type="dxa"/>
            <w:vAlign w:val="bottom"/>
            <w:gridSpan w:val="16"/>
          </w:tcPr>
          <w:p>
            <w:pPr>
              <w:spacing w:after="0"/>
              <w:rPr>
                <w:rFonts w:ascii="Times New Roman" w:cs="Times New Roman" w:eastAsia="Times New Roman" w:hAnsi="Times New Roman"/>
                <w:sz w:val="14"/>
                <w:szCs w:val="14"/>
                <w:color w:val="0000FF"/>
              </w:rPr>
            </w:pPr>
            <w:hyperlink r:id="rId59">
              <w:r>
                <w:rPr>
                  <w:rFonts w:ascii="Times New Roman" w:cs="Times New Roman" w:eastAsia="Times New Roman" w:hAnsi="Times New Roman"/>
                  <w:sz w:val="14"/>
                  <w:szCs w:val="14"/>
                  <w:color w:val="0000FF"/>
                </w:rPr>
                <w:t>Registration Rights Agreement, dated January 23, 2024, by and among SpringBig</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4580" w:type="dxa"/>
            <w:vAlign w:val="bottom"/>
            <w:tcBorders>
              <w:top w:val="single" w:sz="8" w:color="0000FF"/>
            </w:tcBorders>
            <w:gridSpan w:val="12"/>
          </w:tcPr>
          <w:p>
            <w:pPr>
              <w:spacing w:after="0" w:line="111"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Holdings, Inc. and the investors party thereto.</w:t>
              </w:r>
            </w:hyperlink>
          </w:p>
        </w:tc>
        <w:tc>
          <w:tcPr>
            <w:tcW w:w="80" w:type="dxa"/>
            <w:vAlign w:val="bottom"/>
            <w:gridSpan w:val="2"/>
          </w:tcPr>
          <w:p>
            <w:pPr>
              <w:spacing w:after="0"/>
              <w:rPr>
                <w:sz w:val="10"/>
                <w:szCs w:val="10"/>
                <w:color w:val="auto"/>
              </w:rPr>
            </w:pP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10.4</w:t>
            </w:r>
          </w:p>
        </w:tc>
        <w:tc>
          <w:tcPr>
            <w:tcW w:w="4800" w:type="dxa"/>
            <w:vAlign w:val="bottom"/>
            <w:gridSpan w:val="16"/>
          </w:tcPr>
          <w:p>
            <w:pPr>
              <w:spacing w:after="0"/>
              <w:rPr>
                <w:rFonts w:ascii="Times New Roman" w:cs="Times New Roman" w:eastAsia="Times New Roman" w:hAnsi="Times New Roman"/>
                <w:sz w:val="14"/>
                <w:szCs w:val="14"/>
                <w:color w:val="0000FF"/>
              </w:rPr>
            </w:pPr>
            <w:hyperlink r:id="rId60">
              <w:r>
                <w:rPr>
                  <w:rFonts w:ascii="Times New Roman" w:cs="Times New Roman" w:eastAsia="Times New Roman" w:hAnsi="Times New Roman"/>
                  <w:sz w:val="14"/>
                  <w:szCs w:val="14"/>
                  <w:color w:val="0000FF"/>
                </w:rPr>
                <w:t>Director Nomination Agreement, dated January 23, 2024, by and among SpringBig</w:t>
              </w:r>
            </w:hyperlink>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4660" w:type="dxa"/>
            <w:vAlign w:val="bottom"/>
            <w:tcBorders>
              <w:top w:val="single" w:sz="8" w:color="0000FF"/>
            </w:tcBorders>
            <w:gridSpan w:val="14"/>
          </w:tcPr>
          <w:p>
            <w:pPr>
              <w:spacing w:after="0" w:line="111" w:lineRule="exact"/>
              <w:rPr>
                <w:rFonts w:ascii="Times New Roman" w:cs="Times New Roman" w:eastAsia="Times New Roman" w:hAnsi="Times New Roman"/>
                <w:sz w:val="12"/>
                <w:szCs w:val="12"/>
                <w:color w:val="0000FF"/>
              </w:rPr>
            </w:pPr>
            <w:hyperlink r:id="rId60">
              <w:r>
                <w:rPr>
                  <w:rFonts w:ascii="Times New Roman" w:cs="Times New Roman" w:eastAsia="Times New Roman" w:hAnsi="Times New Roman"/>
                  <w:sz w:val="12"/>
                  <w:szCs w:val="12"/>
                  <w:color w:val="0000FF"/>
                </w:rPr>
                <w:t>Holdings, Inc., Shalcor Management, Inc. and Lightbank II, L.P.</w:t>
              </w:r>
            </w:hyperlink>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31.1</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w:t>
            </w:r>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4540" w:type="dxa"/>
            <w:vAlign w:val="bottom"/>
            <w:tcBorders>
              <w:top w:val="single" w:sz="8" w:color="0000FF"/>
            </w:tcBorders>
            <w:gridSpan w:val="11"/>
          </w:tcPr>
          <w:p>
            <w:pPr>
              <w:spacing w:after="0" w:line="111" w:lineRule="exact"/>
              <w:rPr>
                <w:sz w:val="20"/>
                <w:szCs w:val="20"/>
                <w:color w:val="auto"/>
              </w:rPr>
            </w:pPr>
            <w:r>
              <w:rPr>
                <w:rFonts w:ascii="Times New Roman" w:cs="Times New Roman" w:eastAsia="Times New Roman" w:hAnsi="Times New Roman"/>
                <w:sz w:val="12"/>
                <w:szCs w:val="12"/>
                <w:color w:val="0000FF"/>
              </w:rPr>
              <w:t>Oxley Act of 2002.</w:t>
            </w:r>
          </w:p>
        </w:tc>
        <w:tc>
          <w:tcPr>
            <w:tcW w:w="2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20" w:type="dxa"/>
            <w:vAlign w:val="bottom"/>
            <w:gridSpan w:val="8"/>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31.2</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w:t>
            </w:r>
          </w:p>
        </w:tc>
        <w:tc>
          <w:tcPr>
            <w:tcW w:w="0" w:type="dxa"/>
            <w:vAlign w:val="bottom"/>
          </w:tcPr>
          <w:p>
            <w:pPr>
              <w:spacing w:after="0"/>
              <w:rPr>
                <w:sz w:val="1"/>
                <w:szCs w:val="1"/>
                <w:color w:val="auto"/>
              </w:rPr>
            </w:pPr>
          </w:p>
        </w:tc>
      </w:tr>
      <w:tr>
        <w:trPr>
          <w:trHeight w:val="98"/>
        </w:trPr>
        <w:tc>
          <w:tcPr>
            <w:tcW w:w="760" w:type="dxa"/>
            <w:vAlign w:val="bottom"/>
            <w:vMerge w:val="continue"/>
          </w:tcPr>
          <w:p>
            <w:pPr>
              <w:spacing w:after="0"/>
              <w:rPr>
                <w:sz w:val="8"/>
                <w:szCs w:val="8"/>
                <w:color w:val="auto"/>
              </w:rPr>
            </w:pPr>
          </w:p>
        </w:tc>
        <w:tc>
          <w:tcPr>
            <w:tcW w:w="4500" w:type="dxa"/>
            <w:vAlign w:val="bottom"/>
            <w:tcBorders>
              <w:top w:val="single" w:sz="8" w:color="0000FF"/>
            </w:tcBorders>
            <w:gridSpan w:val="10"/>
          </w:tcPr>
          <w:p>
            <w:pPr>
              <w:spacing w:after="0" w:line="98" w:lineRule="exact"/>
              <w:rPr>
                <w:sz w:val="20"/>
                <w:szCs w:val="20"/>
                <w:color w:val="auto"/>
              </w:rPr>
            </w:pPr>
            <w:r>
              <w:rPr>
                <w:rFonts w:ascii="Times New Roman" w:cs="Times New Roman" w:eastAsia="Times New Roman" w:hAnsi="Times New Roman"/>
                <w:sz w:val="10"/>
                <w:szCs w:val="10"/>
                <w:color w:val="0000FF"/>
              </w:rPr>
              <w:t>Oxley Act of 2002.</w:t>
            </w:r>
          </w:p>
        </w:tc>
        <w:tc>
          <w:tcPr>
            <w:tcW w:w="30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32.1</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w:t>
            </w:r>
          </w:p>
        </w:tc>
        <w:tc>
          <w:tcPr>
            <w:tcW w:w="0" w:type="dxa"/>
            <w:vAlign w:val="bottom"/>
          </w:tcPr>
          <w:p>
            <w:pPr>
              <w:spacing w:after="0"/>
              <w:rPr>
                <w:sz w:val="1"/>
                <w:szCs w:val="1"/>
                <w:color w:val="auto"/>
              </w:rPr>
            </w:pPr>
          </w:p>
        </w:tc>
      </w:tr>
      <w:tr>
        <w:trPr>
          <w:trHeight w:val="124"/>
        </w:trPr>
        <w:tc>
          <w:tcPr>
            <w:tcW w:w="760" w:type="dxa"/>
            <w:vAlign w:val="bottom"/>
            <w:vMerge w:val="continue"/>
          </w:tcPr>
          <w:p>
            <w:pPr>
              <w:spacing w:after="0"/>
              <w:rPr>
                <w:sz w:val="10"/>
                <w:szCs w:val="10"/>
                <w:color w:val="auto"/>
              </w:rPr>
            </w:pPr>
          </w:p>
        </w:tc>
        <w:tc>
          <w:tcPr>
            <w:tcW w:w="4540" w:type="dxa"/>
            <w:vAlign w:val="bottom"/>
            <w:tcBorders>
              <w:top w:val="single" w:sz="8" w:color="0000FF"/>
            </w:tcBorders>
            <w:gridSpan w:val="11"/>
          </w:tcPr>
          <w:p>
            <w:pPr>
              <w:spacing w:after="0" w:line="111" w:lineRule="exact"/>
              <w:rPr>
                <w:sz w:val="20"/>
                <w:szCs w:val="20"/>
                <w:color w:val="auto"/>
              </w:rPr>
            </w:pPr>
            <w:r>
              <w:rPr>
                <w:rFonts w:ascii="Times New Roman" w:cs="Times New Roman" w:eastAsia="Times New Roman" w:hAnsi="Times New Roman"/>
                <w:sz w:val="12"/>
                <w:szCs w:val="12"/>
                <w:color w:val="0000FF"/>
              </w:rPr>
              <w:t>Oxley Act of 2002.</w:t>
            </w:r>
          </w:p>
        </w:tc>
        <w:tc>
          <w:tcPr>
            <w:tcW w:w="26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32.2</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w:t>
            </w:r>
          </w:p>
        </w:tc>
        <w:tc>
          <w:tcPr>
            <w:tcW w:w="0" w:type="dxa"/>
            <w:vAlign w:val="bottom"/>
          </w:tcPr>
          <w:p>
            <w:pPr>
              <w:spacing w:after="0"/>
              <w:rPr>
                <w:sz w:val="1"/>
                <w:szCs w:val="1"/>
                <w:color w:val="auto"/>
              </w:rPr>
            </w:pPr>
          </w:p>
        </w:tc>
      </w:tr>
      <w:tr>
        <w:trPr>
          <w:trHeight w:val="98"/>
        </w:trPr>
        <w:tc>
          <w:tcPr>
            <w:tcW w:w="760" w:type="dxa"/>
            <w:vAlign w:val="bottom"/>
            <w:vMerge w:val="continue"/>
          </w:tcPr>
          <w:p>
            <w:pPr>
              <w:spacing w:after="0"/>
              <w:rPr>
                <w:sz w:val="8"/>
                <w:szCs w:val="8"/>
                <w:color w:val="auto"/>
              </w:rPr>
            </w:pPr>
          </w:p>
        </w:tc>
        <w:tc>
          <w:tcPr>
            <w:tcW w:w="4500" w:type="dxa"/>
            <w:vAlign w:val="bottom"/>
            <w:tcBorders>
              <w:top w:val="single" w:sz="8" w:color="0000FF"/>
            </w:tcBorders>
            <w:gridSpan w:val="10"/>
          </w:tcPr>
          <w:p>
            <w:pPr>
              <w:spacing w:after="0" w:line="98" w:lineRule="exact"/>
              <w:rPr>
                <w:sz w:val="20"/>
                <w:szCs w:val="20"/>
                <w:color w:val="auto"/>
              </w:rPr>
            </w:pPr>
            <w:r>
              <w:rPr>
                <w:rFonts w:ascii="Times New Roman" w:cs="Times New Roman" w:eastAsia="Times New Roman" w:hAnsi="Times New Roman"/>
                <w:sz w:val="10"/>
                <w:szCs w:val="10"/>
                <w:color w:val="0000FF"/>
              </w:rPr>
              <w:t>Oxley Act of 2002.</w:t>
            </w:r>
          </w:p>
        </w:tc>
        <w:tc>
          <w:tcPr>
            <w:tcW w:w="300" w:type="dxa"/>
            <w:vAlign w:val="bottom"/>
            <w:gridSpan w:val="6"/>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7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7"/>
              </w:rPr>
              <w:t>101.INS</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1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6"/>
              </w:rPr>
              <w:t>101.SCH</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1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rPr>
              <w:t>101.CAL</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8"/>
              </w:rPr>
              <w:t>101.DEF</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1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rPr>
              <w:t>101.LAB</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c>
          <w:tcPr>
            <w:tcW w:w="0" w:type="dxa"/>
            <w:vAlign w:val="bottom"/>
          </w:tcPr>
          <w:p>
            <w:pPr>
              <w:spacing w:after="0"/>
              <w:rPr>
                <w:sz w:val="1"/>
                <w:szCs w:val="1"/>
                <w:color w:val="auto"/>
              </w:rPr>
            </w:pPr>
          </w:p>
        </w:tc>
      </w:tr>
      <w:tr>
        <w:trPr>
          <w:trHeight w:val="197"/>
        </w:trPr>
        <w:tc>
          <w:tcPr>
            <w:tcW w:w="760" w:type="dxa"/>
            <w:vAlign w:val="bottom"/>
          </w:tcPr>
          <w:p>
            <w:pPr>
              <w:jc w:val="center"/>
              <w:ind w:right="150"/>
              <w:spacing w:after="0"/>
              <w:rPr>
                <w:sz w:val="20"/>
                <w:szCs w:val="20"/>
                <w:color w:val="auto"/>
              </w:rPr>
            </w:pPr>
            <w:r>
              <w:rPr>
                <w:rFonts w:ascii="Times New Roman" w:cs="Times New Roman" w:eastAsia="Times New Roman" w:hAnsi="Times New Roman"/>
                <w:sz w:val="14"/>
                <w:szCs w:val="14"/>
                <w:color w:val="auto"/>
                <w:w w:val="99"/>
              </w:rPr>
              <w:t>101.PRE</w:t>
            </w:r>
          </w:p>
        </w:tc>
        <w:tc>
          <w:tcPr>
            <w:tcW w:w="4800" w:type="dxa"/>
            <w:vAlign w:val="bottom"/>
            <w:gridSpan w:val="16"/>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-3115310</wp:posOffset>
            </wp:positionV>
            <wp:extent cx="7127875"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27875" cy="13335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-2748915</wp:posOffset>
            </wp:positionV>
            <wp:extent cx="7127875" cy="233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-2282825</wp:posOffset>
            </wp:positionV>
            <wp:extent cx="7127875" cy="2330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-1816100</wp:posOffset>
            </wp:positionV>
            <wp:extent cx="7127875" cy="2330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27875" cy="23304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-1350010</wp:posOffset>
            </wp:positionV>
            <wp:extent cx="7127875" cy="191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27875" cy="1917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-925195</wp:posOffset>
            </wp:positionV>
            <wp:extent cx="7127875" cy="191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27875" cy="19177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-608965</wp:posOffset>
            </wp:positionV>
            <wp:extent cx="7127875" cy="125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2787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-359410</wp:posOffset>
            </wp:positionV>
            <wp:extent cx="7127875" cy="125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27875" cy="1250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-109220</wp:posOffset>
            </wp:positionV>
            <wp:extent cx="7127875" cy="125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27875" cy="125095"/>
                    </a:xfrm>
                    <a:prstGeom prst="rect">
                      <a:avLst/>
                    </a:prstGeom>
                    <a:noFill/>
                  </pic:spPr>
                </pic:pic>
              </a:graphicData>
            </a:graphic>
          </wp:anchor>
        </w:drawing>
      </w:r>
    </w:p>
    <w:p>
      <w:pPr>
        <w:ind w:left="980" w:hanging="595"/>
        <w:spacing w:after="0"/>
        <w:tabs>
          <w:tab w:leader="none" w:pos="9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11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 Filed herewith.</w:t>
      </w:r>
    </w:p>
    <w:p>
      <w:pPr>
        <w:spacing w:after="0" w:line="32"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Filed/Furnished</w:t>
            </w:r>
          </w:p>
        </w:tc>
      </w:tr>
      <w:tr>
        <w:trPr>
          <w:trHeight w:val="198"/>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r>
      <w:tr>
        <w:trPr>
          <w:trHeight w:val="210"/>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10-K</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3.1</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April 01, 2024</w:t>
            </w:r>
          </w:p>
        </w:tc>
        <w:tc>
          <w:tcPr>
            <w:tcW w:w="1000" w:type="dxa"/>
            <w:vAlign w:val="bottom"/>
          </w:tcPr>
          <w:p>
            <w:pPr>
              <w:spacing w:after="0"/>
              <w:rPr>
                <w:sz w:val="18"/>
                <w:szCs w:val="18"/>
                <w:color w:val="auto"/>
              </w:rPr>
            </w:pPr>
          </w:p>
        </w:tc>
      </w:tr>
      <w:tr>
        <w:trPr>
          <w:trHeight w:val="210"/>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10-K</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3.2</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April 01, 2024</w:t>
            </w:r>
          </w:p>
        </w:tc>
        <w:tc>
          <w:tcPr>
            <w:tcW w:w="1000" w:type="dxa"/>
            <w:vAlign w:val="bottom"/>
          </w:tcPr>
          <w:p>
            <w:pPr>
              <w:spacing w:after="0"/>
              <w:rPr>
                <w:sz w:val="18"/>
                <w:szCs w:val="18"/>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4.1</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1000" w:type="dxa"/>
            <w:vAlign w:val="bottom"/>
          </w:tcPr>
          <w:p>
            <w:pPr>
              <w:spacing w:after="0"/>
              <w:rPr>
                <w:sz w:val="24"/>
                <w:szCs w:val="24"/>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rPr>
              <w:t>4.2</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1000" w:type="dxa"/>
            <w:vAlign w:val="bottom"/>
          </w:tcPr>
          <w:p>
            <w:pPr>
              <w:spacing w:after="0"/>
              <w:rPr>
                <w:sz w:val="24"/>
                <w:szCs w:val="24"/>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1000" w:type="dxa"/>
            <w:vAlign w:val="bottom"/>
          </w:tcPr>
          <w:p>
            <w:pPr>
              <w:spacing w:after="0"/>
              <w:rPr>
                <w:sz w:val="24"/>
                <w:szCs w:val="24"/>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10.2</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1000" w:type="dxa"/>
            <w:vAlign w:val="bottom"/>
          </w:tcPr>
          <w:p>
            <w:pPr>
              <w:spacing w:after="0"/>
              <w:rPr>
                <w:sz w:val="24"/>
                <w:szCs w:val="24"/>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10.3</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24, 2024</w:t>
            </w:r>
          </w:p>
        </w:tc>
        <w:tc>
          <w:tcPr>
            <w:tcW w:w="1000" w:type="dxa"/>
            <w:vAlign w:val="bottom"/>
          </w:tcPr>
          <w:p>
            <w:pPr>
              <w:spacing w:after="0"/>
              <w:rPr>
                <w:sz w:val="24"/>
                <w:szCs w:val="24"/>
                <w:color w:val="auto"/>
              </w:rPr>
            </w:pPr>
          </w:p>
        </w:tc>
      </w:tr>
      <w:tr>
        <w:trPr>
          <w:trHeight w:val="367"/>
        </w:trPr>
        <w:tc>
          <w:tcPr>
            <w:tcW w:w="720" w:type="dxa"/>
            <w:vAlign w:val="bottom"/>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w w:val="97"/>
              </w:rPr>
              <w:t>8-K</w:t>
            </w: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7"/>
              </w:rPr>
              <w:t>10.1</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9"/>
              </w:rPr>
              <w:t>January 29, 2024</w:t>
            </w:r>
          </w:p>
        </w:tc>
        <w:tc>
          <w:tcPr>
            <w:tcW w:w="1000" w:type="dxa"/>
            <w:vAlign w:val="bottom"/>
          </w:tcPr>
          <w:p>
            <w:pPr>
              <w:spacing w:after="0"/>
              <w:rPr>
                <w:sz w:val="24"/>
                <w:szCs w:val="24"/>
                <w:color w:val="auto"/>
              </w:rPr>
            </w:pPr>
          </w:p>
        </w:tc>
      </w:tr>
    </w:tbl>
    <w:p>
      <w:pPr>
        <w:spacing w:after="0" w:line="18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both"/>
        <w:ind w:hanging="14"/>
        <w:spacing w:after="0" w:line="365" w:lineRule="auto"/>
        <w:rPr>
          <w:sz w:val="20"/>
          <w:szCs w:val="20"/>
          <w:color w:val="auto"/>
        </w:rPr>
      </w:pPr>
      <w:r>
        <w:rPr>
          <w:rFonts w:ascii="Times New Roman" w:cs="Times New Roman" w:eastAsia="Times New Roman" w:hAnsi="Times New Roman"/>
          <w:sz w:val="13"/>
          <w:szCs w:val="13"/>
          <w:b w:val="1"/>
          <w:bCs w:val="1"/>
          <w:color w:val="auto"/>
        </w:rPr>
        <w:t>SEC File # 001-40049 001-40049</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001-40049</w:t>
      </w:r>
    </w:p>
    <w:p>
      <w:pPr>
        <w:sectPr>
          <w:pgSz w:w="11900" w:h="16838" w:orient="portrait"/>
          <w:cols w:equalWidth="0" w:num="3">
            <w:col w:w="5780" w:space="640"/>
            <w:col w:w="3820" w:space="200"/>
            <w:col w:w="620"/>
          </w:cols>
          <w:pgMar w:left="320" w:top="919" w:right="519" w:bottom="1440" w:gutter="0" w:footer="0" w:header="0"/>
          <w:type w:val="continuous"/>
        </w:sectPr>
      </w:pPr>
    </w:p>
    <w:bookmarkStart w:id="36" w:name="page37"/>
    <w:bookmarkEnd w:id="36"/>
    <w:p>
      <w:pPr>
        <w:spacing w:after="0" w:line="1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33"/>
        <w:spacing w:after="0" w:line="24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SpringBig Holdings, Inc</w:t>
      </w:r>
    </w:p>
    <w:p>
      <w:pPr>
        <w:spacing w:after="0" w:line="279"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Jeffrey Harris</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Jeffrey Harris</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49"/>
        </w:trPr>
        <w:tc>
          <w:tcPr>
            <w:tcW w:w="96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49"/>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14, 2024</w:t>
            </w:r>
          </w:p>
        </w:tc>
      </w:tr>
      <w:tr>
        <w:trPr>
          <w:trHeight w:val="747"/>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Paul Sykes</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Sykes</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44"/>
        </w:trPr>
        <w:tc>
          <w:tcPr>
            <w:tcW w:w="960" w:type="dxa"/>
            <w:vAlign w:val="bottom"/>
          </w:tcPr>
          <w:p>
            <w:pPr>
              <w:spacing w:after="0"/>
              <w:rPr>
                <w:sz w:val="21"/>
                <w:szCs w:val="21"/>
                <w:color w:val="auto"/>
              </w:rPr>
            </w:pP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r>
      <w:tr>
        <w:trPr>
          <w:trHeight w:val="228"/>
        </w:trPr>
        <w:tc>
          <w:tcPr>
            <w:tcW w:w="96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14,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040"/>
          </w:cols>
          <w:pgMar w:left="320" w:top="1440" w:right="5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 Pursuant to 18 U. S. C. Section 1350, as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Adopted Pursuant to Section 906 of the Sarbanes-Oxley Act of 2002</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Pursuant to 18 U.S.C. Section 1350, I, Jeffrey Harris, hereby certify that, to the best of my knowledge, SpringBig Holdings, Inc’s Quarterly Report on Form 10-Q for the three months ended March 31, 2024 (the Report), as filed with the Securities and Exchange Commission on May 14,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Jeffrey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4066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Jeffrey Harris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2024</w:t>
      </w:r>
    </w:p>
    <w:p>
      <w:pPr>
        <w:sectPr>
          <w:pgSz w:w="11900" w:h="16838" w:orient="portrait"/>
          <w:cols w:equalWidth="0" w:num="1">
            <w:col w:w="11200"/>
          </w:cols>
          <w:pgMar w:left="320" w:top="136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 Pursuant to 18 U. S. C. Section 1350, as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Adopted Pursuant to Section 906 of the Sarbanes-Oxley Act of 2002</w:t>
      </w:r>
    </w:p>
    <w:p>
      <w:pPr>
        <w:spacing w:after="0" w:line="2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Pursuant to 18 U.S.C. Section 1350, I, Paul Sykes, hereby certify that, to the best of my knowledge, SpringBig Holdings, Inc’s Quarterly Report on Form 10-Q for the three months ended March 31, 2024 (the Report), as filed with the Securities and Exchange Commission on May 14, 2024,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Paul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24066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40665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Paul Sykes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2024</w:t>
      </w:r>
    </w:p>
    <w:p>
      <w:pPr>
        <w:sectPr>
          <w:pgSz w:w="11900" w:h="16838" w:orient="portrait"/>
          <w:cols w:equalWidth="0" w:num="1">
            <w:col w:w="11140"/>
          </w:cols>
          <w:pgMar w:left="320" w:top="136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Jeffrey Harris, certify that:</w:t>
      </w:r>
    </w:p>
    <w:p>
      <w:pPr>
        <w:spacing w:after="0" w:line="224" w:lineRule="exact"/>
        <w:rPr>
          <w:sz w:val="20"/>
          <w:szCs w:val="20"/>
          <w:color w:val="auto"/>
        </w:rPr>
      </w:pPr>
    </w:p>
    <w:p>
      <w:pPr>
        <w:ind w:left="620" w:hanging="300"/>
        <w:spacing w:after="0"/>
        <w:tabs>
          <w:tab w:leader="none" w:pos="620" w:val="left"/>
        </w:tabs>
        <w:numPr>
          <w:ilvl w:val="0"/>
          <w:numId w:val="9"/>
        </w:numPr>
        <w:rPr>
          <w:rFonts w:ascii="Calibri" w:cs="Calibri" w:eastAsia="Calibri" w:hAnsi="Calibri"/>
          <w:sz w:val="17"/>
          <w:szCs w:val="17"/>
          <w:color w:val="auto"/>
        </w:rPr>
      </w:pPr>
      <w:r>
        <w:rPr>
          <w:rFonts w:ascii="Times New Roman" w:cs="Times New Roman" w:eastAsia="Times New Roman" w:hAnsi="Times New Roman"/>
          <w:sz w:val="17"/>
          <w:szCs w:val="17"/>
          <w:color w:val="auto"/>
        </w:rPr>
        <w:t>I have reviewed this Quarterly Report on Form 10-Q for the three months ended March 31, 2024 of SpringBig Holdings, Inc.;</w:t>
      </w:r>
    </w:p>
    <w:p>
      <w:pPr>
        <w:spacing w:after="0" w:line="225" w:lineRule="exact"/>
        <w:rPr>
          <w:rFonts w:ascii="Calibri" w:cs="Calibri" w:eastAsia="Calibri" w:hAnsi="Calibri"/>
          <w:sz w:val="17"/>
          <w:szCs w:val="17"/>
          <w:color w:val="auto"/>
        </w:rPr>
      </w:pPr>
    </w:p>
    <w:p>
      <w:pPr>
        <w:jc w:val="both"/>
        <w:ind w:left="640" w:right="340" w:hanging="320"/>
        <w:spacing w:after="0" w:line="253"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640" w:right="300" w:hanging="320"/>
        <w:spacing w:after="0" w:line="265"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Times New Roman" w:cs="Times New Roman" w:eastAsia="Times New Roman" w:hAnsi="Times New Roman"/>
          <w:sz w:val="17"/>
          <w:szCs w:val="17"/>
          <w:color w:val="auto"/>
        </w:rPr>
      </w:pPr>
    </w:p>
    <w:p>
      <w:pPr>
        <w:ind w:left="640" w:right="300" w:hanging="320"/>
        <w:spacing w:after="0" w:line="245"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311"/>
        <w:spacing w:after="0" w:line="253" w:lineRule="auto"/>
        <w:tabs>
          <w:tab w:leader="none" w:pos="125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7"/>
          <w:szCs w:val="17"/>
          <w:color w:val="auto"/>
        </w:rPr>
      </w:pPr>
    </w:p>
    <w:p>
      <w:pPr>
        <w:ind w:left="1260" w:right="260" w:hanging="311"/>
        <w:spacing w:after="0" w:line="253" w:lineRule="auto"/>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7"/>
          <w:szCs w:val="17"/>
          <w:color w:val="auto"/>
        </w:rPr>
      </w:pPr>
    </w:p>
    <w:p>
      <w:pPr>
        <w:ind w:left="1260" w:right="420" w:hanging="311"/>
        <w:spacing w:after="0" w:line="265" w:lineRule="auto"/>
        <w:tabs>
          <w:tab w:leader="none" w:pos="125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7"/>
          <w:szCs w:val="17"/>
          <w:color w:val="auto"/>
        </w:rPr>
      </w:pPr>
    </w:p>
    <w:p>
      <w:pPr>
        <w:ind w:left="1260" w:hanging="311"/>
        <w:spacing w:after="0" w:line="245" w:lineRule="auto"/>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8" w:lineRule="exact"/>
        <w:rPr>
          <w:rFonts w:ascii="Times New Roman" w:cs="Times New Roman" w:eastAsia="Times New Roman" w:hAnsi="Times New Roman"/>
          <w:sz w:val="17"/>
          <w:szCs w:val="17"/>
          <w:color w:val="auto"/>
        </w:rPr>
      </w:pPr>
    </w:p>
    <w:p>
      <w:pPr>
        <w:ind w:left="640" w:right="220" w:hanging="320"/>
        <w:spacing w:after="0" w:line="281" w:lineRule="auto"/>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8" w:lineRule="exact"/>
        <w:rPr>
          <w:rFonts w:ascii="Times New Roman" w:cs="Times New Roman" w:eastAsia="Times New Roman" w:hAnsi="Times New Roman"/>
          <w:sz w:val="17"/>
          <w:szCs w:val="17"/>
          <w:color w:val="auto"/>
        </w:rPr>
      </w:pPr>
    </w:p>
    <w:p>
      <w:pPr>
        <w:ind w:left="1260" w:right="620" w:hanging="311"/>
        <w:spacing w:after="0" w:line="265" w:lineRule="auto"/>
        <w:tabs>
          <w:tab w:leader="none" w:pos="125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260" w:right="420" w:hanging="311"/>
        <w:spacing w:after="0" w:line="281" w:lineRule="auto"/>
        <w:tabs>
          <w:tab w:leader="none" w:pos="12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Jeffrey Harris____________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Harris</w:t>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140"/>
          </w:cols>
          <w:pgMar w:left="320" w:top="136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Paul Sykes, certify that:</w:t>
      </w:r>
    </w:p>
    <w:p>
      <w:pPr>
        <w:spacing w:after="0" w:line="224" w:lineRule="exact"/>
        <w:rPr>
          <w:sz w:val="20"/>
          <w:szCs w:val="20"/>
          <w:color w:val="auto"/>
        </w:rPr>
      </w:pPr>
    </w:p>
    <w:p>
      <w:pPr>
        <w:ind w:left="620" w:hanging="300"/>
        <w:spacing w:after="0"/>
        <w:tabs>
          <w:tab w:leader="none" w:pos="620" w:val="left"/>
        </w:tabs>
        <w:numPr>
          <w:ilvl w:val="0"/>
          <w:numId w:val="10"/>
        </w:numPr>
        <w:rPr>
          <w:rFonts w:ascii="Calibri" w:cs="Calibri" w:eastAsia="Calibri" w:hAnsi="Calibri"/>
          <w:sz w:val="17"/>
          <w:szCs w:val="17"/>
          <w:color w:val="auto"/>
        </w:rPr>
      </w:pPr>
      <w:r>
        <w:rPr>
          <w:rFonts w:ascii="Times New Roman" w:cs="Times New Roman" w:eastAsia="Times New Roman" w:hAnsi="Times New Roman"/>
          <w:sz w:val="17"/>
          <w:szCs w:val="17"/>
          <w:color w:val="auto"/>
        </w:rPr>
        <w:t>I have reviewed this Quarterly Report on Form 10-Q for the three months ended March 31, 2024 of SpringBig Holdings, Inc.;</w:t>
      </w:r>
    </w:p>
    <w:p>
      <w:pPr>
        <w:spacing w:after="0" w:line="225" w:lineRule="exact"/>
        <w:rPr>
          <w:rFonts w:ascii="Calibri" w:cs="Calibri" w:eastAsia="Calibri" w:hAnsi="Calibri"/>
          <w:sz w:val="17"/>
          <w:szCs w:val="17"/>
          <w:color w:val="auto"/>
        </w:rPr>
      </w:pPr>
    </w:p>
    <w:p>
      <w:pPr>
        <w:jc w:val="both"/>
        <w:ind w:left="640" w:right="340" w:hanging="320"/>
        <w:spacing w:after="0" w:line="253"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left="640" w:right="300" w:hanging="320"/>
        <w:spacing w:after="0" w:line="26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Times New Roman" w:cs="Times New Roman" w:eastAsia="Times New Roman" w:hAnsi="Times New Roman"/>
          <w:sz w:val="17"/>
          <w:szCs w:val="17"/>
          <w:color w:val="auto"/>
        </w:rPr>
      </w:pPr>
    </w:p>
    <w:p>
      <w:pPr>
        <w:ind w:left="640" w:right="300" w:hanging="320"/>
        <w:spacing w:after="0" w:line="245"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311"/>
        <w:spacing w:after="0" w:line="253"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Times New Roman" w:cs="Times New Roman" w:eastAsia="Times New Roman" w:hAnsi="Times New Roman"/>
          <w:sz w:val="17"/>
          <w:szCs w:val="17"/>
          <w:color w:val="auto"/>
        </w:rPr>
      </w:pPr>
    </w:p>
    <w:p>
      <w:pPr>
        <w:ind w:left="1260" w:right="260" w:hanging="311"/>
        <w:spacing w:after="0" w:line="253" w:lineRule="auto"/>
        <w:tabs>
          <w:tab w:leader="none" w:pos="12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7"/>
          <w:szCs w:val="17"/>
          <w:color w:val="auto"/>
        </w:rPr>
      </w:pPr>
    </w:p>
    <w:p>
      <w:pPr>
        <w:ind w:left="1260" w:right="420" w:hanging="311"/>
        <w:spacing w:after="0" w:line="265"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Times New Roman" w:cs="Times New Roman" w:eastAsia="Times New Roman" w:hAnsi="Times New Roman"/>
          <w:sz w:val="17"/>
          <w:szCs w:val="17"/>
          <w:color w:val="auto"/>
        </w:rPr>
      </w:pPr>
    </w:p>
    <w:p>
      <w:pPr>
        <w:ind w:left="1260" w:hanging="311"/>
        <w:spacing w:after="0" w:line="245" w:lineRule="auto"/>
        <w:tabs>
          <w:tab w:leader="none" w:pos="12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8" w:lineRule="exact"/>
        <w:rPr>
          <w:rFonts w:ascii="Times New Roman" w:cs="Times New Roman" w:eastAsia="Times New Roman" w:hAnsi="Times New Roman"/>
          <w:sz w:val="17"/>
          <w:szCs w:val="17"/>
          <w:color w:val="auto"/>
        </w:rPr>
      </w:pPr>
    </w:p>
    <w:p>
      <w:pPr>
        <w:ind w:left="640" w:right="220" w:hanging="320"/>
        <w:spacing w:after="0" w:line="281" w:lineRule="auto"/>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58" w:lineRule="exact"/>
        <w:rPr>
          <w:rFonts w:ascii="Times New Roman" w:cs="Times New Roman" w:eastAsia="Times New Roman" w:hAnsi="Times New Roman"/>
          <w:sz w:val="17"/>
          <w:szCs w:val="17"/>
          <w:color w:val="auto"/>
        </w:rPr>
      </w:pPr>
    </w:p>
    <w:p>
      <w:pPr>
        <w:ind w:left="1260" w:right="620" w:hanging="311"/>
        <w:spacing w:after="0" w:line="265" w:lineRule="auto"/>
        <w:tabs>
          <w:tab w:leader="none" w:pos="125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7"/>
          <w:szCs w:val="17"/>
          <w:color w:val="auto"/>
        </w:rPr>
      </w:pPr>
    </w:p>
    <w:p>
      <w:pPr>
        <w:ind w:left="1260" w:right="420" w:hanging="311"/>
        <w:spacing w:after="0" w:line="281" w:lineRule="auto"/>
        <w:tabs>
          <w:tab w:leader="none" w:pos="126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Paul Sykes____________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Sykes</w:t>
      </w:r>
    </w:p>
    <w:p>
      <w:pPr>
        <w:spacing w:after="0"/>
        <w:rPr>
          <w:sz w:val="20"/>
          <w:szCs w:val="20"/>
          <w:color w:val="auto"/>
        </w:rPr>
      </w:pPr>
      <w:r>
        <w:rPr>
          <w:rFonts w:ascii="Times New Roman" w:cs="Times New Roman" w:eastAsia="Times New Roman" w:hAnsi="Times New Roman"/>
          <w:sz w:val="17"/>
          <w:szCs w:val="17"/>
          <w:color w:val="auto"/>
        </w:rPr>
        <w:t>Chief Financial Officer</w:t>
      </w:r>
    </w:p>
    <w:sectPr>
      <w:pgSz w:w="11900" w:h="16838" w:orient="portrait"/>
      <w:cols w:equalWidth="0" w:num="1">
        <w:col w:w="11140"/>
      </w:cols>
      <w:pgMar w:left="320" w:top="13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lvl w:ilvl="1">
      <w:lvlJc w:val="left"/>
      <w:lvlText w:val="%2"/>
      <w:numFmt w:val="decimal"/>
      <w:start w:val="104"/>
    </w:lvl>
  </w:abstractNum>
  <w:abstractNum w:abstractNumId="7">
    <w:nsid w:val="5BD062C2"/>
    <w:multiLevelType w:val="hybridMultilevel"/>
    <w:lvl w:ilvl="0">
      <w:lvlJc w:val="left"/>
      <w:lvlText w:val="**"/>
      <w:numFmt w:val="bullet"/>
      <w:start w:val="1"/>
    </w:lvl>
    <w:lvl w:ilvl="1">
      <w:lvlJc w:val="left"/>
      <w:lvlText w:val="%2"/>
      <w:numFmt w:val="decimal"/>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54" Type="http://schemas.openxmlformats.org/officeDocument/2006/relationships/hyperlink" Target="https://www.sec.gov/ix?doc=/Archives/edgar/data/1801602/000162828024013998/wdq-20231231.htm" TargetMode="External"/><Relationship Id="rId55" Type="http://schemas.openxmlformats.org/officeDocument/2006/relationships/hyperlink" Target="https://www.sec.gov/Archives/edgar/data/1801602/000162828024002086/a41sbig-greenroomconvert.htm" TargetMode="External"/><Relationship Id="rId56" Type="http://schemas.openxmlformats.org/officeDocument/2006/relationships/hyperlink" Target="https://www.sec.gov/Archives/edgar/data/1801602/000162828024002086/a42sbig-greenroomtermnot.htm" TargetMode="External"/><Relationship Id="rId57" Type="http://schemas.openxmlformats.org/officeDocument/2006/relationships/hyperlink" Target="https://www.sec.gov/Archives/edgar/data/1801602/000162828024002086/a101l1settlementofnotefa.htm" TargetMode="External"/><Relationship Id="rId58" Type="http://schemas.openxmlformats.org/officeDocument/2006/relationships/hyperlink" Target="https://www.sec.gov/Archives/edgar/data/1801602/000162828024002086/a102greenroomnotepurchas.htm" TargetMode="External"/><Relationship Id="rId59" Type="http://schemas.openxmlformats.org/officeDocument/2006/relationships/hyperlink" Target="https://www.sec.gov/Archives/edgar/data/1801602/000162828024002086/a103sbig-greenroomregist.htm" TargetMode="External"/><Relationship Id="rId60" Type="http://schemas.openxmlformats.org/officeDocument/2006/relationships/hyperlink" Target="https://www.sec.gov/Archives/edgar/data/1801602/000162828024002466/a101directornomination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2024-05-14T16:04:43Z</dcterms:created>
  <dcterms:modified xsi:type="dcterms:W3CDTF">2024-05-14T16:04:43Z</dcterms:modified>
</cp:coreProperties>
</file>