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4240" w:right="940" w:hanging="3292"/>
        <w:spacing w:after="0" w:line="490" w:lineRule="auto"/>
        <w:tabs>
          <w:tab w:leader="none" w:pos="1148"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For the quarter ended </w:t>
      </w:r>
      <w:r>
        <w:rPr>
          <w:rFonts w:ascii="Times New Roman" w:cs="Times New Roman" w:eastAsia="Times New Roman" w:hAnsi="Times New Roman"/>
          <w:sz w:val="18"/>
          <w:szCs w:val="18"/>
          <w:color w:val="auto"/>
        </w:rPr>
        <w:t>June 30, 2024</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7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88-2789488</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621 NW 53rd Street</w:t>
            </w:r>
          </w:p>
        </w:tc>
        <w:tc>
          <w:tcPr>
            <w:tcW w:w="5500" w:type="dxa"/>
            <w:vAlign w:val="bottom"/>
          </w:tcPr>
          <w:p>
            <w:pPr>
              <w:spacing w:after="0"/>
              <w:rPr>
                <w:sz w:val="24"/>
                <w:szCs w:val="24"/>
                <w:color w:val="auto"/>
              </w:rPr>
            </w:pPr>
          </w:p>
        </w:tc>
      </w:tr>
      <w:tr>
        <w:trPr>
          <w:trHeight w:val="23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Ste. 500</w:t>
            </w:r>
          </w:p>
        </w:tc>
        <w:tc>
          <w:tcPr>
            <w:tcW w:w="5500" w:type="dxa"/>
            <w:vAlign w:val="bottom"/>
          </w:tcPr>
          <w:p>
            <w:pPr>
              <w:spacing w:after="0"/>
              <w:rPr>
                <w:sz w:val="19"/>
                <w:szCs w:val="19"/>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Boca Raton, Florida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33487</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(800) 772-9172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140"/>
        <w:spacing w:after="0"/>
        <w:tabs>
          <w:tab w:leader="none" w:pos="4900" w:val="left"/>
          <w:tab w:leader="none" w:pos="77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12, 2024, there were 46,315,018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SPRINGBIG,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780" w:type="dxa"/>
            <w:vAlign w:val="bottom"/>
            <w:gridSpan w:val="12"/>
            <w:shd w:val="clear" w:color="auto" w:fill="CCEEFF"/>
          </w:tcPr>
          <w:p>
            <w:pPr>
              <w:jc w:val="center"/>
              <w:ind w:right="3440"/>
              <w:spacing w:after="0" w:line="162"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1000" w:type="dxa"/>
            <w:vAlign w:val="bottom"/>
            <w:shd w:val="clear" w:color="auto" w:fill="CCEEFF"/>
          </w:tcPr>
          <w:p>
            <w:pPr>
              <w:spacing w:after="0"/>
              <w:rPr>
                <w:sz w:val="17"/>
                <w:szCs w:val="17"/>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320" w:type="dxa"/>
            <w:vAlign w:val="bottom"/>
            <w:tcBorders>
              <w:top w:val="single" w:sz="8" w:color="CCEEFF"/>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2340" w:type="dxa"/>
            <w:vAlign w:val="bottom"/>
            <w:tcBorders>
              <w:top w:val="single" w:sz="8" w:color="0000EE"/>
            </w:tcBorders>
            <w:gridSpan w:val="6"/>
          </w:tcPr>
          <w:p>
            <w:pPr>
              <w:spacing w:after="0"/>
              <w:rPr>
                <w:sz w:val="15"/>
                <w:szCs w:val="15"/>
                <w:color w:val="auto"/>
              </w:rPr>
            </w:pPr>
          </w:p>
        </w:tc>
        <w:tc>
          <w:tcPr>
            <w:tcW w:w="344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1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rPr>
                <w:sz w:val="15"/>
                <w:szCs w:val="15"/>
                <w:color w:val="auto"/>
              </w:rPr>
            </w:pPr>
          </w:p>
        </w:tc>
        <w:tc>
          <w:tcPr>
            <w:tcW w:w="91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2024, and December 31,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91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June 30, 2024, and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rPr>
                <w:sz w:val="15"/>
                <w:szCs w:val="15"/>
                <w:color w:val="auto"/>
              </w:rPr>
            </w:pPr>
          </w:p>
        </w:tc>
        <w:tc>
          <w:tcPr>
            <w:tcW w:w="91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for three and six months ended June 30, 2024, and</w:t>
            </w:r>
          </w:p>
        </w:tc>
        <w:tc>
          <w:tcPr>
            <w:tcW w:w="1000" w:type="dxa"/>
            <w:vAlign w:val="bottom"/>
            <w:shd w:val="clear" w:color="auto" w:fill="CCEEFF"/>
          </w:tcPr>
          <w:p>
            <w:pPr>
              <w:spacing w:after="0"/>
              <w:rPr>
                <w:sz w:val="15"/>
                <w:szCs w:val="15"/>
                <w:color w:val="auto"/>
              </w:rPr>
            </w:pPr>
          </w:p>
        </w:tc>
      </w:tr>
      <w:tr>
        <w:trPr>
          <w:trHeight w:val="222"/>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5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90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8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52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98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48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140" w:type="dxa"/>
            <w:vAlign w:val="bottom"/>
            <w:tcBorders>
              <w:top w:val="single" w:sz="8" w:color="CCEEFF"/>
            </w:tcBorders>
          </w:tcPr>
          <w:p>
            <w:pPr>
              <w:spacing w:after="0"/>
              <w:rPr>
                <w:sz w:val="15"/>
                <w:szCs w:val="15"/>
                <w:color w:val="auto"/>
              </w:rPr>
            </w:pPr>
          </w:p>
        </w:tc>
        <w:tc>
          <w:tcPr>
            <w:tcW w:w="9100" w:type="dxa"/>
            <w:vAlign w:val="bottom"/>
            <w:tcBorders>
              <w:top w:val="single" w:sz="8" w:color="CCEEFF"/>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June 30, 2024, and 2023</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1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484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1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4820" w:type="dxa"/>
            <w:vAlign w:val="bottom"/>
            <w:tcBorders>
              <w:top w:val="single" w:sz="8" w:color="CCEEFF"/>
            </w:tcBorders>
            <w:gridSpan w:val="9"/>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1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352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1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780" w:type="dxa"/>
            <w:vAlign w:val="bottom"/>
            <w:tcBorders>
              <w:top w:val="single" w:sz="8" w:color="CCEEFF"/>
            </w:tcBorders>
            <w:gridSpan w:val="1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1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78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1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rPr>
                <w:sz w:val="15"/>
                <w:szCs w:val="15"/>
                <w:color w:val="auto"/>
              </w:rPr>
            </w:pPr>
          </w:p>
        </w:tc>
        <w:tc>
          <w:tcPr>
            <w:tcW w:w="91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Factors that could cause our actual results and our financial condition to differ materially from those indicated in our forward-looking statements include, but are not limited to, the following:</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cannabis industry and SpringBig’s market size, including with respect to the potential total addressable market in the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SpringBig’s growth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service offerings SpringBig may introduce in the future;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working capital deficiency and history of losses; the potential need to raise additional funds to meet our obligations and sustain our operations; the potential inability to achieve profitability in the future; and substantial doubt as to our ability to continue as a going concern;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business plans, forecasts, and other expectations, and identify and realize additional opportunities;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from time to time in filings made with the Securities and Exchange Commission (the “SEC”).</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 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$1,737 and $1,595, respectively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3,223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asset, non-current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2,941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7,947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5,105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cash advances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payroll tax credits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2,729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Warant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16,419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13,779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shares, 300,000,000 authorized at June 30, 2024; 46,148,026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June 30, 2024; 300,000,000 authorized at December 31, 2023; 45,339,762 issued and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28,319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27,887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(36,795)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(8,472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7,947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5,105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1,915</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1,511</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2,861</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4,664</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1,270</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4,345</w:t>
            </w:r>
          </w:p>
        </w:tc>
      </w:tr>
      <w:tr>
        <w:trPr>
          <w:trHeight w:val="24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2,357</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3,245</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4,126</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6,002</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4,754</w:t>
            </w: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7,476</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9,716</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15,011</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(544)</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(1,419)</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note repurchase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45,721,610</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31,489,803</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45,576,941</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29,159,766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DEFICIT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tcPr>
          <w:p>
            <w:pPr>
              <w:spacing w:after="0"/>
              <w:rPr>
                <w:sz w:val="18"/>
                <w:szCs w:val="18"/>
                <w:color w:val="auto"/>
              </w:rPr>
            </w:pPr>
          </w:p>
        </w:tc>
      </w:tr>
      <w:tr>
        <w:trPr>
          <w:trHeight w:val="245"/>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Shares</w:t>
            </w:r>
          </w:p>
        </w:tc>
        <w:tc>
          <w:tcPr>
            <w:tcW w:w="240" w:type="dxa"/>
            <w:vAlign w:val="bottom"/>
          </w:tcPr>
          <w:p>
            <w:pPr>
              <w:spacing w:after="0"/>
              <w:rPr>
                <w:sz w:val="21"/>
                <w:szCs w:val="21"/>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Stock-based compensation</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RSU vesting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45,594,864</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28,119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(36,148)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553,162</w:t>
            </w:r>
          </w:p>
        </w:tc>
        <w:tc>
          <w:tcPr>
            <w:tcW w:w="5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(647)</w:t>
            </w:r>
          </w:p>
        </w:tc>
        <w:tc>
          <w:tcPr>
            <w:tcW w:w="3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46,148,026</w:t>
            </w:r>
          </w:p>
        </w:tc>
        <w:tc>
          <w:tcPr>
            <w:tcW w:w="24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28,319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(36,795</w:t>
            </w:r>
          </w:p>
        </w:tc>
        <w:tc>
          <w:tcPr>
            <w:tcW w:w="220" w:type="dxa"/>
            <w:vAlign w:val="bottom"/>
            <w:vMerge w:val="continue"/>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-770890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-496570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-205105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tcPr>
          <w:p>
            <w:pPr>
              <w:spacing w:after="0"/>
              <w:rPr>
                <w:sz w:val="18"/>
                <w:szCs w:val="18"/>
                <w:color w:val="auto"/>
              </w:rPr>
            </w:pPr>
          </w:p>
        </w:tc>
      </w:tr>
      <w:tr>
        <w:trPr>
          <w:trHeight w:val="245"/>
        </w:trPr>
        <w:tc>
          <w:tcPr>
            <w:tcW w:w="2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Shares</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bl>
    <w:p>
      <w:pPr>
        <w:spacing w:after="0" w:line="200" w:lineRule="exact"/>
        <w:rPr>
          <w:sz w:val="20"/>
          <w:szCs w:val="20"/>
          <w:color w:val="auto"/>
        </w:rPr>
      </w:pPr>
    </w:p>
    <w:p>
      <w:pPr>
        <w:sectPr>
          <w:pgSz w:w="11900" w:h="16838" w:orient="portrait"/>
          <w:cols w:equalWidth="0" w:num="2">
            <w:col w:w="3640" w:space="720"/>
            <w:col w:w="6880"/>
          </w:cols>
          <w:pgMar w:left="320" w:top="87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45,339,762</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27,887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(36,565)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 vesting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553,162</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 ^</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255,102</w:t>
            </w:r>
          </w:p>
        </w:tc>
        <w:tc>
          <w:tcPr>
            <w:tcW w:w="5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w:t>
            </w:r>
          </w:p>
        </w:tc>
        <w:tc>
          <w:tcPr>
            <w:tcW w:w="3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46,148,026</w:t>
            </w:r>
          </w:p>
        </w:tc>
        <w:tc>
          <w:tcPr>
            <w:tcW w:w="24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28,319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(36,795</w:t>
            </w:r>
          </w:p>
        </w:tc>
        <w:tc>
          <w:tcPr>
            <w:tcW w:w="220" w:type="dxa"/>
            <w:vAlign w:val="bottom"/>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issued in exchange for services rendered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38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Stock Shares</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2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26,940,841</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(28,594)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446,103</w:t>
            </w: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 ^</w:t>
            </w:r>
          </w:p>
        </w:tc>
        <w:tc>
          <w:tcPr>
            <w:tcW w:w="2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9,900,000</w:t>
            </w:r>
          </w:p>
        </w:tc>
        <w:tc>
          <w:tcPr>
            <w:tcW w:w="102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of common stock *</w:t>
            </w:r>
          </w:p>
        </w:tc>
        <w:tc>
          <w:tcPr>
            <w:tcW w:w="2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4,115,903</w:t>
            </w: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7"/>
        </w:trPr>
        <w:tc>
          <w:tcPr>
            <w:tcW w:w="3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4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180" w:type="dxa"/>
            <w:vAlign w:val="bottom"/>
            <w:vMerge w:val="continue"/>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41,402,847</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26,975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(30,622</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raise for cash, net of issuance costs</w:t>
      </w:r>
    </w:p>
    <w:p>
      <w:pPr>
        <w:spacing w:after="0" w:line="2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Senior Secured Convertible Notes in exchange for common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36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Stock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26,659,711</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727,233</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 ^</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9,900,000</w:t>
            </w:r>
          </w:p>
        </w:tc>
        <w:tc>
          <w:tcPr>
            <w:tcW w:w="9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of common stock *</w:t>
            </w:r>
          </w:p>
        </w:tc>
        <w:tc>
          <w:tcPr>
            <w:tcW w:w="2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4,115,903</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7"/>
        </w:trPr>
        <w:tc>
          <w:tcPr>
            <w:tcW w:w="3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340" w:type="dxa"/>
            <w:vAlign w:val="bottom"/>
            <w:vMerge w:val="continue"/>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41,402,847</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26,975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(30,622</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raise for cash, net of issuance costs</w:t>
      </w:r>
    </w:p>
    <w:p>
      <w:pPr>
        <w:spacing w:after="0" w:line="2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Senior Secured Convertible Notes in exchange for common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amortization on convertible note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payroll tax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1,442</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(63)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w:t>
      </w:r>
    </w:p>
    <w:p>
      <w:pPr>
        <w:spacing w:after="0" w:line="36" w:lineRule="exact"/>
        <w:rPr>
          <w:sz w:val="20"/>
          <w:szCs w:val="20"/>
          <w:color w:val="auto"/>
        </w:rPr>
      </w:pPr>
    </w:p>
    <w:p>
      <w:pPr>
        <w:sectPr>
          <w:pgSz w:w="11900" w:h="16838" w:orient="portrait"/>
          <w:cols w:equalWidth="0" w:num="3">
            <w:col w:w="8840" w:space="720"/>
            <w:col w:w="620" w:space="720"/>
            <w:col w:w="34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notes</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(2,895)</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term notes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short-term cash advances</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(1,415)</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related party payable</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convertible and term note issuance</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equity issuance</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2,375</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disclosures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services rendered relating to debt financing</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equity issuance deducted from proceeds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cost of equity issuance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note and outstanding interest into common stock</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SpringBig Holdings, Inc. and its wholly owned subsidiaries (the “Company,” “we,” “us,”, “our”,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direct wholly owned subsidiary, SpringBig, Inc.</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Beginning June 15, 2022, the ticker symbols for the Company’s common stock and publicly traded warrants were changed to “SBIG” and “SBIGW,” respectively, and commenced trading on The Nasdaq Capital Market.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 2023, the Board of Directors of SpringBig Holdings, Inc. determined that it would not be in the best interest of the Company or its shareholders to meet the continued listing requirements of the Nasdaq Capital Market, and the Company notified the Nasdaq Stock Market LLC (“Nasdaq”) that it was withdrawing its appeal of the Nasdaq Listings Qualification staff’s delist determination dated March 7, 2023, for the Company’s failure to meet the market value of listed securities requirement in the Nasdaq Listing Rules.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common stock is now quoted for trading on the OTCQX® Best Market and its public warrants are now quoted for trading on the OTC Pink Market under their current trading symbols “SBIG” and “SBIGW,” respectively. The Company’s common stock started trading on the OTCQX® Best Market on September 6, 2023. The Company remains a reporting company under the Securities Exchange Act of 1934, as amended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Principles of Consolidation and 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months and six months ended June 30, 2024, are not necessarily indicative of the results that may be expected for future periods or for the year ending December 31, 2024.</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financial data presented herein should be read in conjunction with the audited consolidated financial statements and accompanying notes as of and for the year ended December 31, 2023, as reported in the 2023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Going Concern and Liquidity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the Company has incurred losses, which has resulted in an accumulated deficit of approximately $36.8 million as of June 30, 2024. Cash flows used in operating activities were $1.9 million for the six months ended June 30, 2024. As of June 30, 2024, the Company had a working capital deficit of approximately $8.9 million, inclusive of $0.7 million in cash and cash equivalents to cover overhead expenses.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on its ability to meet its liquidity needs through a combination of factors, including, but not limited to, cash and cash equivalents, increase in revenue through increased usage by customers and new customers and strategic capital raises. The ultimate success of these plans is not guaranteed.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June 30, 2024, and continuing at the date this report was issued, the Company’s cash balance is below $1 million and therefore the Company is in default pursuant to the terms of the 12% Secured Term Notes and 8% Secured Convertible Notes. The Note holders have the right at their option, which they have not exercised at the date this report was issued, to declare the entire principal amounts outstanding to be due and payable on demand at any time until the default is cured at such time as the Company cash balance is in excess of $1 million. At any time that the Company is in default an incremental amount of interest equivalent to 8% per annum is payable on the 12% Secured Term Notes and 8% Secured Convertible Notes. The Company has classified the Notes as a current liability at June 30, 2024, due to being in default.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Given that until the default is cured, the Note holders have the right to declare the entire principal amounts outstanding to be due and payable, we concluded that until such time there was substantial doubt about our ability to continue to operate as a going concern for the 12 months following the issuance of the accompanying condensed consolidated financial statements.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on a going concern basis and do not include any adjustments that might result from uncertainty about the Company’s ability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translate the condensed consolidated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the Company have used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The Company reviews these estimates and assumptions periodically and reflects on the effects of revisions in the period that are determined to be necessary. We believe that the assumptions and estimates associated with income taxes, equity-based compensation (including issuance of common stock for services rendered), warrants and allowance for credit losses have the greatest potential impact on our consolidated financial statements. Therefore, the Company consider the policies related to these financial areas to be critical accounting policies.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manages its business as a single operating segment. Our chief operating decision maker reviews financial information presented for the purposes of allocating resources and evaluating financial performance at an entity level and we have no segment managers who are held accountable by the chief operating decision maker for operations and operating results. The products and services across the Company are similar in nature, distributed in a comparable manner and have customers with common characteristics. We determined that we have one operating and reportable segment in accordance with Accounting Standards Codification (“ASC”) 280, Segment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assets, which include cash equivalents, current financial assets and our current financial liabilities have fair values that approximate their carrying value due to their short-term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Concentrations of 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 of credit risk consist principally of cash and cash equivalents and accounts receivable. We place our cash and cash equivalents with high credit-quality financial institutions. Such deposits may be in excess of federally insured limits. To date, we have not experienced any losses on our cash and cash equivalents. We perform periodic evaluations of the relative credit standing of the financial institutions.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perform ongoing credit evaluations of our customers’ financial condition and require no collateral from our customers. We maintain a credit loss reserve for expected credit losses based upon the expected collectability of accounts receivable balances. See </w:t>
      </w:r>
      <w:r>
        <w:rPr>
          <w:rFonts w:ascii="Times New Roman" w:cs="Times New Roman" w:eastAsia="Times New Roman" w:hAnsi="Times New Roman"/>
          <w:sz w:val="18"/>
          <w:szCs w:val="18"/>
          <w:i w:val="1"/>
          <w:iCs w:val="1"/>
          <w:color w:val="auto"/>
        </w:rPr>
        <w:t>Effective Accounting Pronouncements</w:t>
      </w:r>
      <w:r>
        <w:rPr>
          <w:rFonts w:ascii="Times New Roman" w:cs="Times New Roman" w:eastAsia="Times New Roman" w:hAnsi="Times New Roman"/>
          <w:sz w:val="18"/>
          <w:szCs w:val="18"/>
          <w:color w:val="auto"/>
        </w:rPr>
        <w:t xml:space="preserve"> within this Note below for further information.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one customer representing 14% of our total revenues for the six months ended June 30, 2024, and the same customer represented more than 12% of total revenues for the six months ended June 30, 2023.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June 30, 2024, we had two customers representing 32% of accounts receivable and the same two customers represented 30% of accounts receivable at December 31, 2023.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one vendor representing 89% of cost of goods sold for the six months ended June 30, 2024, and the same vendor represented 80% of cost of goods sold for the six months ended June 30, 2023.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one vendor representing 32% of accounts payable as of June 30, 2024. At December 31, 2023, two vendors represented 30% of accounts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Deferred Financing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23, 2024, the Company issued $6.4 million aggregate principal amount of 8% Secured Convertible Notes and $1.6 million aggregate principal amount of 12% Secured Term Notes. See Note 9. The expenses directly related to issuance of this debt, including investment bank advisory fees, legal fees and other advisory fees, have been deferred and will be expensed over the two-year term of the debt up to January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acquired, to be cash equivalents.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the Company exceeded the federally insured limits of $250,000 for interest and non-interest-bearing deposits. The Company had cash balances with a single financial institution in excess of the FDIC insured limits by amounts of $0.2 million as of June 30, 2024. We monitor the financial condition of such institution and have not experienced any losses associated with these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reserve methodology used to determine the appropriate level of the allowance for credit losses (“ACL”) is a critical accounting estimate. The ACL is maintained at a level believed to be appropriate to provide for the current credit losses expected to be incurred related to the Company’s accounts and unbilled receivables at the balance sheet date. The evaluation of expected losses is based on the probability of default using historical loss rates, as well as adjustments for forward-looking information, including industry and macroeconomic forecasts, as required. Management’s current methodology includes utilizing a historical loss rate equivalent to the average loss rate during the preceding forty-eight months and applying this rate to accounts and unbilled receivables at the date of recording. This rate as well as the various quantitative and qualitative factors used in the methodologies are reviewed quarterly.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(1,737)</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loss expense was $80,000 and $231,000 for the three months ended June 30, 2024, and 2023, respectively. Credit loss expense was $167,000 and $380,000 for the six months ended June 30, 2024, and 2023, respectively. The amounts are included in general and administrative expenses in the condensed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color w:val="auto"/>
        </w:rPr>
        <w:t>The following table details the activity related to the Company’s allowance for credit losses for the six months ending June 30,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December 31, 2023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(release) for expected credit losses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balance, June 30, 2024</w:t>
            </w:r>
          </w:p>
        </w:tc>
        <w:tc>
          <w:tcPr>
            <w:tcW w:w="100" w:type="dxa"/>
            <w:vAlign w:val="bottom"/>
            <w:tcBorders>
              <w:top w:val="single" w:sz="8" w:color="CCEEFF"/>
            </w:tcBorders>
          </w:tcPr>
          <w:p>
            <w:pPr>
              <w:spacing w:after="0"/>
              <w:rPr>
                <w:sz w:val="20"/>
                <w:szCs w:val="20"/>
                <w:color w:val="auto"/>
              </w:rPr>
            </w:pPr>
          </w:p>
        </w:tc>
        <w:tc>
          <w:tcPr>
            <w:tcW w:w="10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warehouse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useful life of computer equipment, furniture and fixtures, data warehouse and software is three years.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and six months ended June 30, 2024, was $47,000 and $101,000, respectively. Depreciation and amortization expense for the three and six months ended June 30, 2023, was $64,000 and $131,000, respectively. The amounts are included in general and administrative expenses in the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CONVERTIBLE NOTE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2022, the Company purchased $250,000 in aggregate principal amount of convertible promissory note due April 1, 2026 (the “Convertible Note Receivable”). The Convertible Note Receivable accrued interest at the rate of 5% per annum on the principal amount of the Convertible Note Receivable. The Company determined that the fair value of the Convertible Note was $0 at December 31, 2023. The loss of $272,000, including $22,000 of accrued interest income, was recorded in interest expense on the Company’s condensed consolidated statements of operations for the year ended December 31,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ACCRUED EXPENSES AND OTHER LIABILITIES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commission and 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financial advisory fees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$540,000 related party payable at December 31, 2023, was repaid in January 2024, following completion of the issuance of $6.4 million aggregate principal amount of 8% Secured Convertible Notes and $1.6 million aggregate principal amount of 12% Secured Term Notes.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Jeffrey Harris, CEO, and Paul Sykes, CFO, both participated in the debt financing transaction completed on January 23, 2024. Jeffrey Harris purchased $320,000 8% Secured Convertible Notes, due 2026, and $80,000 12% Secured Term Notes, due 2026. Paul Sykes purchased $25,000 8% Secured Convertible Notes, due 2026, and $6,250 12% Secured Term Notes, due 2026.</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three members of the board of directors at June 30, 2024, who are related parties to investors in the debt financing transaction completed on January 23, 2024. In aggregate these investors purchased $5.2 million 12% Secured Convertible Notes and $1.3 million 8% Secured Term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LONG-TERM DEBT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presents the components of outstanding debt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 Secured Term Notes, due January 23,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8% Secured Convertible Notes, due January 23, 2026</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financing fees, net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issued $1.6 million aggregate principal amount of 12% Secured Term Notes and $6.4 million aggregate principal amount of 8% Secured Convertible Notes to a group of investors.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12% Secured Term Notes, due in January 2026, accrue interest payable in cash semi-annually. The 8% Secured Convertible Notes accrue interest which is added to the outstanding principal balance annually.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terms of the 12% Secured Term Notes and 8% Secured Convertible Notes, which rank pari passu, the Company is required to maintain a minimum cash balance of $1 million and if this covenant is not satisfied the Company is in default, and the Note holders have default-rights including at their option the right to declare the entire principal amount to become due and payable and that upon the occurrence of any default an incremental 8% interest shall accrue on the 12% Secured Term Notes and 8% Secured Convertible Notes.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June 30, 2024, the Company cash balance is below the $1 million minimum cash covenant and therefore the debt has been classified in the balance sheet at June 30, 2024, as a current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 holders initially waived the incremental default interest until on August 12, 2024, delivering to the Company written notice that they are no longer waiving the incremental default interest. Therefore, the Company will be accruing incremental interest of 8% until the default is cured. The Note holders have not delivered to the Company written notice exercising their option to declare the Notes due and payable.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8% Secured Convertible Notes are convertible into common stock at a conversion price of $0.15 per share at the holder’s option any time up to the day prior to maturity in January 2026.</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12% Secured Term Notes and 8% Secured Convertible Notes rank pari passu and are secured on substantially all the assets of the Company.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12% Secured Term Notes and 8%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also contain customary events of default.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interest expense for the three and six months ended June 30, 2024, of $176,000 and $293,000 respectively, in connection with the 12% Secured Term Notes and 8% Secured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6% SENIOR SECURED 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warrant representing 586,890 shares of common stock of the Company (the “Convertible Warrant”) with a fair value of $839,000 as at the date of the business combination was also issued in a private placement with the purchaser party thereto. To determine the fair value of the Convertible Warrant, the Company performed a Black-Scholes calculation as of June 14, 2022, using a stock price of $4.28, a strike price of $12.00, a risk-free rate of 3.61%, annualized volatility of 65%, and a time to maturity of five years.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16, 2024, the Company and the noteholder executed an agreement for the Company to repurchase the outstanding note and associated warrants, and on January 23, 2024, the note and associated warrants were repurchased for $2.9 million. As such, the outstanding principal on the Secured Convertible Notes at March 31, 2024 was $0. At December 31, 2023, the outstanding principal of the Secured Convertible Notes was $5.1 million with a carrying value of $4.4 million, net of discount of $0.7 million. The Company recorded a $1.6 million gain on repurchase of the note for the three months ended March 31, 2024.</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$14,000 and $238,000 of interest expense in connection with the Senior Secured Convertible Notes for the six months ended June 30, 2024, and June 30,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warrants in accordance with the guidance contained in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2024 and December 31, 2023, the estimated fair value of the warrants was $54,400 and $3,200, respectively.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 change in fair value loss of approximately $48,000 for the three months ended June 30, 2024, and a fair value gain of approximately $64,000 for the three months ended June 30, 2023. and 2023. For the six months ended June 30, 2024, and 2023 the Company recorded a change in fair value loss of $51,000 and $89,000 respectively.</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fair value is determined in accordance with </w:t>
      </w:r>
      <w:r>
        <w:rPr>
          <w:rFonts w:ascii="Times New Roman" w:cs="Times New Roman" w:eastAsia="Times New Roman" w:hAnsi="Times New Roman"/>
          <w:sz w:val="18"/>
          <w:szCs w:val="18"/>
          <w:i w:val="1"/>
          <w:iCs w:val="1"/>
          <w:color w:val="auto"/>
        </w:rPr>
        <w:t>ASC 820, Fair Value Measurement</w:t>
      </w:r>
      <w:r>
        <w:rPr>
          <w:rFonts w:ascii="Times New Roman" w:cs="Times New Roman" w:eastAsia="Times New Roman" w:hAnsi="Times New Roman"/>
          <w:sz w:val="18"/>
          <w:szCs w:val="18"/>
          <w:color w:val="auto"/>
        </w:rPr>
        <w:t>. See Note 17, Fair Value Measurements, to the accompanying condensed consolidated financial statements for further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REVENUE RECOGNITION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type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Retail revenue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6,501</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12,916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6,612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13,086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Geographic Information</w:t>
            </w:r>
          </w:p>
        </w:tc>
        <w:tc>
          <w:tcPr>
            <w:tcW w:w="4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1840" w:type="dxa"/>
            <w:vAlign w:val="bottom"/>
            <w:tcBorders>
              <w:bottom w:val="single" w:sz="8" w:color="auto"/>
            </w:tcBorders>
            <w:vMerge w:val="continue"/>
          </w:tcPr>
          <w:p>
            <w:pPr>
              <w:spacing w:after="0"/>
              <w:rPr>
                <w:sz w:val="24"/>
                <w:szCs w:val="24"/>
                <w:color w:val="auto"/>
              </w:rPr>
            </w:pPr>
          </w:p>
        </w:tc>
        <w:tc>
          <w:tcPr>
            <w:tcW w:w="4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by geographical region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Brand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Retail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6,298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12,571</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6,612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13,086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Revenues by geography are generally based on the country of the Company’s contracting entity. Total United States revenue was approximately 97% of total revenue for the six months ended June 30, 2024, and June 30,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CONTRACT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 consisted of the following as of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sales commissions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movement in the contract assets during the six months ended June 30, 2024, and the year ended December 31, 2023, comprised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at start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Expense deferred during the period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amounts expensed during the period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Contract assets at end of the period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 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Tuatara shareholders approved the SpringBig Holdings, Inc. 2022 Long-Term Incentive Plan (the “2022 Incentive Plan”), which became effective upon the Closing.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annual shareholder meeting on June 13, 2022, the Company shareholders approved an amendment to the 2022 Incentive Plan to add an automatic annual increase in the number of shares authorized for issuance of up to 5% of the number of the Company’s common stock issued and outstanding on December 31 of the immediately preceding calendar year, beginning with the fiscal year ending December 31, 2023; provided that the annual increase with respect to the fiscal year ending December 31, 2023, which is 1,332,986 shares of common stock, took effect on the first business day following the annual shareholder meeting.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shares automatically added to the number of shares authorized for issuance on January 1, 2024, was 2,266,988, being 5% of the number of the Company’s common stock issued and outstanding on December 31, 2023. The total number of shares of common stock authorized for issuance under the 2022 Incentive Plan is 5,125,149 as of June 30,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merger, Legacy SpringBig maintained an equity incentive plan (the “Legacy Incentive Plan”), which was originally established effective December 1, 2017. SpringBig has not granted any additional awards under the Legacy Incentive Plan following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7"/>
          <w:szCs w:val="17"/>
          <w:color w:val="auto"/>
        </w:rPr>
        <w:t>The following table summarizes information on stock options outstanding as of June 30, 2024, under the Legacy Incentive Plan:</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Balance, January 1,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forfeited and cancelled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Balance, June 30, 2024</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7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78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r>
      <w:tr>
        <w:trPr>
          <w:trHeight w:val="194"/>
        </w:trPr>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45"/>
        </w:trPr>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21"/>
                <w:szCs w:val="2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2,271,894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0.57</w:t>
            </w:r>
          </w:p>
        </w:tc>
        <w:tc>
          <w:tcPr>
            <w:tcW w:w="24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2,244,102</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800"/>
              <w:spacing w:after="0" w:line="198" w:lineRule="exact"/>
              <w:rPr>
                <w:sz w:val="20"/>
                <w:szCs w:val="20"/>
                <w:color w:val="auto"/>
              </w:rPr>
            </w:pPr>
            <w:r>
              <w:rPr>
                <w:rFonts w:ascii="Times New Roman" w:cs="Times New Roman" w:eastAsia="Times New Roman" w:hAnsi="Times New Roman"/>
                <w:sz w:val="18"/>
                <w:szCs w:val="18"/>
                <w:color w:val="auto"/>
                <w:w w:val="88"/>
              </w:rPr>
              <w:t>4.81</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0.56</w:t>
            </w:r>
          </w:p>
        </w:tc>
        <w:tc>
          <w:tcPr>
            <w:tcW w:w="20" w:type="dxa"/>
            <w:vAlign w:val="bottom"/>
          </w:tcPr>
          <w:p>
            <w:pPr>
              <w:spacing w:after="0"/>
              <w:rPr>
                <w:sz w:val="17"/>
                <w:szCs w:val="17"/>
                <w:color w:val="auto"/>
              </w:rPr>
            </w:pPr>
          </w:p>
        </w:tc>
      </w:tr>
      <w:tr>
        <w:trPr>
          <w:trHeight w:val="216"/>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(8,892)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2,263,002</w:t>
            </w:r>
          </w:p>
        </w:tc>
        <w:tc>
          <w:tcPr>
            <w:tcW w:w="2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2,263,002</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0.57</w:t>
            </w: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-779145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-496570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-205105</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00" w:space="720"/>
            <w:col w:w="6620"/>
          </w:cols>
          <w:pgMar w:left="320" w:top="877" w:right="339" w:bottom="1440" w:gutter="0" w:footer="0" w:header="0"/>
          <w:type w:val="continuous"/>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$18,000 and $35,000 of compensation expense was recorded in connection with the Legacy Incentive Plan, respectively. During the three and six months ended June 30, 2023, $30,000 and $61,000 of compensation expense was recorded in connection with the Legacy Incentive Plan, respectively These charges are recorded in administrative expense on the condensed consolidated statements of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options were exercised during the six months ended June 30, 2024. As of June 30, 2024, the intrinsic value of the 2,263,002 options outstanding and exercisable was $0. As of June 30, 2024, all options are vested and exercisable and the total compensation cost related to non-vested awards not yet recognized was $0.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on Restricted Stock Units outstanding as of June 30, 2024, under the 2022 Incentive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Restricted Stock Units Outstanding</w:t>
            </w:r>
          </w:p>
        </w:tc>
      </w:tr>
      <w:tr>
        <w:trPr>
          <w:trHeight w:val="194"/>
        </w:trPr>
        <w:tc>
          <w:tcPr>
            <w:tcW w:w="7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1.97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1,989,000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0.56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(276,836)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(225,655)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0.80</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1,382,500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0.14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(65,668)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1.22</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(553,162)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0.58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June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2,975,179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0.53</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compensation expense recorded in connection with the 2022 Incentive Plan was $182,000 and $360,000, respectively. During the three and six months ended June 30, 2023, compensation expense recorded in connection with the 2022 Incentive Plan was $175,000 and $306,000, respectively. The expense is reported within general and administrative expenses. The remaining expense of approximately $1.1 million will be recognized in future periods through March 2027. The Restricted Stock Units vest one-third on each of the first, second, and third anniversary after issuance.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in Boca Raton, Florida, Seattle, Washington and Ontario, Canada under non-cancelable operating lease agreements. The leases require monthly payments ranging from $4,000 to $48,000 and expire on various dates through February 2032. In addition to minimum rent, the Company is required to pay a proportionate share of operating expenses under these leases.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8" w:name="page19"/>
    <w:bookmarkEnd w:id="1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2022, the Company entered into a new lease which became effective on January 1, 2024, after completion of leasehold improvements. The new lease term is for 98 months, and monthly rental payments range from $38,000 to $48,000 over the life of the lease.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June 30, 2024, and December 31, 2023, the following amounts were presented on the Company’s condensed consolidated balance sheets in accordance with </w:t>
      </w:r>
      <w:r>
        <w:rPr>
          <w:rFonts w:ascii="Times New Roman" w:cs="Times New Roman" w:eastAsia="Times New Roman" w:hAnsi="Times New Roman"/>
          <w:sz w:val="18"/>
          <w:szCs w:val="18"/>
          <w:i w:val="1"/>
          <w:iCs w:val="1"/>
          <w:color w:val="auto"/>
        </w:rPr>
        <w:t>ASC 842 - Lease Accounting</w:t>
      </w:r>
      <w:r>
        <w:rPr>
          <w:rFonts w:ascii="Times New Roman" w:cs="Times New Roman" w:eastAsia="Times New Roman" w:hAnsi="Times New Roman"/>
          <w:sz w:val="18"/>
          <w:szCs w:val="18"/>
          <w:color w:val="auto"/>
        </w:rPr>
        <w:t xml:space="preser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8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21"/>
        </w:trPr>
        <w:tc>
          <w:tcPr>
            <w:tcW w:w="108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00" w:type="dxa"/>
            <w:vAlign w:val="bottom"/>
          </w:tcPr>
          <w:p>
            <w:pPr>
              <w:spacing w:after="0"/>
              <w:rPr>
                <w:sz w:val="19"/>
                <w:szCs w:val="19"/>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Company’s operating lease cost was $161,000 and $93,000, respectively. For the six months ended June 30, 2024, and 2023, the Company’s operating lease cost was $321,000 and $226,000, respectively. Other information pertaining to capitalized assets and liabilities under the leasing standard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40" w:type="dxa"/>
            <w:vAlign w:val="bottom"/>
          </w:tcPr>
          <w:p>
            <w:pPr>
              <w:spacing w:after="0"/>
              <w:rPr>
                <w:sz w:val="18"/>
                <w:szCs w:val="18"/>
                <w:color w:val="auto"/>
              </w:rPr>
            </w:pPr>
          </w:p>
        </w:tc>
        <w:tc>
          <w:tcPr>
            <w:tcW w:w="12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paid to operating leases</w:t>
            </w:r>
          </w:p>
        </w:tc>
        <w:tc>
          <w:tcPr>
            <w:tcW w:w="3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in exchange for new operating lease liabilities</w:t>
            </w:r>
          </w:p>
        </w:tc>
        <w:tc>
          <w:tcPr>
            <w:tcW w:w="3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(months)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432"/>
        </w:trPr>
        <w:tc>
          <w:tcPr>
            <w:tcW w:w="5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As of June 30, 2024, the Company’s lease liabilities mature as follows:</w:t>
            </w: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040" w:type="dxa"/>
            <w:vAlign w:val="bottom"/>
            <w:tcBorders>
              <w:top w:val="single" w:sz="8" w:color="auto"/>
            </w:tcBorders>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0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0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16"/>
        </w:trPr>
        <w:tc>
          <w:tcPr>
            <w:tcW w:w="5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50"/>
        </w:trPr>
        <w:tc>
          <w:tcPr>
            <w:tcW w:w="5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120" w:type="dxa"/>
            <w:vAlign w:val="bottom"/>
            <w:vMerge w:val="restart"/>
          </w:tcPr>
          <w:p>
            <w:pPr>
              <w:jc w:val="right"/>
              <w:ind w:right="27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4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Employee Retention Payroll Tax Credits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six months ended June 30, 2023, we received $2.0 million related to these credits, recognized $0.6 million as an offset related to operating expenses thorough accounts payable, and we have deferred recognition of remaining $1.4 million, which is recorded in current liabilities on the accompanying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used to classify assets and liabilities based on the observable inputs and unobservable inputs used in order to value the assets and liabilities:</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on unadjusted quoted prices in active markets for identical assets and liabilities that are accessible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valuations are based on quoted prices that are readily and regularly available in an active market, valuation of these products does not entail a significant degree of judgment.</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Valuation is determined from pricing inputs that are other than quoted prices in active markets that are either directly or indirectly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Valuation is based on inputs that are both significant to the fair value measurement and unobservable. Level 3 inputs include situations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little, if any, market activity for the financial instrument. The inputs into the determination of fair value generally require significant management judgment or estimation.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i w:val="1"/>
          <w:iCs w:val="1"/>
          <w:color w:val="auto"/>
        </w:rPr>
        <w:t>Liabilities measured at fair value on a recurring basis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June 30,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45"/>
        </w:trPr>
        <w:tc>
          <w:tcPr>
            <w:tcW w:w="59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69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r>
      <w:tr>
        <w:trPr>
          <w:trHeight w:val="21"/>
        </w:trPr>
        <w:tc>
          <w:tcPr>
            <w:tcW w:w="59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Given the limited trading volumes for the public warrants, there were certain transfers of financial liabilities between Level 1 and Level 2 during the six months ended June 30,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December 31, 2023,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59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69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methodologies used to estimate the fair values of liabilities measured at fair value on a recurring basis and within the fair value hierarchy.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Warrant liabilities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a fair value approach to account for its warrants based on the quoted price at June 30, 2024, the calculation is consistent with ASC 820, Fair Value Measurement, with changes in fair value recorded in current earnings.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2024, the value of the public warrants was approximately $54,400 using a closing price of $0.0034.</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Fair Value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provides a roll-forward in the changes in fair value in the public warrants for the six months ended June 30, 2024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fair value included in earnings for the period relating to liabilities held at June 30, 2024</w:t>
            </w:r>
          </w:p>
        </w:tc>
        <w:tc>
          <w:tcPr>
            <w:tcW w:w="5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Other Fair Value Considerations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accounts receivables, contract assets, prepaid expenses and other assets, accounts payable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approximate fair value due to their short-term maturities and/or low credit risk.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18 – STOCKHOLDERS’ EQUITY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Sponsor Escrow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Contingent and Earnout Shares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spacing w:after="0" w:line="180"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contingent shares if the closing price of the Company’s common stock equals or exceeds $12.00 per share on any twenty (20) trading days in a thirty (30)-trading day period at any time after the Closing Date and no later than 60 months following the Closing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contingent shares if the closing price of the Company’s common stock equals or exceeds $18.00 per share on any twenty (20) trading days in a thirty (30)-trading day period at any time after the Closing Date and no later than 60 months following the Closing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 consummation of the business combination, the Company’s authorized capital stock is 350,000,000 shares, consisting of 300,000,000 shares of common stock and 50,000,000 shares of preferred stock, with par value of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and 2023, there were 46,148,026 and 41,402,847 shares of common stock issued and outstanding, respectively.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Basic and diluted net loss per share was the same for each period presented, given there are losses during the period, the inclusion of all potential common shares outstanding would have been anti-dilutive.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actual basic and diluted earnings per share for the six months ended June 30, 2024, and 2023, respectively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45,721,610</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31,489,803</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45,576,941</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29,159,766</w:t>
            </w:r>
          </w:p>
        </w:tc>
        <w:tc>
          <w:tcPr>
            <w:tcW w:w="100" w:type="dxa"/>
            <w:vAlign w:val="bottom"/>
          </w:tcPr>
          <w:p>
            <w:pPr>
              <w:spacing w:after="0"/>
              <w:rPr>
                <w:sz w:val="24"/>
                <w:szCs w:val="24"/>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anti-dilutive securities excluded from the weighted-average shares used to calculate the diluted net loss per common share for the three months and six months ended June 30, 2024, and the net loss per common share for the three and six months ended June 30, 2023, were as follows: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unvested and subject to 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2,263,002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2,545,299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convertible notes stock conversion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42,666,667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5,636,928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warrants stock conversion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16,586,980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contingent earn out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10,500,000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2,975,179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2,600,500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safe harbor 401(k) retirement plan for the benefit of its employees. The plan allows participants to make contributions subject to certain limitations. Company matching contributions were $94,000 and $190,000 for the three and six months ended June 30, 2024, respectively. For the three and six months ended June 30, 2023, Company matching contributions were $131,000 and $289,000,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full valuation allowance against its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has considered subsequent events through August 13, 2024, the date this report was issued, and there were no events that required additional disclosure.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serves approximately 1,100 retail and brand clients across more than 2,500 distinct retail locations in North America. Our clients distribute more than 570 million messages annually, via text, push or email, and in the last year more than $7.9 billion of gross merchandise value was accounted for by clients utilizing our platform.</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14, 2022, SpringBig Holdings, Inc., a Delaware corporation (formerly known as Tuatara Capital Acquisition Corporation), consummated a business combination of Tuatara and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consequence of the business combination, Legacy SpringBig became the successor to an SEC-registered and Nasdaq-listed company, which required us to implement procedures and processes to address public company regulatory requirements and customary practices. On September 5, 2023, SpringBig Holdings, Inc. was delisted from the Nasdaq Capital Market and its common stock is now quoted for trading on the OTCQX® Best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is our analysis for the three and six months ended June 30, 2024, and 2023,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8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(2,488)</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retail clients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messages (million)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reconciliation of net loss to Adjusted EBITDA see “EBITDA” and “Adjusted EBITDA,” below.</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Key Operating Metrics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growth in our revenues is a key metric at this stage in our development as a Company and therefore to provide investors with additional information, we have disclosed in the table above the number of our retail clients, our net revenue retention rate and the number of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Number of Retail Clients. </w:t>
      </w:r>
      <w:r>
        <w:rPr>
          <w:rFonts w:ascii="Times New Roman" w:cs="Times New Roman" w:eastAsia="Times New Roman" w:hAnsi="Times New Roman"/>
          <w:sz w:val="18"/>
          <w:szCs w:val="18"/>
          <w:color w:val="auto"/>
        </w:rPr>
        <w:t>We disclose in the table above the number of discrete SpringBig platforms used by clients of the business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period. We view this number as an important metric to assess the performance of our business because an increased number of clients drives growth, increases brand awareness and helps contribute to our reach and strengthening our value proposition.</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Revenue Retention. </w:t>
      </w:r>
      <w:r>
        <w:rPr>
          <w:rFonts w:ascii="Times New Roman" w:cs="Times New Roman" w:eastAsia="Times New Roman" w:hAnsi="Times New Roman"/>
          <w:sz w:val="18"/>
          <w:szCs w:val="18"/>
          <w:color w:val="auto"/>
        </w:rPr>
        <w:t>We believe that the growth in the use of our platform by our clients is an important metric in evaluating our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recurring monthly subscription revenue from retail clients, adjusted for losses, increases and decreases in monthly subscriptions during the prior twelve months divided by the recurring monthly subscription revenue at the start of the trailing twelve-month period. The net revenue retention is calculated based on subscription revenues only and does not include the impact of excess use revenue.</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Messages Sent. </w:t>
      </w:r>
      <w:r>
        <w:rPr>
          <w:rFonts w:ascii="Times New Roman" w:cs="Times New Roman" w:eastAsia="Times New Roman" w:hAnsi="Times New Roman"/>
          <w:sz w:val="18"/>
          <w:szCs w:val="18"/>
          <w:color w:val="auto"/>
        </w:rPr>
        <w:t>We believe that the volume of messages sent is important as it indicates the frequency of use and level of engagement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by our clients. Messages are distributed by text, email, and direct push notifications to mobile applications.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infrequent items, or non-cash items (such as credit loss expense and stock-based compensation).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spacing w:after="0" w:line="162"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loss and our other GAAP results.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loss before taxes to non-GAAP EBITDA and Adjusted EBITDA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(647)</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8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(3,459)</w:t>
            </w:r>
          </w:p>
        </w:tc>
      </w:tr>
      <w:tr>
        <w:trPr>
          <w:trHeight w:val="216"/>
        </w:trPr>
        <w:tc>
          <w:tcPr>
            <w:tcW w:w="5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repurchase of convertible debt</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(1,573)</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related payments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78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80" w:type="dxa"/>
            <w:vAlign w:val="bottom"/>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(2,488)</w:t>
            </w:r>
          </w:p>
        </w:tc>
      </w:tr>
      <w:tr>
        <w:trPr>
          <w:trHeight w:val="20"/>
        </w:trPr>
        <w:tc>
          <w:tcPr>
            <w:tcW w:w="5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Overall Economic Trends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Growth and Retention of Customers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i w:val="1"/>
          <w:iCs w:val="1"/>
          <w:color w:val="auto"/>
        </w:rPr>
        <w:t>Regulation and Maturation of Cannabis Markets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customers and to our ability to attract new customers.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subscriptions for credits (up to the pre-contracted amount) and optional purchases of additional credits.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consists primarily of amounts payable to distributors of messages on behalf of the Company’s customers across cellular networks and integrations.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Servicing and Marketing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Software Development Expenses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Technology and software development costs consist of salaries and benefits for employees, including engineering and technical teams who are responsible for building new products, as well as maintaining and improving existing products. We evaluate whether to capitalize certain costs associated with technology and software development in accordance with ASC 350-40, </w:t>
      </w:r>
      <w:r>
        <w:rPr>
          <w:rFonts w:ascii="Times New Roman" w:cs="Times New Roman" w:eastAsia="Times New Roman" w:hAnsi="Times New Roman"/>
          <w:sz w:val="18"/>
          <w:szCs w:val="18"/>
          <w:i w:val="1"/>
          <w:iCs w:val="1"/>
          <w:color w:val="auto"/>
        </w:rPr>
        <w:t>Intangibles – Goodwill and Other – Internal Use Software</w:t>
      </w:r>
      <w:r>
        <w:rPr>
          <w:rFonts w:ascii="Times New Roman" w:cs="Times New Roman" w:eastAsia="Times New Roman" w:hAnsi="Times New Roman"/>
          <w:sz w:val="18"/>
          <w:szCs w:val="18"/>
          <w:color w:val="auto"/>
        </w:rPr>
        <w:t>, but these are limited in quantum as we are constantly and regularly making enhancements to our technology platform and do not consider them appropriate to be capitalized. To the limited extent any costs are capitalized, the costs are generally amortized over a three-year period commencing on the date that the specific software product is placed in service. We believe that continued investment in our platform is important for our growth.</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2024, compared to Three Months Ended June 30,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61"/>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6,612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1,915</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2,357</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4,754</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7,476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after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9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decreased $0.6 million for the three months ended June 30, 2024, representing a 8% year-on-year reduction compared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Our subscription revenue was $5.5 million for the three months ended June 30, 2024, compared with $5.6 million in the same quarter in 2023, representing 2% year-over-year decline and is impacted by the Company having to cease providing access to our platform to clients who became delinquent in their payments. This is also impacting our net revenue retention which is 86% for the twelve-month period ended June 30, 2024. The excess use revenue also declined, by 37% year-over-year due to the weaker economy in particular impacting the cannabis sector and our clients being budget-conscious in limiting their messaging activity to within the volumes of their subscription. SpringBig has expanded its product offerings during the current year, including the introduction of a paid-for consumer VIP loyalty tier that retail clients can operate in conjunction with their standard loyalty program, and offering clients the ability to incorporate gift cards as a payment option for consumers within their digital rewards wallet. In the three months ended June 30, 2024, we derived revenue of $0.2 million from these new products.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revenue retention rate was 86% for the twelve months ended June 30, 2024, compared with 100% for the twelve months ended June 30, 2023, reflecting the challenging macroeconomic conditions of the cannabis market and the financial stress of some of our retail clients leading to the Company having to suspend or cease some access to our platform.</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decreased by $1.0 million to $4.7 million for the three months ended June 30, 2024, from $5.7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2023, representing a 18% year-on-year reduction. In part this reduction was due to the $0.6 million decline in revenues and additionally our cost of revenue increased by $0.4 million due to higher messaging distribution costs which represent the main expense in our cost of revenue. The gross profit margin reduced from 79% for the three months ended June 30, 2023, to 71% for the three months ended June 30, 2024.</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We have focused on right sizing the operating expenses of the business over the course of the past eighteen months to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path to profitability in the challenging macroeconomic conditions that prevail across the cannabis market, and which impacts revenue in the near-term.</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decreased by $2.7 million, or 36%, for the three months ended June 30, 2024, compared with the same period in 2023.</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servicing and marketing expenses decreased by $1.1 million, or 48%, for the quarter ended June 30, 2024, compared to the same period in 2023, due to lower compensation expense as a result of lower employee headcount.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Technology and software development expenses decreased by $0.8 million, or 38%, for the quarter ended June 30, 2024, compared to the same period in 2023, with the decrease being attributable to lower expenses associated with the use of offshore contract developers and a small reduction in compensation expense.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$0.9 million, or 27%, for the quarter ended June 30, 2024, compared to the same period in 2023, with the decrease being largely attributable to lower costs, including insurance, directors’ fees and legal and accounting advisory fees, due to being quoted for trading on the OTCQX® Best Market rather than listed on the Nasdaq Capital Market.</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$0.5 million for the quarter ended June 30, 2024, compared with $0.3 million for the quarter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with the increase being due to interest payable cash advances used as bridging finance prior to completing the transaction to raise $8.0 million of debt financing. The cash advances are being repaid weekly and expect to be fully repaid by the end of the third quarter of 2024.</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 in fair value of warrants</w:t>
      </w:r>
      <w:r>
        <w:rPr>
          <w:rFonts w:ascii="Times New Roman" w:cs="Times New Roman" w:eastAsia="Times New Roman" w:hAnsi="Times New Roman"/>
          <w:sz w:val="18"/>
          <w:szCs w:val="18"/>
          <w:color w:val="auto"/>
        </w:rPr>
        <w:t>. The liability relating to warrants issued by SpringBig is included on the balance sheet at the fair value prevailing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accounting period and any change in value is reported in the income statement. At June 30, 2024, the market value of the public warrants, which are quoted for trading on the OTC Pink Market, was $0.0034 per warrant compared with $0.0004 at March 31, 2023. The increase in value, which is recognized as an expense in our income statement for the three months ended June 30, 2024, was $48,000.</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60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2024, compared to Six Months Ended June 30, 2023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61"/>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(1,285)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848</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4,126</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6,002</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9,716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15,011</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(5,295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1,573</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(230)</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(4,290)</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4,060</w:t>
            </w:r>
          </w:p>
        </w:tc>
        <w:tc>
          <w:tcPr>
            <w:tcW w:w="220" w:type="dxa"/>
            <w:vAlign w:val="bottom"/>
            <w:vMerge w:val="continue"/>
          </w:tcPr>
          <w:p>
            <w:pPr>
              <w:spacing w:after="0"/>
              <w:rPr>
                <w:sz w:val="17"/>
                <w:szCs w:val="17"/>
                <w:color w:val="auto"/>
              </w:rPr>
            </w:pPr>
          </w:p>
        </w:tc>
        <w:tc>
          <w:tcPr>
            <w:tcW w:w="1320" w:type="dxa"/>
            <w:vAlign w:val="bottom"/>
            <w:gridSpan w:val="3"/>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after taxes</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594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4,060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2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decreased $1.3 million for the six months ended June 30, 2024, representing a 9% year-on-year reduction compared with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Our subscription revenue was $10.9 million for the six months ended June 30, 2024, compared with $11.2 million in the same quarter in 2023, representing 3% year-over-year decline and is impacted by the Company having to cease providing access to our platform to clients who became delinquent in their payments. The excess use revenue also declined, by 32% year-over-year due to the weaker economy in particular impacting the cannabis sector and our clients being budget-conscious in limiting their messaging activity to within the volumes of their subscription.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decreased by $2.1 million to $9.4 million for the six months ended June 30, 2024, from $11.5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2023, representing a 19% year-on-year reduction. In part this reduction was due to the $1.3 million decline in revenues and additionally our cost of revenue increased by $0.8 million due to higher messaging distribution costs which represent the main expense in our cost of revenue. The gross profit margin reduced from 80% for the six months ended June 30, 2023, to 72% for the six months ended June 30, 2024.</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Our operating expenses decreased by $5.3 million, or 35%, for the six months ended June 30, 2024, compared with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servicing and marketing expenses decreased by $2.0 million, or 43%, for the six months ended June 30, 2024, compared to the same period in 2023, due to lower compensation expense as a result of lower employee headcount.</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Technology and software development expenses decreased by $1.4 million, or 32%, for the six months ended June 30, 2024, compared to the same period in 2023, with the decrease being attributable to lower expenses associated with the use of offshore contract developers and a small reduction in compensation expense.</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$1.9 million, or 31%, for the six months ended June 30, 2024, compared to the same period in 2023, with the decrease being largely attributable to lower costs, including insurance, directors’ fees and legal and accounting advisory fees, due to being quoted for trading on the OTCQX® Best Market rather than listed on the Nasdaq Capital Market.</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$1.4 million for the six months ended June 30, 2024, compared with $0.7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2023, with the increase being due to interest payable cash advances used as bridging finance prior to completing the transaction to raise $8.0 million of debt financing.</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Gain on note repurchase</w:t>
      </w:r>
      <w:r>
        <w:rPr>
          <w:rFonts w:ascii="Times New Roman" w:cs="Times New Roman" w:eastAsia="Times New Roman" w:hAnsi="Times New Roman"/>
          <w:sz w:val="18"/>
          <w:szCs w:val="18"/>
          <w:color w:val="auto"/>
        </w:rPr>
        <w:t>. The gain on the repurchase of the 6% Senior Secured Note is the difference between the cash paid to repurchase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of $2.9 million and the outstanding principal and accrued interest of $5.2 million, less unamortized discounts and warrant value of $0.7 million.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 in fair value of warrants</w:t>
      </w:r>
      <w:r>
        <w:rPr>
          <w:rFonts w:ascii="Times New Roman" w:cs="Times New Roman" w:eastAsia="Times New Roman" w:hAnsi="Times New Roman"/>
          <w:sz w:val="18"/>
          <w:szCs w:val="18"/>
          <w:color w:val="auto"/>
        </w:rPr>
        <w:t>. The liability relating to warrants issued by SpringBig is included on the balance sheet at the fair value prevailing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accounting period and any change in value is reported in the income statement. At June 30, 2024, the market value of the public warrants, which are quoted for trading on the OTC Pink Market, was $0.0034 per warrant compared with $0.0002 at December 31, 2023. The increase in value, which is recognized as an expense in our income statement for the six months ended June 30, 2024, was $51,200.</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because of the business combination, a public equity offering in May 2023, short-term cash advances as described below, and the issuance of $8.0 million Term Notes and Convertible Notes in January 2024. Our primary uses of cash in the short-term are to fund our operations as we continue to grow our business.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31, 2023, SpringBig raised gross cash proceeds of approximately $3.0 million through a public equity offering and in addition $1.25 million of the outstanding principal of the 6% Senior Secured Convertible Note was converted into common shares. In aggregate, 14.0 million common shares were issued, of which, approximately 1.0 million related to conversion of a portion of the 6% Senior Secured Convertible Note to common shares on June 15, 2023. The cash proceeds from the public equity offering, after payment of transaction related fees, were $2.5 million and these funds were in part used to make further repayments of principal of the 6% Senior Secured Convertible Note and in part for general corporate purposes.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25, 2023, the Company entered into an agreement (the “Cash Advance”) with Cedar Advance LLC (“Cedar”) to sell future receivables to Cedar in exchange for an advance of $1.0 million. On November 22, 2023, the Company extended the Cash Advance, receiving a further advance of $0.3 million. As of December 31, 2023, and June 30, 2024, the total outstanding amount payable to Cedar was $1.1 million and $0.2 million, respectively, payable in weekly installments of $15,000 until September 2024.</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agreement (the “ACF Cash Advance”) with Agile Capital Funding, LLC (“ACF”) to sell future receivables to ACF in exchange for an advance of $750,000. On December 7, 2023, the Company extended the ACF Cash Advance, receiving a further advance of $0.5 million. As of December 31, 2023, and June 30, 2024, the total outstanding amount payable to ACF was $1.7 million and $0.3 million, respectively, payable in weekly installments of $25,000 until September 2024.</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raised $6.4 million through the issuance of 8% Convertible Notes and $1.6 million through the issuance of 12% Term Notes. The net cash proceeds, after transaction expenses, were $7.5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8% Convertible Notes accrue interest which is added to the outstanding principal balance annually. The Notes are convertible into common stock at a conversion price of $0.15 per share at the holder’s option any time up to the day prior to maturity in January 2026. The 12% Term Notes, due in January 2026, accrue interest payable in cash semi-annually. The 8% Convertible Notes and 12% Term Notes rank pari passu and are secured by substantially all the assets of the Company.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16, 2024, we entered into an agreement with the note holder to repurchase the entire outstanding principal of the 6% Senior Secured Notes and cancel the associated warrants. The outstanding principal and accrued interest was $5.2 million. SpringBig, using a portion of the proceeds from the 8% Convertible Notes, purchased the entire outstanding obligation to the note holder for $2.9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accounts receivable, and working capital at June 30, 2024 and December 31,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(9,106)</w:t>
            </w: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the extent existing cash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8% Convertible Notes and 12% Term Notes also contain a number of restrictive covenants that may impose significant restrictions on obtaining future financings, including restrictions on SpringBig’s ability to do any of each following while the 8% Convertible Notes and 12% Term Notes remain outstanding: (i)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issuances under our equity compensation plan); and (vii) adopting certain amendments to our governing documents, among other restrictions. Accordingly, we may be limited in our ability to raise additional capital on acceptable terms or at all within such limitations. Such restrictions may be waived by consent of the noteholders.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June 30, 2024, and continuing at the date this report was issued, the Company cash balance is below $1 million and therefore the Company is in default pursuant to the terms of the 12% Secured Term Notes and 8% Secured Convertible Notes. The Note holders have the right at their option, which they have not exercised at the date this report was issued, to declare the entire principal amounts outstanding to be due and payable on demand at any time until the default is cured at such time as the Company cash balance is in excess of $1 million. At any time that the Company is in default an incremental amount of interest equivalent to 8% per annum is payable on the 12% Secured Term Notes and 8% Secured Convertible Notes.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on its ability to meet its liquidity needs through a combination of factors, including, but not limited to, cash and cash equivalents, increases in revenue and reductions in operating expenses and strategic capital raises. The ultimate success of these plans is not guaranteed.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management projections, we concluded that the Company reasonably expects to be in compliance with the $1 million minimum cash requirement pursuant to terms of the 12% Secured Term Notes and 8% Secured Convertible Notes in the future and to be able to cure the default. However, given that until the default is cured, the Note holders have the right to declare the entire principal amounts outstanding to be due and payable, we concluded that until such time there was substantial doubt about our ability to continue to operate as a going concern for the 12 months following the issuance of the accompanying condensed consolidated financial statements.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six months ended June 30, 2024, and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(used in) provided by: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2024, the net loss was $0.2 million, and the cash used in operating activities was $1.9 million. The difference of $1.7 million is due to the $1.6 million gain on the repurchase of the 6% Secured Convertible Note in January 2024, the cash benefit of which is reflected in financing activities, and a $1.6 million increase in working capital (primarily due to reduced payables) being partially offset by $1.5 million of non-cash items (including depreciation, amortization, stock-based compensation and change in the fair value of warrants).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six months ended June 30, 2023, the net loss was $4.3 million, and cash used in operations was $2.6 million. The cash used by operations benefiting from the receipt of $1.4 million relating to refundable employee retention payroll tax credits under the Coronavirus Aid, Relief and Economic Security Act (CARES Act) and $1.6 million of non-cash items offset by a $1.3 million reduction in working capital (primarily due to an increase in receivables). Due to the complex nature of the employee retention credit computations, we have deferred any benefit related to these credits until we have reasonable certainty, including, but not limited to, the completion of any potential audit or examination or the expiration of the related statute of limitations.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488"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SpringBig has low capital investment requirements, with our needs being comprised primarily of computer equipment and office furniture and related items. Cash used in investing activities was $63,000 for the six months ended June 30, 2024, and $90,000 for the six months ended June 30,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net cash provided by financing activities was $2.4 million. The proceeds of $7.2 million, net of expenses, from the issuance of the $1.6 million aggregate principal amount of 12% Secured Term Notes, due 2026, and $6.4 million aggregate principal amount of 8% Secured Convertible Notes, due 2026, were in part used to repay the 6% Senior Secured Convertible and associated warrants for cash consideration of $2.9 million. The short-term cash advances were repaid by $1.4 million, and we repaid a related party loan of $0.5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the net cash used by financing activities of $0.2 million comprised $2.9 million repayment of the 6% Senior Secured Convertible Note offset by proceeds, net of expenses, of $2.5 million from issuance of common stock in May 2023 and proceeds of $0.3 million from the exercise of employee stock options during the period.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June 30, 2024,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(including issuance of common stock for services rendered), and allowance for credit losses have the greatest potential impact on our condensed consolidated financial statements. Therefore, we consider the policies related to these financial areas to be our critical accounting policies.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w:t>
      </w:r>
      <w:r>
        <w:rPr>
          <w:rFonts w:ascii="Times New Roman" w:cs="Times New Roman" w:eastAsia="Times New Roman" w:hAnsi="Times New Roman"/>
          <w:sz w:val="18"/>
          <w:szCs w:val="18"/>
          <w:i w:val="1"/>
          <w:iCs w:val="1"/>
          <w:color w:val="auto"/>
        </w:rPr>
        <w:t>ASU 2016-17,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guidance requires that all deferred tax assets and liabilities, along with any related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be classified as noncurrent on the balance sheet. As a result, each jurisdiction will only have one net noncurrent deferred tax asset or liability.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June 30, 2024, and December 31, 2023, there are no uncertain tax positions taken, or expected to be taken, that would require recognition of a liability or disclosure in the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ASC 718, Compensation - Stock Compensation, </w:t>
      </w:r>
      <w:r>
        <w:rPr>
          <w:rFonts w:ascii="Times New Roman" w:cs="Times New Roman" w:eastAsia="Times New Roman" w:hAnsi="Times New Roman"/>
          <w:sz w:val="18"/>
          <w:szCs w:val="18"/>
          <w:color w:val="auto"/>
        </w:rPr>
        <w:t>addresses accounting for share-based awards, including stock options, restricted stock,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condensed consolidated statements of operations.</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reserve methodology used to determine the appropriate level of the allowance for credit losses (“ACL”) is a critical accounting estimate. The ACL is maintained at a level believed to be appropriate to provide for the current credit losses expected to be incurred with respect to accounts receivable balances at the balance sheet date, including balances associated with known or anticipated problem customers.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receivables are charged off to the extent they are deemed to be uncollectible. Net charge-offs are included in historical data utilized for calculating the ACL. Management maintains a framework of controls over the estimation process for the ACL, including review of historical data and facts and circumstances related to specific customers, for compliance with GAAP. Management has a quarterly process to review the appropriateness of historical observation periods and loss assumptions. Management also maintains controls over the information systems, models and spreadsheets used in the quantitative components of the reserve estimate. This includes the quality and accuracy of historical data used to derive loss rates, the probability of default, loss given default, and the inputs to industry and macroeconomic forecasts.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ASU primarily will require enhanced disclosures about significant segment expenses. Additionally, it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The Company is currently evaluating the impact this ASU will have on its consolidated financial statements and disclosures.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under the Exchange Act, such as this Quarterly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Chief Executive Officer (our principal executive officer) and Chief Financial Officer (our principal financial and accounting officer) evaluated the effectiveness of our “disclosure controls and procedures” (as defined in the Exchange Act Rules 13a-15(e) and 15d-15(e)) as of June 30, 2024, the end of the period covered by this report. Based on that evaluation, our Chief Executive Officer and Chief Financial Officer concluded that our disclosure controls and procedures were not effective as of such date. See the Company’s Annual Report on Form 10-K for the fiscal year ended December 31, 2023, for a description of the Company’s material weaknesses in internal control over financial reporting.</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six months ended June 30, 2024, that has materially affected, or is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developments to legal proceedings during the nine months ended June 30, 2024, see “Litigation” under Note 16, “Commitments and Contingencies” to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involves a high degree of risk. You should carefully consider the risks described under the caption “Risk Factors” in Part I, Item 1A of our Annual Report on Form 10-K for the year ended December 31, 2023, as well as the risks, uncertainties and other information set forth in this Item 1A and in the reports and other materials filed or furnished by us with the SEC when making investment decisions regarding our securities. We cannot assure you that any of the events discussed therein will not occur. These risks could have a material and adverse impact on our business, prospects, results of operations, financial condition, and cash flows.</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working capital deficiency and a history of losses, may need to raise additional funds to meet our obligations and sustain our operations and may not achieve profitability in the future. There is substantial doubt as to our ability to continue as a going concern.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SpringBig is an early-stage company with a history of losses. We incurred a net loss of $0.2 million for the six months ended June 30, 2024, as well as net losses of $10.2 million and $13.1 million for the years ended December 31, 2023, and December 31, 2022, respectively. In addition, as of June 30, 2024, and December 31, 2023, we had working capital deficiencies of $8.9 million and $9.1 million, respectively, and we may need to raise additional funds to meet our obligations and sustain our operations. Based on the factors described under “Management’s Discussion and Analysis of Financial Condition and Results of Operations – Liquidity &amp; Capital Resources,” as of June 30, 2024, we concluded that there was substantial doubt about our ability to continue to operate as a going concern for the 12 months following the issuance of the financial statements in this Quarterly Report on Form 10-Q. SpringBig may note achieve or maintain profitability in the future. We may continue to incur net losses in the future, and such losses may fluctuate significantly from quarter to quarter. We will need to generate and sustain higher revenue for our business generally and achieve greater scale and generate greater operating cash flows in future periods in order to achieve and maintain profitability.</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efforts to grow our business may be more costly than we expect, and we may not be able to increase our revenue sufficiently to offset our operating expenses. We may continue to incur significant losses, and we may not achieve or maintain future profitability, due to a number of reasons, including the risks described in this report, unforeseen expense, difficulties, complications and delays, and other unknown events. Furthermore, if our future growth and operating performance fail to meet investor or analyst expectations, or if we have future negative cash flow or losses resulting from our investment in acquiring customers or expanding our operations, this could make it difficult for you to evaluate our current business and our future prospects and may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“Going Concern and Liquidity” under Note 2, “Summary of Significant Accounting Policies” to our condensed consolidated financial statements with respect to our 12% Secured Term Notes and 8% Secured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no director or officer of the Company adopted or terminated a “Rule 10b5-1 trading arrangement” or “non-Rule 10b5-1 trading arrangement,” as each term is defined in Item 408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55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900" w:type="dxa"/>
            <w:vAlign w:val="bottom"/>
            <w:gridSpan w:val="16"/>
          </w:tcPr>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Filed/Furnished</w:t>
            </w:r>
          </w:p>
        </w:tc>
        <w:tc>
          <w:tcPr>
            <w:tcW w:w="1000" w:type="dxa"/>
            <w:vAlign w:val="bottom"/>
          </w:tcPr>
          <w:p>
            <w:pPr>
              <w:spacing w:after="0"/>
              <w:rPr>
                <w:sz w:val="24"/>
                <w:szCs w:val="24"/>
                <w:color w:val="auto"/>
              </w:rPr>
            </w:pP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7"/>
          </w:tcPr>
          <w:p>
            <w:pPr>
              <w:ind w:left="14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SEC File #</w:t>
            </w:r>
          </w:p>
        </w:tc>
      </w:tr>
      <w:tr>
        <w:trPr>
          <w:trHeight w:val="175"/>
        </w:trPr>
        <w:tc>
          <w:tcPr>
            <w:tcW w:w="10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360" w:type="dxa"/>
            <w:vAlign w:val="bottom"/>
            <w:tcBorders>
              <w:top w:val="single" w:sz="8" w:color="auto"/>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Incorporation of SpringBig Holdings, Inc.</w:t>
              </w:r>
            </w:hyperlink>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3.1</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01,</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10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70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1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5"/>
                <w:szCs w:val="15"/>
                <w:color w:val="auto"/>
              </w:rPr>
            </w:pPr>
          </w:p>
        </w:tc>
        <w:tc>
          <w:tcPr>
            <w:tcW w:w="4480" w:type="dxa"/>
            <w:vAlign w:val="bottom"/>
            <w:gridSpan w:val="8"/>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By-Laws of SpringBig Holdings, Inc.</w:t>
              </w:r>
            </w:hyperlink>
          </w:p>
        </w:tc>
        <w:tc>
          <w:tcPr>
            <w:tcW w:w="11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3.2</w:t>
            </w:r>
          </w:p>
        </w:tc>
        <w:tc>
          <w:tcPr>
            <w:tcW w:w="100" w:type="dxa"/>
            <w:vAlign w:val="bottom"/>
          </w:tcPr>
          <w:p>
            <w:pPr>
              <w:spacing w:after="0"/>
              <w:rPr>
                <w:sz w:val="15"/>
                <w:szCs w:val="15"/>
                <w:color w:val="auto"/>
              </w:rPr>
            </w:pPr>
          </w:p>
        </w:tc>
        <w:tc>
          <w:tcPr>
            <w:tcW w:w="11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01,</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75"/>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tcBorders>
              <w:bottom w:val="single" w:sz="8" w:color="CCEEFF"/>
            </w:tcBorders>
            <w:shd w:val="clear" w:color="auto" w:fill="CCEEFF"/>
          </w:tcPr>
          <w:p>
            <w:pPr>
              <w:spacing w:after="0"/>
              <w:rPr>
                <w:sz w:val="15"/>
                <w:szCs w:val="15"/>
                <w:color w:val="auto"/>
              </w:rPr>
            </w:pPr>
          </w:p>
        </w:tc>
        <w:tc>
          <w:tcPr>
            <w:tcW w:w="43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w:t>
            </w:r>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6"/>
        </w:trPr>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8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Pr>
          <w:p>
            <w:pPr>
              <w:spacing w:after="0"/>
              <w:rPr>
                <w:sz w:val="15"/>
                <w:szCs w:val="15"/>
                <w:color w:val="auto"/>
              </w:rPr>
            </w:pPr>
          </w:p>
        </w:tc>
        <w:tc>
          <w:tcPr>
            <w:tcW w:w="44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22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tcBorders>
              <w:bottom w:val="single" w:sz="8" w:color="CCEEFF"/>
            </w:tcBorders>
            <w:shd w:val="clear" w:color="auto" w:fill="CCEEFF"/>
          </w:tcPr>
          <w:p>
            <w:pPr>
              <w:spacing w:after="0"/>
              <w:rPr>
                <w:sz w:val="15"/>
                <w:szCs w:val="15"/>
                <w:color w:val="auto"/>
              </w:rPr>
            </w:pPr>
          </w:p>
        </w:tc>
        <w:tc>
          <w:tcPr>
            <w:tcW w:w="43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w:t>
            </w:r>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6"/>
        </w:trPr>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8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32.2</w:t>
            </w:r>
          </w:p>
        </w:tc>
        <w:tc>
          <w:tcPr>
            <w:tcW w:w="100" w:type="dxa"/>
            <w:vAlign w:val="bottom"/>
          </w:tcPr>
          <w:p>
            <w:pPr>
              <w:spacing w:after="0"/>
              <w:rPr>
                <w:sz w:val="15"/>
                <w:szCs w:val="15"/>
                <w:color w:val="auto"/>
              </w:rPr>
            </w:pPr>
          </w:p>
        </w:tc>
        <w:tc>
          <w:tcPr>
            <w:tcW w:w="44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22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shd w:val="clear" w:color="auto" w:fill="CCEEFF"/>
          </w:tcPr>
          <w:p>
            <w:pPr>
              <w:spacing w:after="0"/>
              <w:rPr>
                <w:sz w:val="18"/>
                <w:szCs w:val="18"/>
                <w:color w:val="auto"/>
              </w:rPr>
            </w:pPr>
          </w:p>
        </w:tc>
        <w:tc>
          <w:tcPr>
            <w:tcW w:w="44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100" w:type="dxa"/>
            <w:vAlign w:val="bottom"/>
            <w:shd w:val="clear" w:color="auto" w:fill="CCEEFF"/>
          </w:tcPr>
          <w:p>
            <w:pPr>
              <w:spacing w:after="0"/>
              <w:rPr>
                <w:sz w:val="17"/>
                <w:szCs w:val="17"/>
                <w:color w:val="auto"/>
              </w:rPr>
            </w:pPr>
          </w:p>
        </w:tc>
        <w:tc>
          <w:tcPr>
            <w:tcW w:w="448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8"/>
                <w:szCs w:val="18"/>
                <w:color w:val="auto"/>
              </w:rPr>
            </w:pP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shd w:val="clear" w:color="auto" w:fill="CCEEFF"/>
          </w:tcPr>
          <w:p>
            <w:pPr>
              <w:spacing w:after="0"/>
              <w:rPr>
                <w:sz w:val="18"/>
                <w:szCs w:val="18"/>
                <w:color w:val="auto"/>
              </w:rPr>
            </w:pPr>
          </w:p>
        </w:tc>
        <w:tc>
          <w:tcPr>
            <w:tcW w:w="44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8"/>
        </w:trPr>
        <w:tc>
          <w:tcPr>
            <w:tcW w:w="1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7"/>
                <w:szCs w:val="17"/>
                <w:color w:val="auto"/>
              </w:rPr>
            </w:pPr>
          </w:p>
        </w:tc>
        <w:tc>
          <w:tcPr>
            <w:tcW w:w="448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7"/>
                <w:szCs w:val="17"/>
                <w:color w:val="auto"/>
              </w:rPr>
            </w:pPr>
          </w:p>
        </w:tc>
        <w:tc>
          <w:tcPr>
            <w:tcW w:w="448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Jeffrey Harris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13, 2024</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Paul Sykes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13,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Harris,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June 30, 2024, of SpringBig Holdings,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Harris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Sykes,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June 30, 2024, of SpringBig Holdings,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Sykes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18 U. S. C. Section 1350,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Jeffrey Harris, hereby certify that, to the best of my knowledge, SpringBig Holdings, Inc’s Quarterly Report on Form 10-Q for the three months ended June 30, 2024 (the Report), as filed with the Securities and Exchange Commission on August 13, 2024,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Harris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Jeffrey Harris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August 13, 2024</w:t>
            </w:r>
          </w:p>
        </w:tc>
      </w:tr>
    </w:tbl>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18 U. S. C. Section 1350,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Jeffrey Harris, hereby certify that, to the best of my knowledge, SpringBig Holdings, Inc’s Quarterly Report on Form 10-Q for the three months ended June 30, 2024 (the Report), as filed with the Securities and Exchange Commission on August 13, 2024,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Paul Sykes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13,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59" Type="http://schemas.openxmlformats.org/officeDocument/2006/relationships/hyperlink" Target="http://www.sec.gov/Archives/edgar/data/1801602/000162828024013998/exhibit31certificateofinco.htm" TargetMode="External"/><Relationship Id="rId60" Type="http://schemas.openxmlformats.org/officeDocument/2006/relationships/hyperlink" Target="http://www.sec.gov/Archives/edgar/data/1801602/000162828024013998/exhibit32bylaw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2024-08-13T16:24:59Z</dcterms:created>
  <dcterms:modified xsi:type="dcterms:W3CDTF">2024-08-13T16:24:59Z</dcterms:modified>
</cp:coreProperties>
</file>