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696595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80010</wp:posOffset>
            </wp:positionV>
            <wp:extent cx="208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2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86360</wp:posOffset>
            </wp:positionV>
            <wp:extent cx="208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63" w:lineRule="exact"/>
        <w:rPr>
          <w:sz w:val="24"/>
          <w:szCs w:val="24"/>
          <w:color w:val="auto"/>
        </w:rPr>
      </w:pPr>
    </w:p>
    <w:p>
      <w:pPr>
        <w:ind w:left="580" w:hanging="378"/>
        <w:spacing w:after="0"/>
        <w:tabs>
          <w:tab w:leader="none" w:pos="5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w:t>
      </w:r>
    </w:p>
    <w:p>
      <w:pPr>
        <w:ind w:left="620" w:hanging="418"/>
        <w:spacing w:after="0" w:line="236" w:lineRule="auto"/>
        <w:tabs>
          <w:tab w:leader="none" w:pos="620" w:val="left"/>
        </w:tabs>
        <w:numPr>
          <w:ilvl w:val="0"/>
          <w:numId w:val="2"/>
        </w:numPr>
        <w:rPr>
          <w:rFonts w:ascii="MS PGothic" w:cs="MS PGothic" w:eastAsia="MS PGothic" w:hAnsi="MS PGothic"/>
          <w:sz w:val="35"/>
          <w:szCs w:val="35"/>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7" w:lineRule="exact"/>
        <w:rPr>
          <w:sz w:val="24"/>
          <w:szCs w:val="24"/>
          <w:color w:val="auto"/>
        </w:rPr>
      </w:pPr>
    </w:p>
    <w:p>
      <w:pPr>
        <w:jc w:val="center"/>
        <w:ind w:right="-219"/>
        <w:spacing w:after="0"/>
        <w:tabs>
          <w:tab w:leader="none" w:pos="140" w:val="left"/>
        </w:tabs>
        <w:rPr>
          <w:sz w:val="20"/>
          <w:szCs w:val="20"/>
          <w:color w:val="auto"/>
        </w:rPr>
      </w:pPr>
      <w:r>
        <w:rPr>
          <w:rFonts w:ascii="Times New Roman" w:cs="Times New Roman" w:eastAsia="Times New Roman" w:hAnsi="Times New Roman"/>
          <w:sz w:val="17"/>
          <w:szCs w:val="17"/>
          <w:b w:val="1"/>
          <w:bCs w:val="1"/>
          <w:color w:val="auto"/>
        </w:rPr>
        <w:t>For the transition period from</w:t>
        <w:tab/>
        <w:t>to</w:t>
      </w:r>
    </w:p>
    <w:p>
      <w:pPr>
        <w:spacing w:after="0" w:line="28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230505</wp:posOffset>
            </wp:positionV>
            <wp:extent cx="4255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5"/>
          <w:szCs w:val="35"/>
          <w:b w:val="1"/>
          <w:bCs w:val="1"/>
          <w:color w:val="auto"/>
        </w:rPr>
        <w:t>SPRINGBIG HOLDINGS, INC.</w:t>
      </w:r>
    </w:p>
    <w:p>
      <w:pPr>
        <w:spacing w:after="0" w:line="15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(Exact name of registrant as specified in its charter)</w:t>
      </w:r>
    </w:p>
    <w:p>
      <w:pPr>
        <w:spacing w:after="0" w:line="198"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310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17"/>
                <w:szCs w:val="17"/>
                <w:b w:val="1"/>
                <w:bCs w:val="1"/>
                <w:color w:val="auto"/>
              </w:rPr>
              <w:t>88-2789488</w:t>
            </w:r>
          </w:p>
        </w:tc>
      </w:tr>
      <w:tr>
        <w:trPr>
          <w:trHeight w:val="221"/>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552"/>
        </w:trPr>
        <w:tc>
          <w:tcPr>
            <w:tcW w:w="310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621 NW 53rd Street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3"/>
        </w:trPr>
        <w:tc>
          <w:tcPr>
            <w:tcW w:w="310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Ste. 500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25"/>
        </w:trPr>
        <w:tc>
          <w:tcPr>
            <w:tcW w:w="310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rPr>
              <w:t>Boca Raton,</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3420" w:type="dxa"/>
            <w:vAlign w:val="bottom"/>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33487</w:t>
            </w:r>
          </w:p>
        </w:tc>
      </w:tr>
      <w:tr>
        <w:trPr>
          <w:trHeight w:val="228"/>
        </w:trPr>
        <w:tc>
          <w:tcPr>
            <w:tcW w:w="3980" w:type="dxa"/>
            <w:vAlign w:val="bottom"/>
            <w:gridSpan w:val="4"/>
          </w:tcPr>
          <w:p>
            <w:pPr>
              <w:jc w:val="center"/>
              <w:ind w:left="51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420" w:type="dxa"/>
            <w:vAlign w:val="bottom"/>
          </w:tcPr>
          <w:p>
            <w:pPr>
              <w:jc w:val="center"/>
              <w:ind w:left="87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3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Registrant’s telephone number, including area code (800) 772-9172</w:t>
      </w:r>
    </w:p>
    <w:p>
      <w:pPr>
        <w:spacing w:after="0" w:line="26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 Common stock, $0.0001 par value</w:t>
      </w:r>
    </w:p>
    <w:p>
      <w:pPr>
        <w:spacing w:after="0" w:line="157" w:lineRule="exact"/>
        <w:rPr>
          <w:sz w:val="24"/>
          <w:szCs w:val="24"/>
          <w:color w:val="auto"/>
        </w:rPr>
      </w:pPr>
    </w:p>
    <w:p>
      <w:pPr>
        <w:ind w:left="1720"/>
        <w:spacing w:after="0"/>
        <w:tabs>
          <w:tab w:leader="none" w:pos="5180" w:val="left"/>
          <w:tab w:leader="none" w:pos="748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27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pacing w:after="0" w:line="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None</w:t>
      </w:r>
    </w:p>
    <w:p>
      <w:pPr>
        <w:spacing w:after="0" w:line="1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2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None</w:t>
      </w:r>
    </w:p>
    <w:p>
      <w:pPr>
        <w:spacing w:after="0" w:line="1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4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ind w:right="10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246" w:lineRule="exact"/>
        <w:rPr>
          <w:sz w:val="20"/>
          <w:szCs w:val="20"/>
          <w:color w:val="auto"/>
        </w:rPr>
      </w:pPr>
    </w:p>
    <w:p>
      <w:pPr>
        <w:spacing w:after="0" w:line="3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1" w:lineRule="exact"/>
        <w:rPr>
          <w:sz w:val="20"/>
          <w:szCs w:val="20"/>
          <w:color w:val="auto"/>
        </w:rPr>
      </w:pPr>
    </w:p>
    <w:tbl>
      <w:tblPr>
        <w:tblLayout w:type="fixed"/>
        <w:tblInd w:w="2180" w:type="dxa"/>
        <w:tblCellMar>
          <w:top w:w="0" w:type="dxa"/>
          <w:left w:w="0" w:type="dxa"/>
          <w:bottom w:w="0" w:type="dxa"/>
          <w:right w:w="0" w:type="dxa"/>
        </w:tblCellMar>
      </w:tblP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60" w:type="dxa"/>
            <w:vAlign w:val="bottom"/>
          </w:tcPr>
          <w:p>
            <w:pPr>
              <w:spacing w:after="0"/>
              <w:rPr>
                <w:sz w:val="17"/>
                <w:szCs w:val="17"/>
                <w:color w:val="auto"/>
              </w:rPr>
            </w:pP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spacing w:after="0"/>
              <w:rPr>
                <w:sz w:val="17"/>
                <w:szCs w:val="17"/>
                <w:color w:val="auto"/>
              </w:rPr>
            </w:pPr>
          </w:p>
        </w:tc>
      </w:tr>
      <w:tr>
        <w:trPr>
          <w:trHeight w:val="27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62"/>
        </w:trPr>
        <w:tc>
          <w:tcPr>
            <w:tcW w:w="1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320" w:lineRule="exact"/>
        <w:rPr>
          <w:sz w:val="20"/>
          <w:szCs w:val="20"/>
          <w:color w:val="auto"/>
        </w:rPr>
      </w:pPr>
    </w:p>
    <w:p>
      <w:pPr>
        <w:ind w:right="320"/>
        <w:spacing w:after="0" w:line="32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3" w:lineRule="exact"/>
        <w:rPr>
          <w:sz w:val="20"/>
          <w:szCs w:val="20"/>
          <w:color w:val="auto"/>
        </w:rPr>
      </w:pPr>
    </w:p>
    <w:p>
      <w:pPr>
        <w:jc w:val="both"/>
        <w:ind w:right="24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202" w:lineRule="exact"/>
        <w:rPr>
          <w:sz w:val="20"/>
          <w:szCs w:val="20"/>
          <w:color w:val="auto"/>
        </w:rPr>
      </w:pPr>
    </w:p>
    <w:p>
      <w:pPr>
        <w:ind w:right="27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0" w:lineRule="exact"/>
        <w:rPr>
          <w:sz w:val="20"/>
          <w:szCs w:val="20"/>
          <w:color w:val="auto"/>
        </w:rPr>
      </w:pPr>
    </w:p>
    <w:p>
      <w:pPr>
        <w:ind w:right="2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3" w:lineRule="exact"/>
        <w:rPr>
          <w:sz w:val="20"/>
          <w:szCs w:val="20"/>
          <w:color w:val="auto"/>
        </w:rPr>
      </w:pPr>
    </w:p>
    <w:p>
      <w:pPr>
        <w:spacing w:after="0"/>
        <w:tabs>
          <w:tab w:leader="none" w:pos="5920" w:val="left"/>
          <w:tab w:leader="none" w:pos="6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Yes</w:t>
        <w:tab/>
        <w:t>No</w:t>
      </w:r>
    </w:p>
    <w:p>
      <w:pPr>
        <w:spacing w:after="0" w:line="324" w:lineRule="exact"/>
        <w:rPr>
          <w:sz w:val="20"/>
          <w:szCs w:val="20"/>
          <w:color w:val="auto"/>
        </w:rPr>
      </w:pPr>
    </w:p>
    <w:p>
      <w:pPr>
        <w:ind w:right="2520"/>
        <w:spacing w:after="0" w:line="28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Exchange on June 30, 2023, was $18.2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27, 2024, there were 45,594,864 shares of common stock, $0.0001 par value issued and outstanding.</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DOCUMENTS INCORPORATED BY REFERENCE</w:t>
      </w:r>
    </w:p>
    <w:p>
      <w:pPr>
        <w:spacing w:after="0" w:line="248" w:lineRule="exact"/>
        <w:rPr>
          <w:sz w:val="20"/>
          <w:szCs w:val="20"/>
          <w:color w:val="auto"/>
        </w:rPr>
      </w:pPr>
    </w:p>
    <w:p>
      <w:pPr>
        <w:ind w:right="2640"/>
        <w:spacing w:after="0" w:line="260" w:lineRule="auto"/>
        <w:rPr>
          <w:sz w:val="20"/>
          <w:szCs w:val="20"/>
          <w:color w:val="auto"/>
        </w:rPr>
      </w:pPr>
      <w:r>
        <w:rPr>
          <w:rFonts w:ascii="Times New Roman" w:cs="Times New Roman" w:eastAsia="Times New Roman" w:hAnsi="Times New Roman"/>
          <w:sz w:val="14"/>
          <w:szCs w:val="14"/>
          <w:color w:val="auto"/>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gridSpan w:val="8"/>
          </w:tcPr>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SPRINGBIG HOLDINGS, INC.</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20" w:type="dxa"/>
            <w:vAlign w:val="bottom"/>
            <w:gridSpan w:val="7"/>
          </w:tcPr>
          <w:p>
            <w:pPr>
              <w:jc w:val="center"/>
              <w:ind w:right="28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center"/>
              <w:ind w:left="110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0"/>
        </w:trPr>
        <w:tc>
          <w:tcPr>
            <w:tcW w:w="20" w:type="dxa"/>
            <w:vAlign w:val="bottom"/>
          </w:tcPr>
          <w:p>
            <w:pPr>
              <w:spacing w:after="0"/>
              <w:rPr>
                <w:sz w:val="14"/>
                <w:szCs w:val="14"/>
                <w:color w:val="auto"/>
              </w:rPr>
            </w:pPr>
          </w:p>
        </w:tc>
        <w:tc>
          <w:tcPr>
            <w:tcW w:w="1480" w:type="dxa"/>
            <w:vAlign w:val="bottom"/>
            <w:gridSpan w:val="7"/>
          </w:tcPr>
          <w:p>
            <w:pPr>
              <w:spacing w:after="0" w:line="171" w:lineRule="exact"/>
              <w:rPr>
                <w:sz w:val="20"/>
                <w:szCs w:val="20"/>
                <w:color w:val="auto"/>
              </w:rPr>
            </w:pPr>
            <w:r>
              <w:rPr>
                <w:rFonts w:ascii="Times New Roman" w:cs="Times New Roman" w:eastAsia="Times New Roman" w:hAnsi="Times New Roman"/>
                <w:sz w:val="16"/>
                <w:szCs w:val="16"/>
                <w:color w:val="0000FF"/>
                <w:w w:val="96"/>
              </w:rPr>
              <w:t>Frequently Used Terms</w:t>
            </w:r>
          </w:p>
        </w:tc>
        <w:tc>
          <w:tcPr>
            <w:tcW w:w="7940" w:type="dxa"/>
            <w:vAlign w:val="bottom"/>
            <w:gridSpan w:val="19"/>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0000FF"/>
                <w:w w:val="99"/>
              </w:rPr>
              <w:t>4</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9420" w:type="dxa"/>
            <w:vAlign w:val="bottom"/>
            <w:gridSpan w:val="26"/>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Note About Forward-Looking Statements</w:t>
            </w:r>
          </w:p>
        </w:tc>
        <w:tc>
          <w:tcPr>
            <w:tcW w:w="1520" w:type="dxa"/>
            <w:vAlign w:val="bottom"/>
            <w:gridSpan w:val="2"/>
            <w:shd w:val="clear" w:color="auto" w:fill="CCEEFF"/>
          </w:tcPr>
          <w:p>
            <w:pPr>
              <w:jc w:val="center"/>
              <w:ind w:left="1361"/>
              <w:spacing w:after="0" w:line="180" w:lineRule="exact"/>
              <w:rPr>
                <w:sz w:val="20"/>
                <w:szCs w:val="20"/>
                <w:color w:val="auto"/>
              </w:rPr>
            </w:pPr>
            <w:r>
              <w:rPr>
                <w:rFonts w:ascii="Times New Roman" w:cs="Times New Roman" w:eastAsia="Times New Roman" w:hAnsi="Times New Roman"/>
                <w:sz w:val="16"/>
                <w:szCs w:val="16"/>
                <w:color w:val="0000FF"/>
                <w:w w:val="99"/>
              </w:rPr>
              <w:t>5</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56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FF"/>
              </w:rPr>
              <w:t>Risk Factor Summary</w:t>
            </w:r>
          </w:p>
        </w:tc>
        <w:tc>
          <w:tcPr>
            <w:tcW w:w="6860" w:type="dxa"/>
            <w:vAlign w:val="bottom"/>
            <w:gridSpan w:val="12"/>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0000FF"/>
                <w:w w:val="99"/>
              </w:rPr>
              <w:t>6</w:t>
            </w:r>
          </w:p>
        </w:tc>
        <w:tc>
          <w:tcPr>
            <w:tcW w:w="280" w:type="dxa"/>
            <w:vAlign w:val="bottom"/>
          </w:tcPr>
          <w:p>
            <w:pPr>
              <w:spacing w:after="0"/>
              <w:rPr>
                <w:sz w:val="15"/>
                <w:szCs w:val="15"/>
                <w:color w:val="auto"/>
              </w:rPr>
            </w:pPr>
          </w:p>
        </w:tc>
      </w:tr>
      <w:tr>
        <w:trPr>
          <w:trHeight w:val="219"/>
        </w:trPr>
        <w:tc>
          <w:tcPr>
            <w:tcW w:w="20" w:type="dxa"/>
            <w:vAlign w:val="bottom"/>
            <w:shd w:val="clear" w:color="auto" w:fill="CCEEFF"/>
          </w:tcPr>
          <w:p>
            <w:pPr>
              <w:spacing w:after="0"/>
              <w:rPr>
                <w:sz w:val="19"/>
                <w:szCs w:val="19"/>
                <w:color w:val="auto"/>
              </w:rPr>
            </w:pPr>
          </w:p>
        </w:tc>
        <w:tc>
          <w:tcPr>
            <w:tcW w:w="4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left w:val="single" w:sz="8" w:color="CCEE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tcBorders>
              <w:lef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gridSpan w:val="5"/>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w w:val="98"/>
              </w:rPr>
              <w:t>Part I</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1"/>
        </w:trPr>
        <w:tc>
          <w:tcPr>
            <w:tcW w:w="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Item 1.</w:t>
            </w:r>
          </w:p>
        </w:tc>
        <w:tc>
          <w:tcPr>
            <w:tcW w:w="8600" w:type="dxa"/>
            <w:vAlign w:val="bottom"/>
            <w:gridSpan w:val="22"/>
            <w:shd w:val="clear" w:color="auto" w:fill="CCEEFF"/>
          </w:tcPr>
          <w:p>
            <w:pPr>
              <w:ind w:left="160"/>
              <w:spacing w:after="0" w:line="152" w:lineRule="exact"/>
              <w:rPr>
                <w:sz w:val="20"/>
                <w:szCs w:val="20"/>
                <w:color w:val="auto"/>
              </w:rPr>
            </w:pPr>
            <w:r>
              <w:rPr>
                <w:rFonts w:ascii="Times New Roman" w:cs="Times New Roman" w:eastAsia="Times New Roman" w:hAnsi="Times New Roman"/>
                <w:sz w:val="16"/>
                <w:szCs w:val="16"/>
                <w:color w:val="0000FF"/>
              </w:rPr>
              <w:t>Business</w:t>
            </w:r>
          </w:p>
        </w:tc>
        <w:tc>
          <w:tcPr>
            <w:tcW w:w="1520" w:type="dxa"/>
            <w:vAlign w:val="bottom"/>
            <w:gridSpan w:val="2"/>
            <w:shd w:val="clear" w:color="auto" w:fill="CCEEFF"/>
          </w:tcPr>
          <w:p>
            <w:pPr>
              <w:jc w:val="center"/>
              <w:ind w:left="1361"/>
              <w:spacing w:after="0" w:line="152" w:lineRule="exact"/>
              <w:rPr>
                <w:sz w:val="20"/>
                <w:szCs w:val="20"/>
                <w:color w:val="auto"/>
              </w:rPr>
            </w:pPr>
            <w:r>
              <w:rPr>
                <w:rFonts w:ascii="Times New Roman" w:cs="Times New Roman" w:eastAsia="Times New Roman" w:hAnsi="Times New Roman"/>
                <w:sz w:val="16"/>
                <w:szCs w:val="16"/>
                <w:color w:val="0000FF"/>
                <w:w w:val="99"/>
              </w:rPr>
              <w:t>8</w:t>
            </w:r>
          </w:p>
        </w:tc>
        <w:tc>
          <w:tcPr>
            <w:tcW w:w="280" w:type="dxa"/>
            <w:vAlign w:val="bottom"/>
            <w:tcBorders>
              <w:left w:val="single" w:sz="8" w:color="CCEEFF"/>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4"/>
          </w:tcPr>
          <w:p>
            <w:pPr>
              <w:spacing w:after="0" w:line="163" w:lineRule="exact"/>
              <w:rPr>
                <w:sz w:val="20"/>
                <w:szCs w:val="20"/>
                <w:color w:val="auto"/>
              </w:rPr>
            </w:pPr>
            <w:r>
              <w:rPr>
                <w:rFonts w:ascii="Times New Roman" w:cs="Times New Roman" w:eastAsia="Times New Roman" w:hAnsi="Times New Roman"/>
                <w:sz w:val="16"/>
                <w:szCs w:val="16"/>
                <w:color w:val="0000FF"/>
              </w:rPr>
              <w:t>Item 1A.</w:t>
            </w:r>
          </w:p>
        </w:tc>
        <w:tc>
          <w:tcPr>
            <w:tcW w:w="8600" w:type="dxa"/>
            <w:vAlign w:val="bottom"/>
            <w:gridSpan w:val="22"/>
          </w:tcPr>
          <w:p>
            <w:pPr>
              <w:ind w:left="160"/>
              <w:spacing w:after="0" w:line="163" w:lineRule="exact"/>
              <w:rPr>
                <w:sz w:val="20"/>
                <w:szCs w:val="20"/>
                <w:color w:val="auto"/>
              </w:rPr>
            </w:pPr>
            <w:r>
              <w:rPr>
                <w:rFonts w:ascii="Times New Roman" w:cs="Times New Roman" w:eastAsia="Times New Roman" w:hAnsi="Times New Roman"/>
                <w:sz w:val="16"/>
                <w:szCs w:val="16"/>
                <w:color w:val="0000FF"/>
              </w:rPr>
              <w:t>Risk Factors</w:t>
            </w:r>
          </w:p>
        </w:tc>
        <w:tc>
          <w:tcPr>
            <w:tcW w:w="1520" w:type="dxa"/>
            <w:vAlign w:val="bottom"/>
            <w:gridSpan w:val="2"/>
          </w:tcPr>
          <w:p>
            <w:pPr>
              <w:jc w:val="center"/>
              <w:ind w:left="1281"/>
              <w:spacing w:after="0" w:line="163" w:lineRule="exact"/>
              <w:rPr>
                <w:sz w:val="20"/>
                <w:szCs w:val="20"/>
                <w:color w:val="auto"/>
              </w:rPr>
            </w:pPr>
            <w:r>
              <w:rPr>
                <w:rFonts w:ascii="Times New Roman" w:cs="Times New Roman" w:eastAsia="Times New Roman" w:hAnsi="Times New Roman"/>
                <w:sz w:val="16"/>
                <w:szCs w:val="16"/>
                <w:color w:val="0000FF"/>
                <w:w w:val="99"/>
              </w:rPr>
              <w:t>17</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85"/>
              </w:rPr>
              <w:t>Item 1B.</w:t>
            </w:r>
          </w:p>
        </w:tc>
        <w:tc>
          <w:tcPr>
            <w:tcW w:w="30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FF"/>
            </w:tcBorders>
            <w:gridSpan w:val="10"/>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97"/>
              </w:rPr>
              <w:t>Unresolved Staff Comments</w:t>
            </w:r>
          </w:p>
        </w:tc>
        <w:tc>
          <w:tcPr>
            <w:tcW w:w="6640" w:type="dxa"/>
            <w:vAlign w:val="bottom"/>
            <w:tcBorders>
              <w:bottom w:val="single" w:sz="8" w:color="CCEEFF"/>
            </w:tcBorders>
            <w:gridSpan w:val="11"/>
            <w:shd w:val="clear" w:color="auto" w:fill="CCEEFF"/>
          </w:tcPr>
          <w:p>
            <w:pPr>
              <w:spacing w:after="0"/>
              <w:rPr>
                <w:sz w:val="17"/>
                <w:szCs w:val="17"/>
                <w:color w:val="auto"/>
              </w:rPr>
            </w:pPr>
          </w:p>
        </w:tc>
        <w:tc>
          <w:tcPr>
            <w:tcW w:w="14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0000FF"/>
                <w:w w:val="74"/>
              </w:rPr>
              <w:t>42</w:t>
            </w:r>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5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0000FF"/>
                <w:w w:val="85"/>
              </w:rPr>
              <w:t>Item 1C.</w:t>
            </w:r>
          </w:p>
        </w:tc>
        <w:tc>
          <w:tcPr>
            <w:tcW w:w="3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440" w:type="dxa"/>
            <w:vAlign w:val="bottom"/>
            <w:gridSpan w:val="21"/>
          </w:tcPr>
          <w:p>
            <w:pPr>
              <w:spacing w:after="0" w:line="171" w:lineRule="exact"/>
              <w:rPr>
                <w:sz w:val="20"/>
                <w:szCs w:val="20"/>
                <w:color w:val="auto"/>
              </w:rPr>
            </w:pPr>
            <w:r>
              <w:rPr>
                <w:rFonts w:ascii="Times New Roman" w:cs="Times New Roman" w:eastAsia="Times New Roman" w:hAnsi="Times New Roman"/>
                <w:sz w:val="16"/>
                <w:szCs w:val="16"/>
                <w:color w:val="0000FF"/>
              </w:rPr>
              <w:t>Cybersecurity</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42</w:t>
            </w:r>
          </w:p>
        </w:tc>
        <w:tc>
          <w:tcPr>
            <w:tcW w:w="2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20" w:type="dxa"/>
            <w:vAlign w:val="bottom"/>
            <w:tcBorders>
              <w:top w:val="single" w:sz="8" w:color="0000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2.</w:t>
            </w:r>
          </w:p>
        </w:tc>
        <w:tc>
          <w:tcPr>
            <w:tcW w:w="300" w:type="dxa"/>
            <w:vAlign w:val="bottom"/>
            <w:tcBorders>
              <w:left w:val="single" w:sz="8" w:color="CCEEFF"/>
            </w:tcBorders>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top w:val="single" w:sz="8" w:color="0000FF"/>
            </w:tcBorders>
            <w:gridSpan w:val="6"/>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Properties</w:t>
            </w:r>
          </w:p>
        </w:tc>
        <w:tc>
          <w:tcPr>
            <w:tcW w:w="7560" w:type="dxa"/>
            <w:vAlign w:val="bottom"/>
            <w:gridSpan w:val="15"/>
            <w:shd w:val="clear" w:color="auto" w:fill="CCEEFF"/>
          </w:tcPr>
          <w:p>
            <w:pPr>
              <w:spacing w:after="0"/>
              <w:rPr>
                <w:sz w:val="15"/>
                <w:szCs w:val="15"/>
                <w:color w:val="auto"/>
              </w:rPr>
            </w:pPr>
          </w:p>
        </w:tc>
        <w:tc>
          <w:tcPr>
            <w:tcW w:w="14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0000FF"/>
                <w:w w:val="74"/>
              </w:rPr>
              <w:t>43</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3.</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Legal Proceedings</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43</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4.</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Mine Safety Disclosures</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43</w:t>
            </w:r>
          </w:p>
        </w:tc>
        <w:tc>
          <w:tcPr>
            <w:tcW w:w="280" w:type="dxa"/>
            <w:vAlign w:val="bottom"/>
            <w:tcBorders>
              <w:left w:val="single" w:sz="8" w:color="CCEEFF"/>
            </w:tcBorders>
            <w:shd w:val="clear" w:color="auto" w:fill="CCEEFF"/>
          </w:tcPr>
          <w:p>
            <w:pPr>
              <w:spacing w:after="0"/>
              <w:rPr>
                <w:sz w:val="17"/>
                <w:szCs w:val="17"/>
                <w:color w:val="auto"/>
              </w:rPr>
            </w:pPr>
          </w:p>
        </w:tc>
      </w:tr>
      <w:tr>
        <w:trPr>
          <w:trHeight w:val="210"/>
        </w:trPr>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160" w:type="dxa"/>
            <w:vAlign w:val="bottom"/>
            <w:gridSpan w:val="5"/>
            <w:shd w:val="clear" w:color="auto" w:fill="CCEEFF"/>
          </w:tcPr>
          <w:p>
            <w:pPr>
              <w:jc w:val="center"/>
              <w:ind w:right="3220"/>
              <w:spacing w:after="0"/>
              <w:rPr>
                <w:sz w:val="20"/>
                <w:szCs w:val="20"/>
                <w:color w:val="auto"/>
              </w:rPr>
            </w:pPr>
            <w:r>
              <w:rPr>
                <w:rFonts w:ascii="Times New Roman" w:cs="Times New Roman" w:eastAsia="Times New Roman" w:hAnsi="Times New Roman"/>
                <w:sz w:val="16"/>
                <w:szCs w:val="16"/>
                <w:b w:val="1"/>
                <w:bCs w:val="1"/>
                <w:color w:val="auto"/>
                <w:w w:val="98"/>
              </w:rPr>
              <w:t>Part II</w:t>
            </w:r>
          </w:p>
        </w:tc>
        <w:tc>
          <w:tcPr>
            <w:tcW w:w="1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5.</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43</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6.</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[Reserved]</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44</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7.</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44</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7A.</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53</w:t>
            </w:r>
          </w:p>
        </w:tc>
        <w:tc>
          <w:tcPr>
            <w:tcW w:w="280" w:type="dxa"/>
            <w:vAlign w:val="bottom"/>
            <w:tcBorders>
              <w:left w:val="single" w:sz="8" w:color="CCEEFF"/>
            </w:tcBorders>
            <w:shd w:val="clear" w:color="auto" w:fill="CCEEFF"/>
          </w:tcPr>
          <w:p>
            <w:pPr>
              <w:spacing w:after="0"/>
              <w:rPr>
                <w:sz w:val="17"/>
                <w:szCs w:val="17"/>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FF"/>
              </w:rPr>
              <w:t>Item 8.</w:t>
            </w:r>
          </w:p>
        </w:tc>
        <w:tc>
          <w:tcPr>
            <w:tcW w:w="300" w:type="dxa"/>
            <w:vAlign w:val="bottom"/>
            <w:tcBorders>
              <w:top w:val="single" w:sz="8" w:color="CCEEFF"/>
            </w:tcBorders>
            <w:gridSpan w:val="2"/>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820" w:type="dxa"/>
            <w:vAlign w:val="bottom"/>
            <w:tcBorders>
              <w:top w:val="single" w:sz="8" w:color="0000FF"/>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620" w:type="dxa"/>
            <w:vAlign w:val="bottom"/>
            <w:tcBorders>
              <w:top w:val="single" w:sz="8" w:color="CCEEFF"/>
            </w:tcBorders>
            <w:gridSpan w:val="6"/>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jc w:val="center"/>
              <w:spacing w:after="0" w:line="171" w:lineRule="exact"/>
              <w:rPr>
                <w:sz w:val="20"/>
                <w:szCs w:val="20"/>
                <w:color w:val="auto"/>
              </w:rPr>
            </w:pPr>
            <w:r>
              <w:rPr>
                <w:rFonts w:ascii="Times New Roman" w:cs="Times New Roman" w:eastAsia="Times New Roman" w:hAnsi="Times New Roman"/>
                <w:sz w:val="16"/>
                <w:szCs w:val="16"/>
                <w:color w:val="0000FF"/>
                <w:w w:val="74"/>
              </w:rPr>
              <w:t>55</w:t>
            </w:r>
          </w:p>
        </w:tc>
        <w:tc>
          <w:tcPr>
            <w:tcW w:w="280" w:type="dxa"/>
            <w:vAlign w:val="bottom"/>
            <w:tcBorders>
              <w:top w:val="single" w:sz="8" w:color="CCEEFF"/>
            </w:tcBorders>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9.</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87</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20" w:type="dxa"/>
            <w:vAlign w:val="bottom"/>
            <w:tcBorders>
              <w:left w:val="single" w:sz="8" w:color="0000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9A.</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Controls and Procedures</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87</w:t>
            </w:r>
          </w:p>
        </w:tc>
        <w:tc>
          <w:tcPr>
            <w:tcW w:w="280" w:type="dxa"/>
            <w:vAlign w:val="bottom"/>
          </w:tcPr>
          <w:p>
            <w:pPr>
              <w:spacing w:after="0"/>
              <w:rPr>
                <w:sz w:val="15"/>
                <w:szCs w:val="15"/>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top w:val="single" w:sz="8" w:color="0000FF"/>
              <w:bottom w:val="single" w:sz="8" w:color="0000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85"/>
              </w:rPr>
              <w:t>Item 9B.</w:t>
            </w:r>
          </w:p>
        </w:tc>
        <w:tc>
          <w:tcPr>
            <w:tcW w:w="30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top w:val="single" w:sz="8" w:color="0000FF"/>
              <w:bottom w:val="single" w:sz="8" w:color="0000FF"/>
              <w:right w:val="single" w:sz="8" w:color="CCEEFF"/>
            </w:tcBorders>
            <w:gridSpan w:val="7"/>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686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14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0000FF"/>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0000FF"/>
                <w:w w:val="74"/>
              </w:rPr>
              <w:t>88</w:t>
            </w:r>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9C.</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89</w:t>
            </w:r>
          </w:p>
        </w:tc>
        <w:tc>
          <w:tcPr>
            <w:tcW w:w="280" w:type="dxa"/>
            <w:vAlign w:val="bottom"/>
          </w:tcPr>
          <w:p>
            <w:pPr>
              <w:spacing w:after="0"/>
              <w:rPr>
                <w:sz w:val="15"/>
                <w:szCs w:val="15"/>
                <w:color w:val="auto"/>
              </w:rPr>
            </w:pPr>
          </w:p>
        </w:tc>
      </w:tr>
      <w:tr>
        <w:trPr>
          <w:trHeight w:val="219"/>
        </w:trPr>
        <w:tc>
          <w:tcPr>
            <w:tcW w:w="20" w:type="dxa"/>
            <w:vAlign w:val="bottom"/>
            <w:shd w:val="clear" w:color="auto" w:fill="CCEEFF"/>
          </w:tcPr>
          <w:p>
            <w:pPr>
              <w:spacing w:after="0"/>
              <w:rPr>
                <w:sz w:val="19"/>
                <w:szCs w:val="19"/>
                <w:color w:val="auto"/>
              </w:rPr>
            </w:pPr>
          </w:p>
        </w:tc>
        <w:tc>
          <w:tcPr>
            <w:tcW w:w="4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right w:val="single" w:sz="8" w:color="CCEE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right w:val="single" w:sz="8" w:color="CCEEFF"/>
            </w:tcBorders>
            <w:shd w:val="clear" w:color="auto" w:fill="CCEEFF"/>
          </w:tcPr>
          <w:p>
            <w:pPr>
              <w:spacing w:after="0"/>
              <w:rPr>
                <w:sz w:val="19"/>
                <w:szCs w:val="19"/>
                <w:color w:val="auto"/>
              </w:rPr>
            </w:pPr>
          </w:p>
        </w:tc>
        <w:tc>
          <w:tcPr>
            <w:tcW w:w="220" w:type="dxa"/>
            <w:vAlign w:val="bottom"/>
            <w:tcBorders>
              <w:top w:val="single" w:sz="8" w:color="0000FF"/>
              <w:left w:val="single" w:sz="8" w:color="CCEE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tcBorders>
              <w:lef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gridSpan w:val="5"/>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w w:val="98"/>
              </w:rPr>
              <w:t>Part III</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1"/>
        </w:trPr>
        <w:tc>
          <w:tcPr>
            <w:tcW w:w="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rPr>
              <w:t>Item 10.</w:t>
            </w:r>
          </w:p>
        </w:tc>
        <w:tc>
          <w:tcPr>
            <w:tcW w:w="8600" w:type="dxa"/>
            <w:vAlign w:val="bottom"/>
            <w:gridSpan w:val="22"/>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520" w:type="dxa"/>
            <w:vAlign w:val="bottom"/>
            <w:gridSpan w:val="2"/>
            <w:shd w:val="clear" w:color="auto" w:fill="CCEEFF"/>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90</w:t>
            </w:r>
          </w:p>
        </w:tc>
        <w:tc>
          <w:tcPr>
            <w:tcW w:w="280" w:type="dxa"/>
            <w:vAlign w:val="bottom"/>
            <w:tcBorders>
              <w:left w:val="single" w:sz="8" w:color="CCEEFF"/>
            </w:tcBorders>
            <w:shd w:val="clear" w:color="auto" w:fill="CCEEFF"/>
          </w:tcPr>
          <w:p>
            <w:pPr>
              <w:spacing w:after="0"/>
              <w:rPr>
                <w:sz w:val="14"/>
                <w:szCs w:val="14"/>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11.</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Executive Compensation</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90</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12.</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90</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20" w:type="dxa"/>
            <w:vAlign w:val="bottom"/>
            <w:tcBorders>
              <w:left w:val="single" w:sz="8" w:color="0000FF"/>
            </w:tcBorders>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13.</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90</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Item 14.</w:t>
            </w:r>
          </w:p>
        </w:tc>
        <w:tc>
          <w:tcPr>
            <w:tcW w:w="8600" w:type="dxa"/>
            <w:vAlign w:val="bottom"/>
            <w:gridSpan w:val="2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90</w:t>
            </w:r>
          </w:p>
        </w:tc>
        <w:tc>
          <w:tcPr>
            <w:tcW w:w="280" w:type="dxa"/>
            <w:vAlign w:val="bottom"/>
            <w:tcBorders>
              <w:left w:val="single" w:sz="8" w:color="CCEEFF"/>
            </w:tcBorders>
            <w:shd w:val="clear" w:color="auto" w:fill="CCEEFF"/>
          </w:tcPr>
          <w:p>
            <w:pPr>
              <w:spacing w:after="0"/>
              <w:rPr>
                <w:sz w:val="17"/>
                <w:szCs w:val="17"/>
                <w:color w:val="auto"/>
              </w:rPr>
            </w:pPr>
          </w:p>
        </w:tc>
      </w:tr>
      <w:tr>
        <w:trPr>
          <w:trHeight w:val="209"/>
        </w:trPr>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gridSpan w:val="5"/>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w w:val="99"/>
              </w:rPr>
              <w:t>Part IV</w:t>
            </w: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71"/>
        </w:trPr>
        <w:tc>
          <w:tcPr>
            <w:tcW w:w="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rPr>
              <w:t>Item 15.</w:t>
            </w:r>
          </w:p>
        </w:tc>
        <w:tc>
          <w:tcPr>
            <w:tcW w:w="8600" w:type="dxa"/>
            <w:vAlign w:val="bottom"/>
            <w:gridSpan w:val="22"/>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520" w:type="dxa"/>
            <w:vAlign w:val="bottom"/>
            <w:gridSpan w:val="2"/>
            <w:shd w:val="clear" w:color="auto" w:fill="CCEEFF"/>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91</w:t>
            </w:r>
          </w:p>
        </w:tc>
        <w:tc>
          <w:tcPr>
            <w:tcW w:w="280" w:type="dxa"/>
            <w:vAlign w:val="bottom"/>
            <w:tcBorders>
              <w:left w:val="single" w:sz="8" w:color="CCEEFF"/>
            </w:tcBorders>
            <w:shd w:val="clear" w:color="auto" w:fill="CCEEFF"/>
          </w:tcPr>
          <w:p>
            <w:pPr>
              <w:spacing w:after="0"/>
              <w:rPr>
                <w:sz w:val="14"/>
                <w:szCs w:val="14"/>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Item 16.</w:t>
            </w:r>
          </w:p>
        </w:tc>
        <w:tc>
          <w:tcPr>
            <w:tcW w:w="8600" w:type="dxa"/>
            <w:vAlign w:val="bottom"/>
            <w:gridSpan w:val="22"/>
          </w:tcPr>
          <w:p>
            <w:pPr>
              <w:ind w:left="160"/>
              <w:spacing w:after="0" w:line="171" w:lineRule="exact"/>
              <w:rPr>
                <w:sz w:val="20"/>
                <w:szCs w:val="20"/>
                <w:color w:val="auto"/>
              </w:rPr>
            </w:pPr>
            <w:r>
              <w:rPr>
                <w:rFonts w:ascii="Times New Roman" w:cs="Times New Roman" w:eastAsia="Times New Roman" w:hAnsi="Times New Roman"/>
                <w:sz w:val="16"/>
                <w:szCs w:val="16"/>
                <w:color w:val="0000FF"/>
              </w:rPr>
              <w:t>Form 10-K Summary</w:t>
            </w:r>
          </w:p>
        </w:tc>
        <w:tc>
          <w:tcPr>
            <w:tcW w:w="1520" w:type="dxa"/>
            <w:vAlign w:val="bottom"/>
            <w:gridSpan w:val="2"/>
          </w:tcPr>
          <w:p>
            <w:pPr>
              <w:jc w:val="center"/>
              <w:ind w:left="1281"/>
              <w:spacing w:after="0" w:line="171" w:lineRule="exact"/>
              <w:rPr>
                <w:sz w:val="20"/>
                <w:szCs w:val="20"/>
                <w:color w:val="auto"/>
              </w:rPr>
            </w:pPr>
            <w:r>
              <w:rPr>
                <w:rFonts w:ascii="Times New Roman" w:cs="Times New Roman" w:eastAsia="Times New Roman" w:hAnsi="Times New Roman"/>
                <w:sz w:val="16"/>
                <w:szCs w:val="16"/>
                <w:color w:val="0000FF"/>
                <w:w w:val="99"/>
              </w:rPr>
              <w:t>92</w:t>
            </w:r>
          </w:p>
        </w:tc>
        <w:tc>
          <w:tcPr>
            <w:tcW w:w="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Signatures</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2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left="1281"/>
              <w:spacing w:after="0" w:line="180" w:lineRule="exact"/>
              <w:rPr>
                <w:sz w:val="20"/>
                <w:szCs w:val="20"/>
                <w:color w:val="auto"/>
              </w:rPr>
            </w:pPr>
            <w:r>
              <w:rPr>
                <w:rFonts w:ascii="Times New Roman" w:cs="Times New Roman" w:eastAsia="Times New Roman" w:hAnsi="Times New Roman"/>
                <w:sz w:val="16"/>
                <w:szCs w:val="16"/>
                <w:color w:val="0000FF"/>
                <w:w w:val="99"/>
              </w:rPr>
              <w:t>93</w:t>
            </w:r>
          </w:p>
        </w:tc>
        <w:tc>
          <w:tcPr>
            <w:tcW w:w="2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b w:val="1"/>
          <w:bCs w:val="1"/>
          <w:color w:val="auto"/>
        </w:rPr>
        <w:t>Frequently Used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used in this Annual Report on Form 10-K, references to</w:t>
      </w:r>
      <w:r>
        <w:rPr>
          <w:rFonts w:ascii="Times New Roman" w:cs="Times New Roman" w:eastAsia="Times New Roman" w:hAnsi="Times New Roman"/>
          <w:sz w:val="20"/>
          <w:szCs w:val="20"/>
          <w:color w:val="auto"/>
        </w:rPr>
        <w:t>:</w:t>
      </w:r>
    </w:p>
    <w:p>
      <w:pPr>
        <w:spacing w:after="0" w:line="35"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17"/>
          <w:szCs w:val="17"/>
          <w:color w:val="auto"/>
        </w:rPr>
        <w:t>“amended and restated merger agreement” are to the agreement and plan of merger, dated as of April 14, 2022,by and among Tuatara, Merger Sub and Legacy SpringBig, as amended and restated by Amendment No. 1, dated as of May 4, 2022;</w:t>
      </w:r>
    </w:p>
    <w:p>
      <w:pPr>
        <w:spacing w:after="0" w:line="1" w:lineRule="exact"/>
        <w:rPr>
          <w:sz w:val="20"/>
          <w:szCs w:val="20"/>
          <w:color w:val="auto"/>
        </w:rPr>
      </w:pPr>
    </w:p>
    <w:p>
      <w:pPr>
        <w:ind w:firstLine="629"/>
        <w:spacing w:after="0" w:line="257" w:lineRule="auto"/>
        <w:rPr>
          <w:sz w:val="20"/>
          <w:szCs w:val="20"/>
          <w:color w:val="auto"/>
        </w:rPr>
      </w:pPr>
      <w:r>
        <w:rPr>
          <w:rFonts w:ascii="Times New Roman" w:cs="Times New Roman" w:eastAsia="Times New Roman" w:hAnsi="Times New Roman"/>
          <w:sz w:val="17"/>
          <w:szCs w:val="17"/>
          <w:color w:val="auto"/>
        </w:rPr>
        <w:t>“amended and restated registration rights agreement” are to the Amended and Restated Registration Rights Agreement entered into, by and among Tuatara, Sponsor, Legacy SpringBig, and the other signatories thereto;</w:t>
      </w:r>
    </w:p>
    <w:p>
      <w:pPr>
        <w:spacing w:after="0" w:line="1" w:lineRule="exact"/>
        <w:rPr>
          <w:sz w:val="20"/>
          <w:szCs w:val="20"/>
          <w:color w:val="auto"/>
        </w:rPr>
      </w:pPr>
    </w:p>
    <w:p>
      <w:pPr>
        <w:ind w:left="640" w:right="3880"/>
        <w:spacing w:after="0" w:line="257" w:lineRule="auto"/>
        <w:rPr>
          <w:sz w:val="20"/>
          <w:szCs w:val="20"/>
          <w:color w:val="auto"/>
        </w:rPr>
      </w:pPr>
      <w:r>
        <w:rPr>
          <w:rFonts w:ascii="Times New Roman" w:cs="Times New Roman" w:eastAsia="Times New Roman" w:hAnsi="Times New Roman"/>
          <w:sz w:val="17"/>
          <w:szCs w:val="17"/>
          <w:color w:val="auto"/>
        </w:rPr>
        <w:t>“business combination” are to the transactions contemplated by the merger agreement; “Canadian CRTC” are to the Canadian Radio-Television and Telecommunications Commission; “Cannabis Act” are to the Cannabis Act (Canada);</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“Code” are to the Internal Revenue Code of 1986, as amended;</w:t>
      </w:r>
    </w:p>
    <w:p>
      <w:pPr>
        <w:spacing w:after="0" w:line="14" w:lineRule="exact"/>
        <w:rPr>
          <w:sz w:val="20"/>
          <w:szCs w:val="20"/>
          <w:color w:val="auto"/>
        </w:rPr>
      </w:pPr>
    </w:p>
    <w:p>
      <w:pPr>
        <w:ind w:left="640"/>
        <w:spacing w:after="0" w:line="257" w:lineRule="auto"/>
        <w:rPr>
          <w:sz w:val="20"/>
          <w:szCs w:val="20"/>
          <w:color w:val="auto"/>
        </w:rPr>
      </w:pPr>
      <w:r>
        <w:rPr>
          <w:rFonts w:ascii="Times New Roman" w:cs="Times New Roman" w:eastAsia="Times New Roman" w:hAnsi="Times New Roman"/>
          <w:sz w:val="17"/>
          <w:szCs w:val="17"/>
          <w:color w:val="auto"/>
        </w:rPr>
        <w:t>“Common Shares,” “Common Stock” or “Shares” are to the shares of common stock of SpringBig Holdings, Inc., par value $0.0001 per share; “Common Stock Purchase Agreement” are to the Common Stock Purchase Agreement, dated as of April 29, 2022, by and between Tuatara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as amended by Amendment No. 1, dated July 20, 2022;</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“Company,” “SpringBig,” “we,” “us,” “our” and similar terms are to SpringBig Holdings, Inc., a Delaware corporation, and its consolidated subsidiaries;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“COVID-19” are to SARS-Cov-2 or COVID-19, and any evolutions thereof or related or associated epidemics, pandemics or disease outbreaks;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“CSA” are to the U.S. Controlled Substances Act of 1970, as amended;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“DGCL” are to the Delaware General Corporation Law, as amended;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“effective time” are to the effective time of the certificate of merger effecting the merger contemplated by the amended and restated merger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“Exchange Act” are to the Securities Exchange Act of 1934, as amended;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“FCC” are to the United States Federal Communications Commission;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“GAAP” are to United States generally accepted accounting principles;</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“Legacy SpringBig” are to SpringBig, Inc., a Delaware corporation, prior to the business combination, and a wholly-owned subsidiary of SpringBig following the business combination;</w:t>
      </w:r>
    </w:p>
    <w:p>
      <w:pPr>
        <w:spacing w:after="0" w:line="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“merger” are to the merger evidenced by a certificate of merger between Merger Sub and Legacy SpringBig pursuant to which Merger Sub merged with and into Legacy SpringBig, with Legacy SpringBig continuing as the surviving entity and a subsidiary of SpringBig;</w:t>
      </w:r>
    </w:p>
    <w:p>
      <w:pPr>
        <w:spacing w:after="0" w:line="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“merger agreement” are to the original merger agreement and the amended and restated merger agreement, collectively, as amended or modified from time to time, by and among Tuatara, Merger Sub and Legacy SpringBig;</w:t>
      </w:r>
    </w:p>
    <w:p>
      <w:pPr>
        <w:spacing w:after="0" w:line="1" w:lineRule="exact"/>
        <w:rPr>
          <w:sz w:val="20"/>
          <w:szCs w:val="20"/>
          <w:color w:val="auto"/>
        </w:rPr>
      </w:pPr>
    </w:p>
    <w:p>
      <w:pPr>
        <w:ind w:left="640" w:right="2000"/>
        <w:spacing w:after="0" w:line="257" w:lineRule="auto"/>
        <w:rPr>
          <w:sz w:val="20"/>
          <w:szCs w:val="20"/>
          <w:color w:val="auto"/>
        </w:rPr>
      </w:pPr>
      <w:r>
        <w:rPr>
          <w:rFonts w:ascii="Times New Roman" w:cs="Times New Roman" w:eastAsia="Times New Roman" w:hAnsi="Times New Roman"/>
          <w:sz w:val="17"/>
          <w:szCs w:val="17"/>
          <w:color w:val="auto"/>
        </w:rPr>
        <w:t>“Merger Sub” are to HighJump Merger Sub, Inc., a Delaware corporation and a wholly owned direct subsidiary of Tuatara; “Nasdaq” are to The Nasdaq Stock Market LLC;</w:t>
      </w:r>
    </w:p>
    <w:p>
      <w:pPr>
        <w:spacing w:after="0" w:line="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“Notes Purchase Agreement” are to that certain securities purchase agreement, dated January 23, 2024, between the Company and Shalcor Management, Inc and other Purchasers (the “Investors”), pursuant to which the Company agreed to sell a total of $5.4 million of 8% Senior Secured Convertible Notes due 2026 (the “Convertible Notes”), in a private placement.</w:t>
      </w:r>
    </w:p>
    <w:p>
      <w:pPr>
        <w:spacing w:after="0" w:line="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“original merger agreement” are to the agreement and plan of merger, dated as of November 8, 2021, by and among Tuatara, Merger Sub and SpringBig;</w:t>
      </w:r>
    </w:p>
    <w:p>
      <w:pPr>
        <w:spacing w:after="0" w:line="210" w:lineRule="exact"/>
        <w:rPr>
          <w:sz w:val="20"/>
          <w:szCs w:val="20"/>
          <w:color w:val="auto"/>
        </w:rPr>
      </w:pPr>
    </w:p>
    <w:p>
      <w:pPr>
        <w:ind w:left="640" w:right="2160"/>
        <w:spacing w:after="0" w:line="257" w:lineRule="auto"/>
        <w:rPr>
          <w:sz w:val="20"/>
          <w:szCs w:val="20"/>
          <w:color w:val="auto"/>
        </w:rPr>
      </w:pPr>
      <w:r>
        <w:rPr>
          <w:rFonts w:ascii="Times New Roman" w:cs="Times New Roman" w:eastAsia="Times New Roman" w:hAnsi="Times New Roman"/>
          <w:sz w:val="17"/>
          <w:szCs w:val="17"/>
          <w:color w:val="auto"/>
        </w:rPr>
        <w:t>“PIPE subscription financing” are to the aggregate $13,100,000 of proceeds from the issuance of the subscription shares; “SaaS” are to software-as-a-service;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“Securities Act” are to the Securities Act of 1933, as amended;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“Sponsor” are to TCAC Sponsor, LLC a Delaware limited liability company;</w:t>
      </w:r>
    </w:p>
    <w:p>
      <w:pPr>
        <w:spacing w:after="0" w:line="14" w:lineRule="exact"/>
        <w:rPr>
          <w:sz w:val="20"/>
          <w:szCs w:val="20"/>
          <w:color w:val="auto"/>
        </w:rPr>
      </w:pPr>
    </w:p>
    <w:p>
      <w:pPr>
        <w:ind w:left="640" w:right="4220"/>
        <w:spacing w:after="0" w:line="257" w:lineRule="auto"/>
        <w:rPr>
          <w:sz w:val="20"/>
          <w:szCs w:val="20"/>
          <w:color w:val="auto"/>
        </w:rPr>
      </w:pPr>
      <w:r>
        <w:rPr>
          <w:rFonts w:ascii="Times New Roman" w:cs="Times New Roman" w:eastAsia="Times New Roman" w:hAnsi="Times New Roman"/>
          <w:sz w:val="17"/>
          <w:szCs w:val="17"/>
          <w:color w:val="auto"/>
        </w:rPr>
        <w:t>“TCPA” are to the United States Telephone Consumer Protection Act of 1991, as amended; “transfer agent” are to Continental Stock Transfer &amp; Trust Company, as transfer agent;</w:t>
      </w:r>
    </w:p>
    <w:p>
      <w:pPr>
        <w:spacing w:after="0" w:line="1" w:lineRule="exact"/>
        <w:rPr>
          <w:sz w:val="20"/>
          <w:szCs w:val="20"/>
          <w:color w:val="auto"/>
        </w:rPr>
      </w:pPr>
    </w:p>
    <w:p>
      <w:pPr>
        <w:ind w:firstLine="629"/>
        <w:spacing w:after="0" w:line="257" w:lineRule="auto"/>
        <w:rPr>
          <w:sz w:val="20"/>
          <w:szCs w:val="20"/>
          <w:color w:val="auto"/>
        </w:rPr>
      </w:pPr>
      <w:r>
        <w:rPr>
          <w:rFonts w:ascii="Times New Roman" w:cs="Times New Roman" w:eastAsia="Times New Roman" w:hAnsi="Times New Roman"/>
          <w:sz w:val="17"/>
          <w:szCs w:val="17"/>
          <w:color w:val="auto"/>
        </w:rPr>
        <w:t>“Tuatara,” “we,” “our” or “us” are to Tuatara Capital Acquisition Corporation, an exempted company incorporated under the laws of the Cayman Islands, the predecessor entity to SpringBig;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“US$” and “U.S. dollar” each refer to the United States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t>Note About Forward-Looking Statements</w:t>
      </w:r>
    </w:p>
    <w:p>
      <w:pPr>
        <w:spacing w:after="0" w:line="29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This Annual Report on Form 10-K contains forward looking statements that are subject to risks and uncertainties. All statements other than statements of historical fact included in this Annual Report on Form 10-K are forward looking statements. Forward looking statements include our current expectations and</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"project," "plan," "intend," "believe," "may," "will," "should," "can have," "likely" and other words and terms of similar meaning in connection with any discussion of the timing or nature of future cash flows, operating or financial performance or other events. These forward looking statements are not historical</w:t>
      </w:r>
    </w:p>
    <w:p>
      <w:pPr>
        <w:spacing w:after="0" w:line="226" w:lineRule="auto"/>
        <w:rPr>
          <w:sz w:val="20"/>
          <w:szCs w:val="20"/>
          <w:color w:val="auto"/>
        </w:rPr>
      </w:pPr>
      <w:r>
        <w:rPr>
          <w:rFonts w:ascii="Times New Roman" w:cs="Times New Roman" w:eastAsia="Times New Roman" w:hAnsi="Times New Roman"/>
          <w:sz w:val="17"/>
          <w:szCs w:val="17"/>
          <w:color w:val="auto"/>
        </w:rPr>
        <w:t>facts, and are based on current expectations, estimates and projections about our industry and Company, management’s beliefs and certain assumptions made by</w:t>
      </w:r>
    </w:p>
    <w:p>
      <w:pPr>
        <w:jc w:val="both"/>
        <w:spacing w:after="0" w:line="217" w:lineRule="auto"/>
        <w:rPr>
          <w:sz w:val="20"/>
          <w:szCs w:val="20"/>
          <w:color w:val="auto"/>
        </w:rPr>
      </w:pPr>
      <w:r>
        <w:rPr>
          <w:rFonts w:ascii="Times New Roman" w:cs="Times New Roman" w:eastAsia="Times New Roman" w:hAnsi="Times New Roman"/>
          <w:sz w:val="17"/>
          <w:szCs w:val="17"/>
          <w:color w:val="auto"/>
        </w:rPr>
        <w:t>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number of risks and uncertainties that could cause actual results to differ materially from the results reflected in these forward-looking statements are identified in the section entitled “Risk Factors” and in our periodic filings with the SEC. Our SEC filings are available publicly on the SEC’s website at www.sec.gov.</w:t>
      </w:r>
    </w:p>
    <w:p>
      <w:pPr>
        <w:spacing w:after="0" w:line="3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You should read this Annual Report on Form 10-K completely and with the understanding that our actual future results, levels of activity and performance as well as other events and circumstances may be materially different from what we expect. We qualify all of our forward-looking statements by these cautionary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b w:val="1"/>
          <w:bCs w:val="1"/>
          <w:color w:val="auto"/>
        </w:rPr>
        <w:t>Risk Factor Summary</w:t>
      </w:r>
    </w:p>
    <w:p>
      <w:pPr>
        <w:spacing w:after="0" w:line="21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94" w:lineRule="exact"/>
        <w:rPr>
          <w:sz w:val="20"/>
          <w:szCs w:val="20"/>
          <w:color w:val="auto"/>
        </w:rPr>
      </w:pPr>
    </w:p>
    <w:p>
      <w:pPr>
        <w:ind w:left="640" w:hanging="320"/>
        <w:spacing w:after="0" w:line="245"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relatively short operating history in a rapidly evolving industry, which makes it difficult to evaluate our future prospects and may increase the risk that we will not be successful. We may not be able to generate sufficient revenue to become profitable or maintain profitability in the future.</w:t>
      </w:r>
    </w:p>
    <w:p>
      <w:pPr>
        <w:spacing w:after="0" w:line="1" w:lineRule="exact"/>
        <w:rPr>
          <w:rFonts w:ascii="Times New Roman" w:cs="Times New Roman" w:eastAsia="Times New Roman" w:hAnsi="Times New Roman"/>
          <w:sz w:val="17"/>
          <w:szCs w:val="17"/>
          <w:color w:val="auto"/>
        </w:rPr>
      </w:pPr>
    </w:p>
    <w:p>
      <w:pPr>
        <w:jc w:val="both"/>
        <w:ind w:left="640" w:hanging="320"/>
        <w:spacing w:after="0"/>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w:t>
      </w:r>
    </w:p>
    <w:p>
      <w:pPr>
        <w:spacing w:after="0" w:line="159" w:lineRule="exact"/>
        <w:rPr>
          <w:rFonts w:ascii="Times New Roman" w:cs="Times New Roman" w:eastAsia="Times New Roman" w:hAnsi="Times New Roman"/>
          <w:sz w:val="17"/>
          <w:szCs w:val="17"/>
          <w:color w:val="auto"/>
        </w:rPr>
      </w:pPr>
    </w:p>
    <w:p>
      <w:pPr>
        <w:ind w:left="640" w:hanging="320"/>
        <w:spacing w:after="0" w:line="23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significant working capital deficiency and a history of losses, may need to raise additional funds to meet our obligations and sustain our operations, and may not achieve profitability in the future.</w:t>
      </w:r>
    </w:p>
    <w:p>
      <w:pPr>
        <w:jc w:val="both"/>
        <w:ind w:left="640" w:hanging="320"/>
        <w:spacing w:after="0" w:line="23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 w:lineRule="exact"/>
        <w:rPr>
          <w:rFonts w:ascii="Times New Roman" w:cs="Times New Roman" w:eastAsia="Times New Roman" w:hAnsi="Times New Roman"/>
          <w:sz w:val="17"/>
          <w:szCs w:val="17"/>
          <w:color w:val="auto"/>
        </w:rPr>
      </w:pPr>
    </w:p>
    <w:p>
      <w:pPr>
        <w:jc w:val="both"/>
        <w:ind w:left="640" w:hanging="320"/>
        <w:spacing w:after="0"/>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clients currently and in the future may not be in compliance with licensing and related requirements under applicable laws and regulations. We further cannot ensure that our clients will conduct their business in a way that complies with all laws.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w:t>
      </w:r>
    </w:p>
    <w:p>
      <w:pPr>
        <w:spacing w:after="0" w:line="149" w:lineRule="exact"/>
        <w:rPr>
          <w:rFonts w:ascii="Times New Roman" w:cs="Times New Roman" w:eastAsia="Times New Roman" w:hAnsi="Times New Roman"/>
          <w:sz w:val="17"/>
          <w:szCs w:val="17"/>
          <w:color w:val="auto"/>
        </w:rPr>
      </w:pPr>
    </w:p>
    <w:p>
      <w:pPr>
        <w:jc w:val="both"/>
        <w:ind w:left="640" w:hanging="320"/>
        <w:spacing w:after="0" w:line="23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U.S. state laws and regulations and Canadian federal and provincial laws and regulations pertaining to the cannabis industry, its continued legalization, and the rapid changes in applicable laws and regulations may increase the risk that we will not be successful. We are subject to various standards, laws and regulations and any actual or perceived failure to comply with such obligations could harm our business.</w:t>
      </w:r>
    </w:p>
    <w:p>
      <w:pPr>
        <w:spacing w:after="0" w:line="1" w:lineRule="exact"/>
        <w:rPr>
          <w:rFonts w:ascii="Times New Roman" w:cs="Times New Roman" w:eastAsia="Times New Roman" w:hAnsi="Times New Roman"/>
          <w:sz w:val="17"/>
          <w:szCs w:val="17"/>
          <w:color w:val="auto"/>
        </w:rPr>
      </w:pPr>
    </w:p>
    <w:p>
      <w:pPr>
        <w:ind w:left="620" w:hanging="300"/>
        <w:spacing w:after="0" w:line="22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the market acceptance of cannabis consumers and negative trends could adversely affect our business operations.</w:t>
      </w:r>
    </w:p>
    <w:p>
      <w:pPr>
        <w:ind w:left="640" w:hanging="320"/>
        <w:spacing w:after="0" w:line="23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upon our brand recognition and reputation, and any erosion or degradation of our brand recognition or reputation would likely adversely affect our business and operating results.</w:t>
      </w:r>
    </w:p>
    <w:p>
      <w:pPr>
        <w:ind w:left="640" w:hanging="320"/>
        <w:spacing w:after="0" w:line="225"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competition in marketing and advertising services available to our clients, and we expect competition to further intensify as the cannabis industry continues to evolve.</w:t>
      </w: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predict and/or manage our growth effectively, our brand, business and operating results could be harmed.</w:t>
      </w:r>
    </w:p>
    <w:p>
      <w:pPr>
        <w:spacing w:after="0" w:line="1" w:lineRule="exact"/>
        <w:rPr>
          <w:rFonts w:ascii="Times New Roman" w:cs="Times New Roman" w:eastAsia="Times New Roman" w:hAnsi="Times New Roman"/>
          <w:sz w:val="17"/>
          <w:szCs w:val="17"/>
          <w:color w:val="auto"/>
        </w:rPr>
      </w:pPr>
    </w:p>
    <w:p>
      <w:pPr>
        <w:ind w:left="620" w:hanging="300"/>
        <w:spacing w:after="0" w:line="22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recruit, train, retain and motivate key personnel, we may not achieve our business objectives.</w:t>
      </w:r>
    </w:p>
    <w:p>
      <w:pPr>
        <w:ind w:left="640" w:hanging="320"/>
        <w:spacing w:after="0" w:line="225"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current marketing model is not effective in attracting new clients, we may need to employ higher-cost sales and marketing methods to attract and retain clients, which could adversely affect our profitability.</w:t>
      </w:r>
    </w:p>
    <w:p>
      <w:pPr>
        <w:ind w:left="640" w:hanging="320"/>
        <w:spacing w:after="0" w:line="23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ind w:left="640" w:hanging="320"/>
        <w:spacing w:after="0" w:line="225"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or perceived errors, failures, or bugs in our platform or cyber security breaches, unauthorized access or other events could adversely affect our operating results and growth prospects and/or subject us to significant liability.</w:t>
      </w:r>
    </w:p>
    <w:p>
      <w:pPr>
        <w:ind w:left="640" w:hanging="320"/>
        <w:spacing w:after="0" w:line="23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regional or local economic and market conditions or events may adversely affect our business, operating results and financial condition.</w:t>
      </w:r>
    </w:p>
    <w:p>
      <w:pPr>
        <w:ind w:left="620" w:hanging="300"/>
        <w:spacing w:after="0" w:line="22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improve our products and solutions in ways that forego short-term gains.</w:t>
      </w:r>
    </w:p>
    <w:p>
      <w:pPr>
        <w:ind w:left="640" w:hanging="320"/>
        <w:spacing w:after="0" w:line="23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investments in our growth strategy, including acquisitions, could disrupt our business and adversely affect our operating results, financial condition and cash flows.</w:t>
      </w:r>
    </w:p>
    <w:p>
      <w:pPr>
        <w:ind w:left="640" w:hanging="320"/>
        <w:spacing w:after="0"/>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which may not be available on favorable terms, if at all, causing dilution to our stockholders, restricting our operations or adversely affecting our ability to operate our business. Further, we may be unable to obtain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6" w:name="page7"/>
    <w:bookmarkEnd w:id="6"/>
    <w:p>
      <w:pPr>
        <w:jc w:val="both"/>
        <w:ind w:left="320" w:hanging="320"/>
        <w:spacing w:after="0" w:line="235"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obligations to the holder of the Convertible Notes are secured by a security interest in substantially all of our assets, so if we default on those obligations, the noteholders could foreclose on, liquidate and/or take possession of our assets. If that were to happen, we could be forced to curtail, or even to cease, our operations. The Convertible Notes also restricts our ability obtain additional debt and equity financing, which may restrict our ability to grow and finance our operations.</w:t>
      </w:r>
    </w:p>
    <w:p>
      <w:pPr>
        <w:spacing w:after="0" w:line="1" w:lineRule="exact"/>
        <w:rPr>
          <w:rFonts w:ascii="Times New Roman" w:cs="Times New Roman" w:eastAsia="Times New Roman" w:hAnsi="Times New Roman"/>
          <w:sz w:val="17"/>
          <w:szCs w:val="17"/>
          <w:color w:val="auto"/>
        </w:rPr>
      </w:pPr>
    </w:p>
    <w:p>
      <w:pPr>
        <w:ind w:left="300" w:hanging="300"/>
        <w:spacing w:after="0" w:line="225"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potential adverse tax consequences.</w:t>
      </w:r>
    </w:p>
    <w:p>
      <w:pPr>
        <w:ind w:left="300" w:hanging="300"/>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or other factors could negatively impact our future effective tax rate.</w:t>
      </w:r>
    </w:p>
    <w:p>
      <w:pPr>
        <w:spacing w:after="0" w:line="1" w:lineRule="exact"/>
        <w:rPr>
          <w:rFonts w:ascii="Times New Roman" w:cs="Times New Roman" w:eastAsia="Times New Roman" w:hAnsi="Times New Roman"/>
          <w:sz w:val="17"/>
          <w:szCs w:val="17"/>
          <w:color w:val="auto"/>
        </w:rPr>
      </w:pPr>
    </w:p>
    <w:p>
      <w:pPr>
        <w:ind w:left="320" w:hanging="320"/>
        <w:spacing w:after="0" w:line="225"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remains illegal under federal law, and therefore, strict enforcement of federal laws regarding cannabis would likely result in our inability to execute our business plan.</w:t>
      </w:r>
    </w:p>
    <w:p>
      <w:pPr>
        <w:ind w:left="320" w:hanging="320"/>
        <w:spacing w:after="0" w:line="233"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our clients are subject to a variety of U.S. and foreign laws regarding financial transactions related to cannabis, which could subject our clients to legal claims or otherwise adversely affect our business.</w:t>
      </w:r>
    </w:p>
    <w:p>
      <w:pPr>
        <w:ind w:left="320" w:hanging="320"/>
        <w:spacing w:after="0" w:line="225"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banking relations, and we may have difficulty accessing or consistently maintaining banking or other financial services due to our connection with the cannabis industry.</w:t>
      </w:r>
    </w:p>
    <w:p>
      <w:pPr>
        <w:ind w:left="320" w:hanging="320"/>
        <w:spacing w:after="0" w:line="233"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our involvement in the cannabis industry, we may have a difficult time obtaining the various insurances that are desired to operate our business and/or in enforcing certain of our commercial contracts, which may expose us to additional risk and financial liability.</w:t>
      </w:r>
    </w:p>
    <w:p>
      <w:pPr>
        <w:ind w:left="320" w:hanging="320"/>
        <w:spacing w:after="0" w:line="225"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 the future be, subject to disputes and assertions by third parties with respect to alleged violations of intellectual property rights. These disputes could be costly to defend and could harm our business and operating results.</w:t>
      </w:r>
    </w:p>
    <w:p>
      <w:pPr>
        <w:ind w:left="300" w:hanging="300"/>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solutions contain open source software, which may pose particular risks to our proprietary software and solutions.</w:t>
      </w:r>
    </w:p>
    <w:p>
      <w:pPr>
        <w:spacing w:after="0" w:line="1" w:lineRule="exact"/>
        <w:rPr>
          <w:rFonts w:ascii="Times New Roman" w:cs="Times New Roman" w:eastAsia="Times New Roman" w:hAnsi="Times New Roman"/>
          <w:sz w:val="17"/>
          <w:szCs w:val="17"/>
          <w:color w:val="auto"/>
        </w:rPr>
      </w:pPr>
    </w:p>
    <w:p>
      <w:pPr>
        <w:ind w:left="300" w:hanging="300"/>
        <w:spacing w:after="0" w:line="225"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business heavily depends on our ability to protect and enforce our intellectual property rights.</w:t>
      </w:r>
    </w:p>
    <w:p>
      <w:pPr>
        <w:ind w:left="300" w:hanging="300"/>
        <w:spacing w:after="0" w:line="225"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intend to pay cash dividends for the foreseeable future.</w:t>
      </w:r>
    </w:p>
    <w:p>
      <w:pPr>
        <w:ind w:left="300" w:hanging="300"/>
        <w:spacing w:after="0" w:line="225"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securities litigation, which is expensive and could divert management attention.</w:t>
      </w:r>
    </w:p>
    <w:p>
      <w:pPr>
        <w:ind w:left="320" w:hanging="320"/>
        <w:spacing w:after="0" w:line="233"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our total outstanding shares may be issued and/or sold into the market in the near future. This would result in dilution to existing shareholders and could cause the market price of our shares of common stock to drop significantly, even if our business is doing well.</w:t>
      </w:r>
    </w:p>
    <w:p>
      <w:pPr>
        <w:jc w:val="both"/>
        <w:ind w:left="320" w:hanging="320"/>
        <w:spacing w:after="0" w:line="235"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91440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36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239" w:lineRule="exact"/>
        <w:rPr>
          <w:sz w:val="20"/>
          <w:szCs w:val="20"/>
          <w:color w:val="auto"/>
        </w:rPr>
      </w:pPr>
    </w:p>
    <w:p>
      <w:pPr>
        <w:jc w:val="both"/>
        <w:ind w:firstLine="349"/>
        <w:spacing w:after="0" w:line="252" w:lineRule="auto"/>
        <w:rPr>
          <w:sz w:val="20"/>
          <w:szCs w:val="20"/>
          <w:color w:val="auto"/>
        </w:rPr>
      </w:pPr>
      <w:r>
        <w:rPr>
          <w:rFonts w:ascii="Times New Roman" w:cs="Times New Roman" w:eastAsia="Times New Roman" w:hAnsi="Times New Roman"/>
          <w:sz w:val="17"/>
          <w:szCs w:val="17"/>
          <w:color w:val="auto"/>
        </w:rPr>
        <w:t>We provide our clients with an easy-to-use loyalty, digital communications platform that drives their consumers to action. SpringBig empowers our clients to effectively communicate with, increase the loyalty of, and expand their consumer population through the provision of an integrated technology platform supported by robust analytics. Our goal is to become the leading SaaS software platform to cannabis retailers and brands, providing data-driven loyalty, marketing and consumer buying experience solutions throughout the U.S. and Canada, and ultimately expanding internationally and into other regulated markets.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Our Business</w:t>
      </w:r>
    </w:p>
    <w:p>
      <w:pPr>
        <w:spacing w:after="0" w:line="239"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SpringBig is a market-leading software platform providing customer loyalty and marketing automation solutions to retailers and brands. SpringBig believes that it is a market leader in its product categories for a number of factors including, among others, (i) the number of SpringBig customers and consumers enrolled on SpringBig’s platform (and the percentage of known licensed cannabis retailers enrolled in SpringBig’s product service); (ii) scale (SpringBig has operations and clients in all states that have legalized cannabis); (iii) the comprehensive services offered by SpringBig; (iv) the technology offered by SpringBig that, among other things, connects the three categories of participants in the cannabis ecosystem (customers, retailers, and brands) and provides effective communications and marketing to end-consumers; (v) SpringBig’s expertise in loyalty programs and marketing automation; (vi) the quality of SpringBig’s client services; and (vii) SpringBig’s ability to provide data analytics.</w:t>
      </w:r>
    </w:p>
    <w:p>
      <w:pPr>
        <w:spacing w:after="0" w:line="203"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Since our inception in 2016,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is created, ultimately expanding SpringBig’s reach, strengthening our value proposition. In addition, our platform enables clients to offer consumers a paid-for premium loyalty tier and facilitates the use of prepaid gift cards within the loyalty wallet as a method of payment.</w:t>
      </w:r>
    </w:p>
    <w:p>
      <w:pPr>
        <w:spacing w:after="0" w:line="203"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Today, we serve approximately 1,300 brand and retailer clients across approximately 2,600 distinct retail locations in North America. Our clients distribute in excess of 2.3 billion messages annually, and in the last year more than $7.8 billion of gross merchandise value (“GMV”) was accounted for by our clients utilizing our platform. SpringBig has successfully grown its revenue at a rapid pace, from $5.7 million in 2019 to $28.1 million in 2023. We have an excellent track record of securing and retaining our clients with our value proposition.</w:t>
      </w:r>
    </w:p>
    <w:p>
      <w:pPr>
        <w:spacing w:after="0" w:line="195"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We believe SpringBig is well positioned to continue to be a leading software platform for cannabis retailers and brands by providing data-driven loyalty and marketing solutions to enhance a frictionless consumer buying experience.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SpringBig Does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We have developed and commercialized a comprehensive suite of Software-as-a-Service (“SaaS”) solutions for our retailer and brand clients (who we refer to as “clients” and their end-user customers as “customers” or “consumers”).</w:t>
      </w:r>
    </w:p>
    <w:p>
      <w:pPr>
        <w:spacing w:after="0" w:line="172"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Through their subscriptions, our retail clients have access to in-depth campaign data, robust analytics, and actionable feedback and summaries to help inform their business decisions and maximize customer engagement and retention. When a client subscribes to our platform, we charge affordable initial set-up fees and the majority of our revenue is derived from a monthly recurring subscription fee. Typically, our subscription agreements extend for twelve months, and unless terminated in accordance with their terms, generally renew for subsequent and recurring twelve-month periods. Our client subscriptions cover access to our platform as well as messaging services.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Within the terms of a subscription, a client receives a pre-determined quantum of communication credits per month, and we invoice the client additional amounts if the pre-determined credit volume is exceeded in any month (though the subscription agreements do not stipulate the volume of messages the client must cause to be sent during a month). The fees for such excess use are set forth in the client’s subscription agreement. In some cases, a client has separate subscriptions relating to the use of the software platform and the communications and, in other cases, these are bundled into a single subscription.</w:t>
      </w:r>
    </w:p>
    <w:p>
      <w:pPr>
        <w:spacing w:after="0" w:line="198"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The monthly subscription fee charged to SpringBig’s clients is set forth in such client’s subscription agreement and is based on the scope of the subscription, which is determined based on (1) the number of customers on a client’s database (e.g., use of the SpringBig platform) and/or (2) the pre-determined quantum of communication credits that such client may use per month. As noted above, if this pre-determined credit volume is exceeded in any month, SpringBig will invoice the client for such excess use by the client. Excess use revenue has historically accounted for up to 30% of revenue. We expect excess use revenue as a percentage of recurring subscription revenue to decrease as customers scale and progress to higher subscription tiers over their lifetime. SpringBig’s revenue is not based on the success or effectiveness of any marketing campaign communications.</w:t>
      </w:r>
    </w:p>
    <w:p>
      <w:pPr>
        <w:spacing w:after="0" w:line="199"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Secondly, we also generate revenue by empowering brands with direct access to consumers via our brands platform. Our recently introduced brands platform allows brands to advertise and engage cannabis consumers, drive brand awareness, acquire VIP customers with high lifetime value, and access detailed reporting insights into essential campaign attribution metrics. Pricing for the brands platform is either structured on a bulk-pay basis or as a monthly subscription.</w:t>
      </w:r>
    </w:p>
    <w:p>
      <w:pPr>
        <w:spacing w:after="0" w:line="397" w:lineRule="exact"/>
        <w:rPr>
          <w:sz w:val="20"/>
          <w:szCs w:val="20"/>
          <w:color w:val="auto"/>
        </w:rPr>
      </w:pPr>
    </w:p>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Thirdly, we also generate revenue when our clients utilize the paid-for premium loyalty tier in our platform through a revenue sharing arrangement with our client whereby SpringBig receives a proportion of the subscription paid by consumers; and generate revenue on prepaid gift cards, which is calculated as a proportion of the value of the gift card amount.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239" w:lineRule="exact"/>
        <w:rPr>
          <w:sz w:val="20"/>
          <w:szCs w:val="20"/>
          <w:color w:val="auto"/>
        </w:rPr>
      </w:pPr>
    </w:p>
    <w:p>
      <w:pPr>
        <w:jc w:val="both"/>
        <w:ind w:firstLine="349"/>
        <w:spacing w:after="0" w:line="243" w:lineRule="auto"/>
        <w:rPr>
          <w:sz w:val="20"/>
          <w:szCs w:val="20"/>
          <w:color w:val="auto"/>
        </w:rPr>
      </w:pPr>
      <w:r>
        <w:rPr>
          <w:rFonts w:ascii="Times New Roman" w:cs="Times New Roman" w:eastAsia="Times New Roman" w:hAnsi="Times New Roman"/>
          <w:sz w:val="17"/>
          <w:szCs w:val="17"/>
          <w:color w:val="auto"/>
        </w:rPr>
        <w:t>We operate within the large and expanding cannabis retail market in the United States and Canada. Cannabis is one of the fastest emerging consumer end markets in the U.S, and it is expected to grow from $20 billion in 2020 to in excess of $40 billion by 2025, representing a compound annual growth in excess of 15%. Currently, 38 states plus the District of Columbia have legalized medical cannabis, and 24 states plus the District of Columbia have legalized adult-use cannabis. While there is generally a lag period between the time a market adopts legislation permitting either medical or adult cannabis use and significant revenue generation by SpringBig, states that have recently enacted legalization measures, such as New York and New Jersey, are expected to contribute significant additional sales growth to the market by 2025 when they are expected to be fully operational. Further momentum from the legislative and regulatory changes is expected to drive expansion of the total addressable market as more states continue to legalize cannabis for adult-use and medical use. We operate in all states that have legalized cannabis in some form (be it adult-use or medical), and we plan to be a first-mover in future new markets. Additional tailwinds such as a decrease in raw material costs, intensifying competition amongst cannabis retailers and brands, and increased marketing spends by clients are also expected to contribute to the expansion of our total addressable market as customer engagement and retention will become ever more critical for cannabis retailers and brands to succeed.</w:t>
      </w:r>
    </w:p>
    <w:p>
      <w:pPr>
        <w:spacing w:after="0" w:line="200" w:lineRule="exact"/>
        <w:rPr>
          <w:sz w:val="20"/>
          <w:szCs w:val="20"/>
          <w:color w:val="auto"/>
        </w:rPr>
      </w:pPr>
    </w:p>
    <w:p>
      <w:pPr>
        <w:spacing w:after="0" w:line="207"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Current technology offerings to cannabis retailers and brands are rudimentary, and the technology landscape offers a highly fragmented environment with lots of competition within a pool of small players. We believe that SpringBig is the leading loyalty and marketing software platform of scale to the cannabis industry and that we are best positioned to capture the significant uptick expected in marketing spend. There are only a few cannabis-specific companies that provide products similar to our offering, and SpringBig currently does not face competition from traditional loyalty marketing providers due to legal restrictions for cannabis at the federal level; however, as described in “Key Challenges,” below, SpringBig believes it is well-positioned to provide differentiated value as the competitive landscape evolves.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Challenges</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stringent and evolving regulations, which vary state-by-state, restrict retailers’ and brands’ abilities to engage with customers, currently present significant challenges to their marketing efforts. In addition, these retailers and brands lack access to actionable data and analytics tools to market their products to customers efficiently.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Engagement Needs</w:t>
      </w:r>
    </w:p>
    <w:p>
      <w:pPr>
        <w:spacing w:after="0" w:line="239"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The cannabis industry is a highly fragmented and competitive industry where price and promotions are key drivers of sales. Further, traditional marketing channels restrict cannabis marketing, preventing businesses from marketing their products and reaching consumers. Google, Facebook, and other social media platforms serve as an outlet for businesses to market their products in most other industries, but they restrict cannabis companies from operating on their platforms. Some SMS providers also restrict licensed cannabis businesses from accessing networks, and these barriers currently make it challenging for cannabis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 w:name="page10"/>
    <w:bookmarkEnd w:id="9"/>
    <w:p>
      <w:pPr>
        <w:jc w:val="both"/>
        <w:spacing w:after="0" w:line="281" w:lineRule="auto"/>
        <w:rPr>
          <w:sz w:val="20"/>
          <w:szCs w:val="20"/>
          <w:color w:val="auto"/>
        </w:rPr>
      </w:pPr>
      <w:r>
        <w:rPr>
          <w:rFonts w:ascii="Times New Roman" w:cs="Times New Roman" w:eastAsia="Times New Roman" w:hAnsi="Times New Roman"/>
          <w:sz w:val="17"/>
          <w:szCs w:val="17"/>
          <w:color w:val="auto"/>
        </w:rPr>
        <w:t>retailers and brands to drive customer acquisition, retention, engagement, and loyalty. Furthermore, the continued penetration by cannabis focused e-commerce providers have increased competition and decreased customer loyalty for bricks and mortar cannabis retailers.</w:t>
      </w:r>
    </w:p>
    <w:p>
      <w:pPr>
        <w:spacing w:after="0" w:line="159"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SpringBig has developed and commercialized a comprehensive suite of SaaS solutions to address the challenges that cannabis retailers and brands face in this industry. Further, while cannabis clients do not currently have access to certain traditional marketing channels, including social media platforms, we believe that our platform’s products and services, in particular our data and analytics capabilities, position us well to provide significant value to cannabis retailers and brands whenever these social media platforms become available, by enabling these businesses to determine the effective targeting and focus of their marketing solutions and loyalty programs.</w:t>
      </w:r>
    </w:p>
    <w:p>
      <w:pPr>
        <w:spacing w:after="0" w:line="197"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As state-by-state legalization continues, we expect cannabis retailers and brands to look to expand and seek new ways to reach and engage customers efficiently.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 and Analytics Needs</w:t>
      </w:r>
    </w:p>
    <w:p>
      <w:pPr>
        <w:spacing w:after="0" w:line="239"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auto"/>
        </w:rPr>
        <w:t>In our experience, many cannabis retailers and brands lack access to customer feedback data that is essential to reach customers and build relationships with them efficiently. Additionally, we have found that cannabis retailers and brands do not currently have the technological infrastructure and analytical tools necessary to process the data they collect from customers into actionable data for marketing purposes. Unlike most other industries, the cannabis sector requires market intelligence and data solutions that are tailored to the specific needs of individual retailers, brands and consumers considering the current restrictive and evolving regulatory and legal environment. The current federal regulatory status of cannabis poses barriers of entry for large communication and data solution providers, representing a significant unmet need.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SpringBig Addresses These Challenges</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solutions are designed to address the key challenges faced by cannabis retailers and brands. Today’s industry participants lack sufficient visibility into customer behavior and need a solution that bridges communication between consumers, retailers and brands. We believe our solutions foster valuable connections and interactions that improve clarity, trust and satisfaction between these stakeholders.</w:t>
      </w:r>
    </w:p>
    <w:p>
      <w:pPr>
        <w:spacing w:after="0" w:line="18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Although carrier-imposed restrictions limit the use of blatant cannabis content being sent directly via SMS, SpringBig has developed a proprietary solution, compliant with TCPA, FCC, and Canadian CRTC, that helps cannabis retailers and brands communicate directly with their consumers, offering a direct communication and engagement channel, using text, images and other forms of media.</w:t>
      </w:r>
    </w:p>
    <w:p>
      <w:pPr>
        <w:spacing w:after="0" w:line="188"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believe our platform empowers our clients to improve and analyze customer acquisition, retention, basket spend and retail foot traffic. Retailers and brands can use SpringBig’s platform to connect with consumers, thus driving improvements in customer engagement and retention and increasing brand exposure. Once customers are engaged, the SpringBig platform enables businesses to amplify consumer spend through differentiated marketing solutions which target the consumer directly in an industry where doing so has been challenging in the past. While brand loyalty in the cannabis market has historically proven challenging, our offerings effectively connect the consumer with brands and drive loyalty.</w:t>
      </w:r>
    </w:p>
    <w:p>
      <w:pPr>
        <w:spacing w:after="0" w:line="184"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provide retailers with the analytics infrastructure to make data actionable. Our data solutions are purpose-built for the cannabis industry and enable our clients to leverage data to more effectively market their products to consumers. Through our integrations with 27 point of sale (“POS”) providers, 4 major cannabis e-commerce providers and other data providers, our platform offers robust consumer purchasing and marketing feedback data to allow our customers to take direct marketing and promotional actions. These commercial relationships take varying forms, depending on the relationship, including licensing and referral arrangements.</w:t>
      </w:r>
    </w:p>
    <w:p>
      <w:pPr>
        <w:spacing w:after="0" w:line="197"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Furthermore, our proprietary auto-connect module supports further automation of marketing campaigns based on data. We also offer marketing automation solutions that provide for consistency of customer communication, which retailers and brands can use to drive customer retention and retail foot traffic. Our platform offers functionality to help build brand loyalty through loyalty programs that offer various rewards and offers. Our reporting and analytics offerings deliver valuable insights that our clients utilize to better understand their customer base, purchasing habits and trends. Consumer actions become measurable, thus providing our clients with data that can be leveraged to make better informed business decisions and more targeted marketing campaigns.</w:t>
      </w:r>
    </w:p>
    <w:p>
      <w:pPr>
        <w:spacing w:after="0" w:line="197"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the cannabis industry, the retailer maintains the relationship with the consumer, and it is challenging in the current regulatory environment for brands to directly interact with those consumers. The SpringBig brands platform enables brands to directly interact with consumers in a manner that is otherwise not feasible, short of such brand independently compiling and maintaining a separate consumer database.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 w:name="page11"/>
    <w:bookmarkEnd w:id="10"/>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Through SMS marketing, emails, customer feedback system and loyalty programs, we believe our solutions are crucial in managing customer relationships in this emerging industry. In time, as legislation permits, our product offerings will likely be enhanced to incorporate other aspects of the customer experience, including further enhanced data analytics and, when legally permissible, online ordering and payments.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Retail Offering</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serve in excess of 1,300 retailers in approximately 2,600 distinct locations providing them with a comprehensive suite of tools needed to attract customers, market products, and analyze key data. We are entrenched with many of the leading multi-state operators which allows us to capture the “enterprise” customer base, while also being equally suited to the smaller cannabis retail operators.</w:t>
      </w:r>
    </w:p>
    <w:p>
      <w:pPr>
        <w:spacing w:after="0" w:line="188"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The anticipated growth of the cannabis retail market presents an opportunity to reach additional retailers as cannabis becomes more widely used and states continue to legalize. The tools that we provide allow retailers to engage and better communicate with their consumers. Further, SpringBig offers retailers robust reporting and analytics tools, which help them understand product and sales trends, track consumer activity, and gain insights that can be leveraged to drive sales.</w:t>
      </w:r>
    </w:p>
    <w:p>
      <w:pPr>
        <w:spacing w:after="0" w:line="397"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On the consumer side, we offer a suite of elegant consumer-facing products. The enrollment process is streamlined and designed to provide for compliance and clarity. Once enrolled, consumers can develop their profile, will receive appropriate messages and offers and access their retailer’s specific rewards wallet application, where multiple images, videos, and links can be added for the consumer to explore.</w:t>
      </w:r>
    </w:p>
    <w:p>
      <w:pPr>
        <w:spacing w:after="0" w:line="188"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An important component of our platform is digital message marketing, which allows clients to send promotions to existing customers via text, email or push notifications directly into a mobile app. Our digital messaging platform offers a variety of features, including multiple customer segmentations, which automatically groups customers into segments based on their preferences and purchase behavior. Retailers also have access to the “autoconnects” feature, which allows them to easily leverage customer data and send messages directly to consumers based on certain actions and also includes functionality to help clients avoid missed opportunities to send text messages. We also provide an e-signature app, designed to accommodate a proper ‘double opt-in’ procedure, through both implied and expressed consent, to facilitate compliance with the TCPA, FCC, and Canadian CRTC. Finally, campaign performance analytics provide transparency on deliverability and message opening rates. We utilize proprietary technology to filter out fake phone numbers, burner phones, and landlines. In an environment where communication with cannabis consumers is constrained, text messaging is extremely effective in influencing purchase behavior, while also driving foot traffic and continuing to reach new customers and target markets.</w:t>
      </w:r>
    </w:p>
    <w:p>
      <w:pPr>
        <w:spacing w:after="0" w:line="205"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Retailers compile highly-targeted marketing campaigns based on the consumer profiles and preferences and are provided with detailed campaign metrics that enable further refinement and enhanced targeting of future campaigns. The consumer application (wallet) itself can easily be customized with a distinct icon, name, layout, and color scheme, thus allowing for brand consistency and a higher-quality and frictionless customer experience. Here, customers can access and check their points, redeem rewards, and view upcoming offers. The wallet fully integrates with cannabis e-commerce providers, allowing customers to place orders directly from their wallet. The features and ease of use that comes with the SpringBig rewards wallet creates customer loyalty and establishes a relationship between the client and the consumer. Customer relationships are a crucial component in retail that has been restricted as a result of the complexities of the cannabis industry. Nonetheless, we have designed our platform to make this connection easy.</w:t>
      </w:r>
    </w:p>
    <w:p>
      <w:pPr>
        <w:spacing w:after="0" w:line="203"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The SpringBig platform also provides support for consumer feedback with robust dashboards that track key survey performance indicators that allow clients to measure customer satisfaction. The “Feedback by SpringBig” offering allows businesses to survey customers post-purchase, track and analyze feedback, and then take action based on this information. From the initial online search to in-store purchase, clients possess the ability to track the entire customer experience. Comprehensive reports give clients the tools to better understand customer trends, and allows the retailer to analyze specific operational, product, and promotional opportunities. By identifying key trends, our users are able to improve customer loyalty and increase retention.</w:t>
      </w:r>
    </w:p>
    <w:p>
      <w:pPr>
        <w:spacing w:after="0" w:line="197"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SpringBig offers retailers powerful insight dashboards that provide comprehensive data that can be used to make informed business decisions. Our platform also allows retailers to create marketing campaigns, ensuring that consumers receive all relevant promotions. Once a campaign launches, retailers are able to analyze in-depth data in order to measure campaign success. ERP-level customer data management and analysis also allow retailers to organize their sales funnel and provide a personalized, targeted approach to marketing campaigns.</w:t>
      </w:r>
    </w:p>
    <w:p>
      <w:pPr>
        <w:spacing w:after="0" w:line="195"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Our platform integrates with many of the leading POS systems in the cannabis industry, which allows retailers to simplify workstreams by automatically collecting a plethora of data on consumers. Integrating our marketing automation software with the retailer’s POS system makes for more efficient management of customer relationships and facilitates using specific POS data in design and implementation of marketing campaigns. With integrations, in real-time retailers can review performance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p>
      <w:pPr>
        <w:jc w:val="both"/>
        <w:spacing w:after="0" w:line="281" w:lineRule="auto"/>
        <w:rPr>
          <w:sz w:val="20"/>
          <w:szCs w:val="20"/>
          <w:color w:val="auto"/>
        </w:rPr>
      </w:pPr>
      <w:r>
        <w:rPr>
          <w:rFonts w:ascii="Times New Roman" w:cs="Times New Roman" w:eastAsia="Times New Roman" w:hAnsi="Times New Roman"/>
          <w:sz w:val="17"/>
          <w:szCs w:val="17"/>
          <w:color w:val="auto"/>
        </w:rPr>
        <w:t>results and the return on investment (“ROI”) for each marketing campaign. Additionally, the SpringBig clients are also able to ascertain which cannabis brands and products perform the best, thus allowing retailers to customize meaningful messaging and offers for their customer base.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Brand Marketing Platform</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Our brand marketing platform offers a leading direct-to-consumer marketing automation platform in the cannabis industry. The data-rich direct-to-consumer marketing engine allows brands to target and measure the complete transaction cycle from initial engagement through point of sale.</w:t>
      </w:r>
    </w:p>
    <w:p>
      <w:pPr>
        <w:spacing w:after="0" w:line="17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provide cannabis brands with the opportunity to provide content that, in turn, our retail clients can utilize in their targeted consumer marketing campaigns. This provides the brand with differentiated access to the consumer and that can be effectively leveraged through the brand and retailer cooperating in a promotional campaign on our platform.</w:t>
      </w:r>
    </w:p>
    <w:p>
      <w:pPr>
        <w:spacing w:after="0" w:line="188"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Brands aim to materially increase their brand awareness, expand retail partnerships and acquire and retain new customers. The SpringBig brands platform provides brand clients with access to detailed reports that offer valuable insights into essential campaign attribution metrics. There are approximately 6,700 existing cannabis brands in the U.S., and this early-stage initiative represents a significant future growth opportunity for us. Our marketing database with over 35 million consumers is a highly-differentiated SpringBig asset that powers cannabis brands in driving brand recognition and promoting awareness.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 and Data Assets</w:t>
      </w:r>
    </w:p>
    <w:p>
      <w:pPr>
        <w:spacing w:after="0" w:line="239"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auto"/>
        </w:rPr>
        <w:t>We have created a distinct B2B2C platform supported by a wealth of data assets to effectively monetize our large and growing base of cannabis consumers. Currently, the cannabis industry falls significantly short of market intelligence and data solutions that would typically be found in other industries: retailers lack analytics infrastructure to make data actionable for marketing, and lack of feedback data poses challenges for brands to reach and establish relationships with consumers directly. Our leading messaging, loyalty, and customer experience platform recognizes powerful network effects among brands, retailers, and cannabis consumers to enable our clients to make better business decisions. We retain retailers as paying SaaS subscription customers, who then acquire consumers. Brands target retailers that successfully acquire loyal consumers, which drives increased retailer interest and recurring revenue.</w:t>
      </w:r>
    </w:p>
    <w:p>
      <w:pPr>
        <w:spacing w:after="0" w:line="201"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The SpringBig platform is also supported by large data assets created by our fully integrated cannabis technology ecosystem. We partner with industry leading data analytics, e-commerce, and POS providers to monetize our base of over 40 million consumers and generate revenue for our clients.</w:t>
      </w:r>
    </w:p>
    <w:p>
      <w:pPr>
        <w:spacing w:after="0" w:line="17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intend to continue to invest in our platform to enhance its functionality and the value of our data assets so that both we and our clients can continue to grow. We anticipate building on our existing platform infrastructure so that we are well positioned to benefit from the further emergence of the burgeoning cannabis and cannabis-tech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Regulatory Considerations and How We Adapt to Changing Regulatory Landscape</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SpringBig helps drive regulatory compliance. We pride ourselves on being ahead of the curve when it comes to changes to regulations to both SMS and to the overall cannabis landscape.</w:t>
      </w:r>
    </w:p>
    <w:p>
      <w:pPr>
        <w:spacing w:after="0" w:line="172"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The TCPA prohibits autodialed text messages, unless made with the prior express, written consent of the receiving party, to any telephone number assigned to a cell phone. Additionally, mobile carriers act as gatekeepers between businesses and consumers. The Cellular Telecommunications Industry Association (“CTIA”), a trade organization for mobile carriers (including SpringBig’s messaging distributors), periodically issues industry best practice guidance which currently includes prohibiting messaging content that contains or promotes sex, hate, alcohol, firearms, or tobacco (referred to as “SHAFT”), and interpretation of this guidance includes cannabis within the tobacco category. SpringBig’s platform (including, in particular, its text message marketing) is designed to ensure compliance with TCPA, SHAFT guidelines, and other applicable CTIA guidance; SpringBig proactively monitors and, as necessary, adapts its platform and services to comply with these guidelines and standards. Further, as part of its proactive monitoring of mobile carriers’ guidelines, SpringBig endeavors to maintain close relationships with our messaging distributors, and as such, have been made well aware of any carrier-implemented restrictions that may impact the way cannabis retailers and brands communicate with their consumers via SMS. These relationships have allowed us to continue servicing our customers in a rapidly changing environment, with no disruption of service or restrictions from sending messages from major carriers.</w:t>
      </w:r>
    </w:p>
    <w:p>
      <w:pPr>
        <w:spacing w:after="0" w:line="203"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SpringBig’s customers can utilize the platform consent interface or other means to obtain the consumer’s consent that is required to receive messages, and, as an integral part of its services, SpringBig creates templates for its retail customers that are in compliance with SHAFT guidelines to use in promotional messaging. The approved templates do not explicitly discuss or promote cannabis, but rather provide general information about the retailer, the consumer’s reward status and can also incorporate a link that directs opted-in consumers to additional promotional material created by the retailer customers.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As a third-party provider of a software platform, state cannabis regulatory marketing rules generally do not apply to SpringBig. SpringBig’s retail customers are responsible for ensuring that their marketing materials comply with state law.</w:t>
      </w:r>
    </w:p>
    <w:p>
      <w:pPr>
        <w:spacing w:after="0" w:line="159"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Additionally, SpringBig has instituted policies and procedures to verify the licensing status of our clients (which are utilized in on-boarding both retail and brand clients in addition to other client diligence) and to conduct periodic screening to confirm the continued licensing status of our clients. Further, SpringBig is constantly monitoring proposed and pending legislative changes on the state and federal level. We have an emerging markets-focused sales team that is designed to ensure SpringBig is developing relationships with retailers, brands, and partners in emerging markets, so when the legalization status changes, those retailers, brands and potential partners already have a deep partnership formed with SpringBig. One of the primary ways we do this is through our “Greenhouse” program. This program allows licensed retailers who have not yet opened their doors to build their potential consumer list, design their loyalty program, and meet our extensive partnership network to help inform their tech stack decisions as they move towards being fully operational. We have found that this program has helped us make headway in the emerging cannabis markets and sets up the foundation for a strong partnership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We believe that we are a leading provider of customer loyalty and marketing automation solutions to cannabis retailers and brands, and our key competitive strengths are the following:</w:t>
      </w:r>
    </w:p>
    <w:p>
      <w:pPr>
        <w:spacing w:after="0" w:line="168"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a leading direct-to-consumer marketing and customer loyalty platform in the cannabis industry. </w:t>
      </w:r>
      <w:r>
        <w:rPr>
          <w:rFonts w:ascii="Times New Roman" w:cs="Times New Roman" w:eastAsia="Times New Roman" w:hAnsi="Times New Roman"/>
          <w:sz w:val="17"/>
          <w:szCs w:val="17"/>
          <w:color w:val="auto"/>
        </w:rPr>
        <w:t>We are the largest loyalty &amp; marketing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automation provider in the cannabis space with over 35 million consumers enrolled in our platform, and over 1,300 retailer and brand customers with approximately 2,600 discrete retail locations. We started serving the cannabis market in 2016 and were a pioneer in providing SMS marketing solutions to cannabis retailers. As we expanded our customer base, platform and solutions, we now serve approximately one-third of all retail locations in the United States. We partner with many of the leading multi-state-operators (“MSOs”). We believe that our differentiated suite of solutions and deep understanding of customer needs will enable us to expand our leadership position as we grow into existing and new markets and expand our offering.</w:t>
      </w:r>
    </w:p>
    <w:p>
      <w:pPr>
        <w:spacing w:after="0" w:line="200"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have a diverse geographic footprint, with operations in all states that have legalized cannabis in some form. We believe that our broader geographic footprint, scope of operations, and established position in the industry all support our efforts to be a first mover in future new markets and also may make it more difficult, time-intensive and costly for competitors to replicate.</w:t>
      </w:r>
    </w:p>
    <w:p>
      <w:pPr>
        <w:spacing w:after="0" w:line="184" w:lineRule="exact"/>
        <w:rPr>
          <w:sz w:val="20"/>
          <w:szCs w:val="20"/>
          <w:color w:val="auto"/>
        </w:rPr>
      </w:pPr>
    </w:p>
    <w:p>
      <w:pPr>
        <w:jc w:val="both"/>
        <w:ind w:firstLine="34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provide critical value to our customers. </w:t>
      </w:r>
      <w:r>
        <w:rPr>
          <w:rFonts w:ascii="Times New Roman" w:cs="Times New Roman" w:eastAsia="Times New Roman" w:hAnsi="Times New Roman"/>
          <w:sz w:val="17"/>
          <w:szCs w:val="17"/>
          <w:color w:val="auto"/>
        </w:rPr>
        <w:t>Loyalty and messaging are critical for cannabis retailers and brands to directly engage, connect, and retain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customer base. Our suite of solutions is designed to enable our customers to engage with their consumers in an efficient way, sustainably driving customer retention, acquisition, spend and foot-traffic. On average, our clients are able to recover the cost of their monthly subscription for the SpringBig platform within a couple of days of utilizing our offerings each month. In addition, we have successfully integrated with 27 of the industry’s leading POS systems, which enables us to collect and analyze consumer data and feedback, providing our clients with actionable insights for marketing purposes, and we have also completed our initial POS system integration outside of the cannabis industry.</w:t>
      </w:r>
    </w:p>
    <w:p>
      <w:pPr>
        <w:spacing w:after="0" w:line="185"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addition to the value provided through our platform, we believe that the quality of our client service and our responsiveness to clients provides us with a competitive advantage. Management believes that our established presence in the industry and personal one-on-one service philosophy enhances our ability to compete favorably in attracting and retaining clients.</w:t>
      </w:r>
    </w:p>
    <w:p>
      <w:pPr>
        <w:spacing w:after="0" w:line="184"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a deep expertise of marketing regulation in the cannabis industry and the challenges faced by our clients. </w:t>
      </w:r>
      <w:r>
        <w:rPr>
          <w:rFonts w:ascii="Times New Roman" w:cs="Times New Roman" w:eastAsia="Times New Roman" w:hAnsi="Times New Roman"/>
          <w:sz w:val="17"/>
          <w:szCs w:val="17"/>
          <w:color w:val="auto"/>
        </w:rPr>
        <w:t>We entered the cannabis market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2016 and have leveraged our management’s expertise in loyalty programs and marketing automation from other sectors to solve the challenges faced by cannabis retailers and brands to engage with their customers and increase retention. We have designed specific campaign and communication solutions that comply with cannabis regulation and are rapidly implementable by our clients as they expand in the high growth and highly competitive cannabis industry. We are highly differentiated from our competitors in several ways. We have integrations with 27 POS providers in the cannabis market, and these integrations allow our clients to offer their consumers a seamless experience for points redemption and loyalty program enrollment. Additionally, we have invested, and continue to invest significantly in ensuring we have a robust, scalable business, with a particular emphasis on client success and engineering. While SpringBig does not obtain customers on behalf of our clients, our client success organization services each client from contract signing throughout their life with SpringBig, providing onboarding services, and on-going education and support. This team is also responsible for guiding our clients through the ever-changing regulatory environment. Our engineering team, primarily based in the U.S., is constantly working to enhance the platform with the addition of new features and functionality at a regular cadence to ensure we remain significantly ahead of our competitors in this regard.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jc w:val="both"/>
        <w:ind w:firstLine="34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the highly regarded platform of choice to consolidate the highly fragmented cannabis technology ecosystem. </w:t>
      </w:r>
      <w:r>
        <w:rPr>
          <w:rFonts w:ascii="Times New Roman" w:cs="Times New Roman" w:eastAsia="Times New Roman" w:hAnsi="Times New Roman"/>
          <w:sz w:val="17"/>
          <w:szCs w:val="17"/>
          <w:color w:val="auto"/>
        </w:rPr>
        <w:t>As a leading provider of customer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loyalty and marketing automation solutions to cannabis retailer and brands, we are well positioned to be a consolidator of a highly fragmented technology ecosystem. Our growth strategy is informed by our clients’ needs, and we have meaningful visibility into such needs as a result of the wealth of data our platform provides. We plan to create significant value by leveraging consumer purchasing and feedback data across multiple new vertical software offerings across loyalty, data analytics, and, when legally permissible, online ordering and payments.</w:t>
      </w:r>
    </w:p>
    <w:p>
      <w:pPr>
        <w:spacing w:after="0" w:line="19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assembled a highly experienced senior management team to execute on our strategy. </w:t>
      </w:r>
      <w:r>
        <w:rPr>
          <w:rFonts w:ascii="Times New Roman" w:cs="Times New Roman" w:eastAsia="Times New Roman" w:hAnsi="Times New Roman"/>
          <w:sz w:val="17"/>
          <w:szCs w:val="17"/>
          <w:color w:val="auto"/>
        </w:rPr>
        <w:t>Our Chief Executive Officer and Founder, Jeffrey Harris,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over 35 years of deep industry experience and has successfully founded loyalty marketing businesses in the past. Our Chief Financial Officer, Paul Sykes, has over 20 years of experience as CFO of high-growth SaaS businesses in a public company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goal is to become the leading SaaS software platform to cannabis retailers and brands, providing data-driven loyalty, marketing and consumer buying experience solutions throughout the U.S. and Canada and to expand into other regulated markets.. In order to achieve our goal, we plan to implement the following organic and M&amp;A growth strategies along with expanding in keeping with the changing regulatory landscape in the U.S.</w:t>
      </w:r>
    </w:p>
    <w:p>
      <w:pPr>
        <w:spacing w:after="0" w:line="188" w:lineRule="exact"/>
        <w:rPr>
          <w:sz w:val="20"/>
          <w:szCs w:val="20"/>
          <w:color w:val="auto"/>
        </w:rPr>
      </w:pPr>
    </w:p>
    <w:p>
      <w:pPr>
        <w:jc w:val="both"/>
        <w:ind w:firstLine="629"/>
        <w:spacing w:after="0" w:line="246" w:lineRule="auto"/>
        <w:rPr>
          <w:sz w:val="20"/>
          <w:szCs w:val="20"/>
          <w:color w:val="auto"/>
        </w:rPr>
      </w:pPr>
      <w:r>
        <w:rPr>
          <w:rFonts w:ascii="Times New Roman" w:cs="Times New Roman" w:eastAsia="Times New Roman" w:hAnsi="Times New Roman"/>
          <w:sz w:val="17"/>
          <w:szCs w:val="17"/>
          <w:color w:val="auto"/>
        </w:rPr>
        <w:t>As of today, we service approximately 1,300 retailer and brand clients with approximately 2,600 retail locations, which is comprised of many of the largest multi-state cannabis companies and a significant number of single-state operators. Our excellent reputation in the cannabis market and comprehensive solutions offering provide us with the opportunity to expand our footprint and grow these accounts via up-selling and cross-selling. We grow alongside our clients via a “flywheel” effect as we benefit from the growth of their businesses and expansion of their customer base, which is, in turn, enabled by their use of our platform. We have a track record of using our comprehensive product offerings and results-driven proposition to grow our relationships with clients and drive revenue.</w:t>
      </w:r>
    </w:p>
    <w:p>
      <w:pPr>
        <w:spacing w:after="0" w:line="200" w:lineRule="exact"/>
        <w:rPr>
          <w:sz w:val="20"/>
          <w:szCs w:val="20"/>
          <w:color w:val="auto"/>
        </w:rPr>
      </w:pPr>
    </w:p>
    <w:p>
      <w:pPr>
        <w:spacing w:after="0" w:line="201"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We also plan to grow our business by expanding accounts with existing clients that may not have initially leveraged our platform for all of their locations. Our clients realize significant returns on investment and increased customer engagement, which has historically driven the success of our land and expand strategy. In addition, we expect to further our penetration with existing clients as they enter new markets, as our platform will touch more end-customers and gather more actionable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Further Penetrate Existing Markets</w:t>
      </w:r>
    </w:p>
    <w:p>
      <w:pPr>
        <w:spacing w:after="0" w:line="239"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plan to leverage and expand our existing sales force and marketing strategy to acquire additional cannabis retailers and brands as new clients. We have a successful track record of consistently adding new clients. As existing markets in legalized states expand and cannabis becomes more widely used, we believe our existing presence positions us to continue to gain market share. We believe that the continued growth of the cannabis market and evolution of regulation, both in terms of legalizing recreational and medical use cannabis (as described below) as well as regarding communications and advertisements, will drive further adoption of our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Medical and Recreational Markets</w:t>
      </w:r>
    </w:p>
    <w:p>
      <w:pPr>
        <w:spacing w:after="0" w:line="239"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As an increasing number of states in the U.S. legalize medical cannabis use or transition from medical to recreational cannabis use, a significant growth opportunity presents itself as the number of retailers, the consumer base and total spend all increase. We have historically been responsive as a first-mover into new medical and adult-use markets as they become legal, which gives us a significant competitive advantage to grow as state by state legalization evolves. We believe our deep understanding of the space coupled with our experienced sales force will enable us to quickly enter and execute in new markets and capture new business, which we can sustain via our exceptional product offerings. SpringBig entered the Canadian market in February 2021 through acquiring a Canadian business and we now provide full-servicing of our Canadian clients through our Toronto office.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Features and Functionality</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intend to continue investing in and develop our technology capabilities to offer our clients more advanced and comprehensive solutions. This will help enable us to extend our platform beyond our core offering which presents significant upsell opportunities. The introduction during 2023 of a paid-for premium loyalty tier is an example of such opportunities.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Monetization of GMV</w:t>
      </w:r>
    </w:p>
    <w:p>
      <w:pPr>
        <w:spacing w:after="0" w:line="239"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7"/>
          <w:szCs w:val="17"/>
          <w:color w:val="auto"/>
        </w:rPr>
        <w:t>Approximately $7.8 billion of GMV is currently processed by the retailers that are on our platform. Through our entrenched position with retailers delivering mission critical messaging and loyalty solutions, we believe we are well-positioned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4" w:name="page15"/>
    <w:bookmarkEnd w:id="14"/>
    <w:p>
      <w:pPr>
        <w:jc w:val="both"/>
        <w:spacing w:after="0" w:line="246" w:lineRule="auto"/>
        <w:rPr>
          <w:sz w:val="20"/>
          <w:szCs w:val="20"/>
          <w:color w:val="auto"/>
        </w:rPr>
      </w:pPr>
      <w:r>
        <w:rPr>
          <w:rFonts w:ascii="Times New Roman" w:cs="Times New Roman" w:eastAsia="Times New Roman" w:hAnsi="Times New Roman"/>
          <w:sz w:val="17"/>
          <w:szCs w:val="17"/>
          <w:color w:val="auto"/>
        </w:rPr>
        <w:t>to monetize a portion of GMV through payments and reward points. We plan to capture a portion of this spend through the SpringBig rewards wallet solution that our current clients utilize to manage their rewards program and have recently introduced a gift card payment option. Additionally, with over 35 million consumers and 27 POS integrations, we have access to a wealth of data that drive our proprietary insights. While these integrations assist in our ability to offer feedback to our customers, these commercial relationships do not represent a material amount of SpringBig’s revenues, constitute a material amount of shared revenue, or constitute a material distribution source for SpringBig. However, we believe there is a path to monetize this data and create new revenue opportunities.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Brands</w:t>
      </w:r>
    </w:p>
    <w:p>
      <w:pPr>
        <w:spacing w:after="0" w:line="239"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We expect brand revenue to drive a significant part of our growth going forward, and we are focused on capturing a portion of the over 6,700 brands that are in the cannabis space today. We rolled out the SpringBig brands offering in 2020, which has allowed us to grow spend across our client base. As the cannabis industry matures, we believe the continued proliferation of branded products will meaningfully drive their sales and marketing spend to the cannabis industry, with a trajectory that will surpass that of retailers in the future. As brands grow in scale and become nationally recognizable, we are well positioned to capture a significant share of the communication, engagement and loyalty dollars spent by brands and therefore Brands clients will start to represent a more significant proportion of SpringBig’s total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M&amp;A</w:t>
      </w:r>
    </w:p>
    <w:p>
      <w:pPr>
        <w:spacing w:after="0" w:line="239" w:lineRule="exact"/>
        <w:rPr>
          <w:sz w:val="20"/>
          <w:szCs w:val="20"/>
          <w:color w:val="auto"/>
        </w:rPr>
      </w:pPr>
    </w:p>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As a leading provider of customer loyalty and marketing automation solutions to cannabis retailer and brands, we have differentiated insights into the critical needs of the cannabis industry. Our M&amp;A strategy is informed by our client feedback, and we have identified the following needs that guide our M&amp;A strategic focus:</w:t>
      </w:r>
    </w:p>
    <w:p>
      <w:pPr>
        <w:spacing w:after="0" w:line="195" w:lineRule="exact"/>
        <w:rPr>
          <w:sz w:val="20"/>
          <w:szCs w:val="20"/>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retailers and brands lack actionable data and need better insight and recommendation technology.</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Purpose-built marketing technology and targeting is necessary to improve consumer acquisition and retention.</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cannabis industry lacks robust fintech solutions, including processing of payments and consumer credit.</w:t>
      </w:r>
    </w:p>
    <w:p>
      <w:pPr>
        <w:spacing w:after="0" w:line="237"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cannabis technology space is highly fragmented, and we believe that we are well positioned to be a leading consolidator. We intend to explore M&amp;A opportunities in adjacencies that address our client’s critical needs, and enable us to expand our product and service offerings, expand our geographic reach, increase our scale and realize material revenue and cost synergies.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239"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Our sales team is primarily based out of our Boca Raton, Florida headquarters with additional team members in our Canadian office in Toronto, Ontario and client services support staff at both these locations and in Seattle, Washington to assist new and existing clients. As of December 31, 2023, of the 83 people we employed, 38 individuals focused exclusively on selling and client service. Our sales force is well versed in our offerings, including consumer facing, retailer platform, and brand platform products.</w:t>
      </w:r>
    </w:p>
    <w:p>
      <w:pPr>
        <w:spacing w:after="0" w:line="18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As we continue to scale, we expect to continue to recognize significant efficiencies with our sales effort. Currently, our primary focus revolves around converting inbound leads, as cannabis retailers and brands look to join our platform upon beginning their operations. We also utilize state cannabis regulators’ lists of licensees to internally generate client leads.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Similar to our sales efforts, we expect to continue to achieve marketing efficiency as we scale our business. We believe our platform’s scale and strong customer loyalty market themselves, however we still intend to implement a variety of marketing efforts to attract additional retailers and brands not yet on our platform. Marketing efforts include multiple strategies designed to attract and retain both retail and brands subscribers.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invested significantly to create a fully integrated technology stack that connects the three categories of participants in the cannabis ecosystem, namely the customers, retailers, and brands. By partnering with other industry leaders through various data analytics, e-commerce and POS platforms, we help to enhance engagement, analytics, and create a truly omni-channel experience for our clients and their customers.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Our suite of SaaS-based solutions provides cutting-edge technologies, and we continue to be the database of record for over a thousand cannabis businesses, with customer profiles being created first through our loyalty platform, and through integration of our platform with POS systems, where we can collect crucial data points through POS transactions.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Concentration</w:t>
      </w:r>
    </w:p>
    <w:p>
      <w:pPr>
        <w:spacing w:after="0" w:line="239"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We have a diversified client base of approximately 1,300 clients with approximately 2,600 retail locations. No single client accounted for more than 14% of revenue for the year ended December 31, 2023, and 11% of revenue for the year ended December 31, 2022. Our top 10 clients accounted for 34% and 27% of total revenue over the same periods. In addition, our revenue is well-diversified across the U.S. and Canada. No single state or province generated more than 15% our revenue for the years ended December 31, 2023 and December 31,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&amp; Development</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conduct concerted product development efforts focused on implementing new, value-add features to our platform, as well as developing new solutions that increase functionality, data-driven actionable insights and enhance ease of use throughout the customer journey. We expect our research and development expenses to remain consistent as a percentage of total revenue with increased growth continuing to support product enhancements.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39" w:lineRule="exact"/>
        <w:rPr>
          <w:sz w:val="20"/>
          <w:szCs w:val="20"/>
          <w:color w:val="auto"/>
        </w:rPr>
      </w:pPr>
    </w:p>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We have not experienced a significant impact on our results due to seasonality. However, our clients may experience seasonality in their businesses that, in turn, can impact the revenue generated from them. Our business may become more seasonal in the future and historical patterns in our business may not be a reliable indicator of future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direct competitors for various elements of our offerings and services include businesses both within and outside of the cannabis industry that are specifically focused on marketing and customer engagement, commerce and POS solutions or SaaS software, as well as companies focused on technology solutions focused on the cannabis industry.</w:t>
      </w:r>
    </w:p>
    <w:p>
      <w:pPr>
        <w:spacing w:after="0" w:line="188"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believe that the principal competitive factors in our market include: the scale of our operations in all states that have legalized cannabis in some form and the ability to be a first mover in future new markets, the ability to offer comprehensive services across customer relationship management (“CRM”) and marketing software, the ability to support client promotions and the building of loyalty with end-consumers and increase retention, the ability to collect and analyze consumer data and feedback (and providing clients with actionable insights for marketing purposes), and effective communications and marketing to end-customers. We believe we compete favorably based on these factors.</w:t>
      </w:r>
    </w:p>
    <w:p>
      <w:pPr>
        <w:spacing w:after="0" w:line="197"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For additional information about the risks to our business related to competition, see the section captioned “Risk Factors—Risks Related to SpringBig’s Business and Industry—We currently face intense competition in marketing and advertising services available to our clients, and we expect competition to further intensify as the cannabis industry continues to evolve.”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188"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We have an ongoing trademark and service mark registration program pursuant to which we register our brand names in the United States. As of December 31, 2023, we have been issued trademark registrations in the United States, covering among other marks, “SpringBig.”</w:t>
      </w:r>
    </w:p>
    <w:p>
      <w:pPr>
        <w:spacing w:after="0" w:line="17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88"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172"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Circumstances outside our control could pose a threat to our intellectual property rights. For more information, see the section entitled “Risk Factors— Risks Related to SpringBig’s Intellectual Property.”</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239" w:lineRule="exact"/>
        <w:rPr>
          <w:sz w:val="20"/>
          <w:szCs w:val="20"/>
          <w:color w:val="auto"/>
        </w:rPr>
      </w:pPr>
    </w:p>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As of December 31, 2023, we had 83 full-time employees, including employees focused on engineering, client success, corporate development, brands, digital message and general and administrative and professional services. We also engage independent contractors to supplement our permanent workforce. 73 employees are located in the United States and 10 employees are located in Canada.</w:t>
      </w:r>
    </w:p>
    <w:p>
      <w:pPr>
        <w:spacing w:after="0" w:line="195"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We believe that being able to attract and retain top talent is both a strategic advantage for SpringBig and necessary to realize our objectives for our business. We consider our relations with our employees to be good. None of our employees are represented by a labor union or covered by collective bargaining agreements, and we have not experienced any work stoppages.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were originally formed on January 24, 2020 under the name “Tuatara Capital Acquisition Corporation,” as a blank check company incorporated as a Cayman Islands exempted company, incorporated for the purpose of effecting a merger, amalgamation, share exchange, asset acquisition, share purchase, reorganization or similar business combination with one or more businesses. On June 13, 2022, in anticipation of the consummation of the previously announced business combination among Tuatara, Merger Sub and Legacy SpringBig, Tuatara changed its jurisdiction of incorporation by deregistering as a Cayman Islands exempted company and continuing and domesticating as a corporation incorporated under the laws of the State of Delaware and it then changed its name to SpringBig Holdings, Inc.</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principal executive office is located at 621 NW 53rd Street, Suite 500, Boca Raton, Florida 33487. Our telephone number is (800) 772-9172. Our website address is www.springbig.com.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Our business involves a high degree of risk. You should carefully consider the risks described below, together with the other information contained in this Annual Report on Form 10-K, as well as the risks, uncertainties and other information set forth in the reports and other materials filed or furnished by us with the SEC. We cannot assure you that any of the events discussed in the risk factors below will not occur. These risks could have a material and adverse impact on our business, prospects, results of operations, financial condition and cash flows.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have a relatively short operating history in a rapidly evolving industry, which makes it difficult to evaluate our future prospects and may increase the risk that we will not be successful. We may not be able to generate sufficient revenue to maintain profitability in the future.</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a relatively short operating history in a quickly evolving industry that may not develop as we anticipate, if at all. Both our relatively short operating history and the pace of dramatic change in the cannabis industry, and the complex, multiple and sometimes conflicting regulatory regimes applicable to it, makes it difficult to assess our future prospects, and you should evaluate our business in light of the risks and difficulties we may encounter as the industry continues to evolve. While our revenue has grown in recent periods, this growth may not be sustainable due to a number of factors, including the maturation of our business, increased competition and the eventual decline in the number of new major geographic markets in which the sale of cannabis is permitted and to which we have not already expanded. We may not be able to generate sufficient revenue to achieve and sustain profitability.</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Additionally, we may incur increased expenditures which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3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do not successfully develop and deploy new software, platform features or services to address the needs of our clients, our business, financial condition, and results of operations could suffer.</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success has been based on our ability to design software, platform features and services that address the needs of our clients. We spend substantial amounts of time and money researching and developing new technologies and enhanced versions of existing platform features, as well as new features, to meet our clients’ rapidly evolving needs. As consumers and clients demand comprehensive data analysis from platforms such as us, in conjunction with their point-of-sale providers, our ability to integrate with a client’s POS system and other third party technology integrations may become increasingly important. If we are unable to arrange or complete new integrations, or improve our existing integrations, we may lose market share to competitors.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7" w:name="page18"/>
    <w:bookmarkEnd w:id="17"/>
    <w:p>
      <w:pPr>
        <w:jc w:val="both"/>
        <w:spacing w:after="0" w:line="249" w:lineRule="auto"/>
        <w:rPr>
          <w:sz w:val="20"/>
          <w:szCs w:val="20"/>
          <w:color w:val="auto"/>
        </w:rPr>
      </w:pPr>
      <w:r>
        <w:rPr>
          <w:rFonts w:ascii="Times New Roman" w:cs="Times New Roman" w:eastAsia="Times New Roman" w:hAnsi="Times New Roman"/>
          <w:sz w:val="17"/>
          <w:szCs w:val="17"/>
          <w:color w:val="auto"/>
        </w:rPr>
        <w:t>There is no assurance that enhancements to our software, platform features or new services or capabilities will be compelling to our clients or gain market acceptance. If our research and development investments do not accurately anticipate market demand or if we fail to develop our software, platform features or services in a manner that satisfies client preferences in a timely and cost-effective manner, we may fail to retain our existing clients or increase demand for our services.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service offerings could make our platforms obsolete or adversely affect our business, financial condition, and results of operations. We may experience difficulties with software development, design, or marketing that delay or prevent our development, introduction or implementation of new platforms, platform features or capabilities, or cause errors to arise with our existing software. We have in the past experienced delays in our internally planned release dates of new features and capabilities, and there can be no assurance that new platforms, platform features, or capabilities will be released according to schedule. Any delays or other disruptions could result in adverse publicity, loss of revenue or market acceptance, or claims by consumers or suppliers brought against us, any of which could harm our business. Moreover, the design and development of new platforms or new platform features and capabilities to our existing platform may require substantial investment, and we have no assurance that such investments will be successful. If consumers in the market do not widely adopt our new platforms, platform features, and capabilities, we may not be able to realize a return on our investment and our business, financial condition, and results of operations may be adversely affected.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compete in a dynamic, innovative, and fairly new market, which we expect will continue to evolve rapidly. We believe that our success is dependent on our ability to continue identifying and anticipating the needs of our clients and, in turn, their consumers, and retaining our existing clients and adding new clients. While we have historically been able to grow and retain our client base, we may grow more slowly than we expect or than we have grown in the past. Our ability to retain clients depends in part on our ability to create and maintain high levels of client satisfaction, which we may not always be capable of providing, including for reasons outside of our control. Any decrease in client satisfaction or other change negatively affecting our ability to retain clients could result in a rapid, concentrated impact to our results going forward. Therefore, our failure to retain existing clients, even if such losses are offset by an increase in revenue resulting from the acquisition of new clients, could have an adverse effect on our business and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expand effectively into new markets, our revenue and business will be adversely affected.</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While a key part of our business strategy is to add clients in our existing geographic markets, we intend to expand our operations into new markets if and as cannabis continues to be legalized in new markets.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have a significant working capital deficiency and a history of losses, may need to raise additional funds to meet our obligations and sustain our operations and may not achieve profitability in the future.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SpringBig is an early-stage company with a history of losses. We incurred net losses of $10.2 million and $13.1 million for the years ended December 31, 2023 and December 31, 2022, respectively. In addition, as of December 31, 2023, we had a working capital deficiency of $9.1 million and we may need to raise additional funds to meet our obligations and sustain our operations. SpringBig may not achieve or maintain profitability in the future. We may continue to incur net losses in the future, and such losses may fluctuate significantly from quarter to quarter. We will need to generate and sustain higher revenue for our business generally, and achieve greater scale and generate greater operating cash flows in future periods in order to achieve and maintain profitability.</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efforts to grow our business may be more costly than we expect, and we may not be able to increase our revenue sufficiently to offset our higher operating expenses. We may continue to incur significant losses, and we may not achieve or maintain future profitability, due to a number of reasons, including the risks described in this report, unforeseen expenses, difficulties, complications and delays, and other unknown events. Furthermore, if our future growth and operating performance fail to meet investor or analyst expectations, or if we have future negative cash flow or losses resulting from our investment 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7"/>
          <w:szCs w:val="17"/>
          <w:color w:val="auto"/>
        </w:rPr>
        <w:t>acquiring customers or expanding our operations, this could make it difficult for you to evaluate our current business and our future prospects and may have a material adverse effect on our business, financial condition and results of operations.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Further, to the extent any law enforcement actions require us to respond to subpoenas, or undergo search warrants, for client records, cannabis businesses could elect to cease using our products and services. Until the U.S. federal government changes the laws with respect to cannabis, described below under the caption “Cannabis remains illegal under federal law, and therefore, strict enforcement of federal laws regarding cannabis would likely result in our inability to execute our business plan,”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While we have instituted policies and procedures in connection with the verification and periodic screening of the licensing status of our clients operating cannabis retail businesses (and our contracts with clients generally provide for client representations relating to compliance, termination of services in the case of client noncompliance, and client indemnification obligations), some of our clients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Any legal or regulatory enforcement against us based on our platform, the content provided by clients, the marketing campaigns created by clients on our platform or noncompliance by our clients with licensing and other legal requirements, could subject us to various risks, including monetary penalties and/or required changes to our platform or business model, and would likely cause us to experience negative publicity. Any of these developments could materially and adversely impact our business, operating results, financial condition, brand, and reputation.</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We generally do not, and cannot, ensure that our clients will conduct their business activities in a manner compliant with the complex, disparate and constantly evolving regulations and requirements affecting the legal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While our solutions provide features to support our clients’ compliance with certain regulations and other legal requirements applicable to the cannabis industry, and we have policies and procedures regarding the verification and periodic screening of the licensing status of our clients, we generally do not, and cannot, ensure that at all times our clients will conduct their business activities in a manner compliant with such regulations and requirements, in whole or in part. Their legal noncompliance could result in regulatory and even criminal actions against them, which could lead to a material adverse impact on our business and operating results or financial condition, and as a result, our investors could lose their entire investment. For additional information, see the other risk factors in this section, including “Some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 w:name="page20"/>
    <w:bookmarkEnd w:id="19"/>
    <w:p>
      <w:pPr>
        <w:jc w:val="both"/>
        <w:spacing w:after="0" w:line="281" w:lineRule="auto"/>
        <w:rPr>
          <w:sz w:val="20"/>
          <w:szCs w:val="20"/>
          <w:color w:val="auto"/>
        </w:rPr>
      </w:pPr>
      <w:r>
        <w:rPr>
          <w:rFonts w:ascii="Times New Roman" w:cs="Times New Roman" w:eastAsia="Times New Roman" w:hAnsi="Times New Roman"/>
          <w:sz w:val="17"/>
          <w:szCs w:val="17"/>
          <w:color w:val="auto"/>
        </w:rPr>
        <w:t>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U.S. state laws and regulations and Canadian federal and provincial laws and regulations pertaining to the cannabis industry.</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Given the concentration of our revenue from the sale of access to our platforms and services,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dependent, in part, upon continued market acceptance of cannabis by consumers, any negative trends in the market could adversely affect our business operations.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of our business is dependent on the continued legalization of cannabis and its sale through regulated cannabis distributed channels.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Expansion of our business is, in part, dependent upon continued legislative authorization, including by voter initiatives and referenda, of cannabis in various jurisdictions worldwide, including the legalization of recreational and medical use cannabis. Any number of factors could slow, halt, or even reverse progress in this area.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17"/>
          <w:szCs w:val="17"/>
          <w:color w:val="auto"/>
        </w:rPr>
        <w:t>how to legalize cannabis as well as the interpretation, implementation, and enforcement of applicable laws or regulations. Further, our clients face substantial competition from unlicensed cannabis operators selling cannabis on the illicit market, as well as the growth of psychoactive hemp products which are proliferating in response to a loophole in the 2018 Farm Bill, both of which are sold outside the regulated cannabis distribution channels utilized by our client base.</w:t>
      </w:r>
    </w:p>
    <w:p>
      <w:pPr>
        <w:spacing w:after="0" w:line="3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Any one of these factors could slow or halt the legalization of cannabis, or create substantial competition for the regulated cannabis industry,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upon our brand recognition and reputation, and any erosion or degradation of our brand recognition or reputation would likely adversely affect our business and operating results.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believe that our business is highly dependent on the SpringBig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221" w:lineRule="exact"/>
        <w:rPr>
          <w:sz w:val="20"/>
          <w:szCs w:val="20"/>
          <w:color w:val="auto"/>
        </w:rPr>
      </w:pPr>
    </w:p>
    <w:p>
      <w:pPr>
        <w:ind w:left="620" w:hanging="300"/>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efficacy of our marketing efforts;</w:t>
      </w:r>
    </w:p>
    <w:p>
      <w:pPr>
        <w:spacing w:after="0" w:line="14" w:lineRule="exact"/>
        <w:rPr>
          <w:rFonts w:ascii="Arial" w:cs="Arial" w:eastAsia="Arial" w:hAnsi="Arial"/>
          <w:sz w:val="21"/>
          <w:szCs w:val="21"/>
          <w:color w:val="auto"/>
        </w:rPr>
      </w:pPr>
    </w:p>
    <w:p>
      <w:pPr>
        <w:ind w:left="620" w:hanging="300"/>
        <w:spacing w:after="0" w:line="207"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 high-quality, innovative, and error- and bug-free platform and similarly high quality client service;</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high satisfaction among clients (and our clients’ consumers);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quality and perceived value of our platforms and services;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successfully implementing and developing new features and revenue streams;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obtain, maintain and enforce trademarks and other indicia of origin that are valuable to our brand;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successfully differentiate our platforms and services from competitors’ offerings;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continue to integrate with POS systems;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provide our clients with accurate and actionable insights from the consumer data and feedback collected through our platform;</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compliance with laws and regulations;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address any environmental, social, and governance expectations of our various stakeholders;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provide client support; 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any actual or perceived data breach or data loss, or misuse or perceived misuse of our platforms.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our brand recognition and reputation may be affected by factors that are outside our control, such as:</w:t>
      </w:r>
    </w:p>
    <w:p>
      <w:pPr>
        <w:spacing w:after="0" w:line="250" w:lineRule="exact"/>
        <w:rPr>
          <w:sz w:val="20"/>
          <w:szCs w:val="20"/>
          <w:color w:val="auto"/>
        </w:rPr>
      </w:pPr>
    </w:p>
    <w:p>
      <w:pPr>
        <w:ind w:left="620" w:hanging="300"/>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actions of competitors or other third parties;</w:t>
      </w:r>
    </w:p>
    <w:p>
      <w:pPr>
        <w:spacing w:after="0" w:line="13"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consumers’ experiences with retailers or brands using our platform;</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public perception of cannabis and cannabis-related businesses;</w:t>
      </w:r>
    </w:p>
    <w:p>
      <w:pPr>
        <w:spacing w:after="0" w:line="14" w:lineRule="exact"/>
        <w:rPr>
          <w:rFonts w:ascii="Arial" w:cs="Arial" w:eastAsia="Arial" w:hAnsi="Arial"/>
          <w:sz w:val="21"/>
          <w:szCs w:val="21"/>
          <w:color w:val="auto"/>
        </w:rPr>
      </w:pPr>
    </w:p>
    <w:p>
      <w:pPr>
        <w:ind w:left="640" w:right="280" w:hanging="320"/>
        <w:spacing w:after="0" w:line="229"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positive or negative publicity, including with respect to events or activities attributed to us, our employees, partners or others associated with any of these parties;</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delays or attacks on our platforms; 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litigation or regulatory developments.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currently face intense competition in marketing and advertising services available to our clients, and we expect competition to further intensify as the cannabis industry continues to evolve.</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cannabis marketing and software services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CRM and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p>
      <w:pPr>
        <w:jc w:val="both"/>
        <w:spacing w:after="0" w:line="243" w:lineRule="auto"/>
        <w:rPr>
          <w:sz w:val="20"/>
          <w:szCs w:val="20"/>
          <w:color w:val="auto"/>
        </w:rPr>
      </w:pPr>
      <w:r>
        <w:rPr>
          <w:rFonts w:ascii="Times New Roman" w:cs="Times New Roman" w:eastAsia="Times New Roman" w:hAnsi="Times New Roman"/>
          <w:sz w:val="17"/>
          <w:szCs w:val="17"/>
          <w:color w:val="auto"/>
        </w:rPr>
        <w:t>marketing solutions market. Competitors for individual components of our service platforms include businesses both within and outside of the cannabis industry. These include businesses focused on marketing and customer engagement, commerce and POS solutions, and SaaS or other technology solutions for brands and retailers. In addition, if legal market for cannabis becomes more accepted and/or the regulatory regime for cannabis evolves, it may eliminate existing barriers preventing our clients from using traditional marketing and advertising channels. This could result in increased competition in our industry from both products and solutions offered by internet search engines and advertising networks, like Google, social media platforms, like Instagram and Facebook, various other newspaper, television, media companies, outdoor billboard advertising, and online merchant platforms, as well as new participants entering into the cannabis CRM and marketing services market. Such potential competitors may have substantially greater financial, technical, and other resources than existing market participants. Additionally, as consumers and cannabis industry clients demand richer data, integrations with other cannabis industry participants such as point-of-sale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200" w:lineRule="exact"/>
        <w:rPr>
          <w:sz w:val="20"/>
          <w:szCs w:val="20"/>
          <w:color w:val="auto"/>
        </w:rPr>
      </w:pP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Additionally, as the legalization of cannabis continues, cannabis cultivators, product manufacturers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access to our services and platform and result in decreased margins. Further, heightened competition between cannabis businesses could ultimately have a negative impact on the viability of individual market participants, which could reduce or eliminate their ability to purchase our services and solutions.</w:t>
      </w:r>
    </w:p>
    <w:p>
      <w:pPr>
        <w:spacing w:after="0" w:line="200" w:lineRule="exact"/>
        <w:rPr>
          <w:sz w:val="20"/>
          <w:szCs w:val="20"/>
          <w:color w:val="auto"/>
        </w:rPr>
      </w:pPr>
    </w:p>
    <w:p>
      <w:pPr>
        <w:spacing w:after="0" w:line="20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our brand, business and operating results could be harmed.</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have experienced rapid organic growth in our operations, which places substantial demands on management and our operational infrastructure. To manage the expected growth of our operations and personnel, we expect we will be required to improve existing, and implement new systems, procedures and controls including, among others, financial and operational systems. We will also be required to expand our finance, administrative and operations staff. We intend to continue making substantial investments in our sales, service and marketing workforce.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The growth of our business depends on our ability to accurately predict consumer trends, successfully offer new services, improve existing services and expand into new markets.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growth depends, in part, on our ability to successfully offer new platforms, products and services and improve and reposition our existing platforms and services to meet the requirements of our clients and their customers. This, in turn, depends on our ability to predict and respond to evolving consumer trends, demands and preferences. Our strategy is based on certain key trends and the projected growth of our key markets. However, historical trends may not be indicative of future trends and forecasts or estimated growth rates may not be accurate, in whole or part, or ever materialize. Further, underlying markets could decline, overall growth rates in our product categories could be slower than anticipated.</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offering of innovative new platforms, products and services and expansion into new offerings involves considerable costs. Any new platform, product or service offering may not generate sufficient consumer interest and sales to become profitable or to cover the costs of its development and promotion and, as a result, may reduce our operating income. In addition, any such unsuccessful effort may adversely affect our brand and reputation. If we are unable to anticipate, identify, develop or market new offerings, that respond to changes in consumer requirements and preferences, or if our new offerings fail to gain consumer acceptance, we may be unable to grow our business as anticipated, our sales may decline and our margins and profitability may decline or not improve. As a result, our business, financial condition, and results of operations may be materially and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train, retain and motivate key personnel, we may not achieve our business objectives.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jc w:val="both"/>
        <w:spacing w:after="0" w:line="249" w:lineRule="auto"/>
        <w:rPr>
          <w:sz w:val="20"/>
          <w:szCs w:val="20"/>
          <w:color w:val="auto"/>
        </w:rPr>
      </w:pPr>
      <w:r>
        <w:rPr>
          <w:rFonts w:ascii="Times New Roman" w:cs="Times New Roman" w:eastAsia="Times New Roman" w:hAnsi="Times New Roman"/>
          <w:sz w:val="17"/>
          <w:szCs w:val="17"/>
          <w:color w:val="auto"/>
        </w:rPr>
        <w:t>Our future success depends on our ability to recruit, train, retain and motivate key personnel, including our CEO, Jeffrey Harris, our CFO, Paul Sykes, and certain other key members of management. Competition for qualified personnel in the technology industry is intense. Additionally, we face challenges in attracting, retaining and motivating highly qualified personnel due to our relationship to the cannabis industry, which is rapidly evolving and has varying levels of social acceptance. Any failure to attract, train, retain and motivate qualified personnel could materially harm our operating results and growth prospects.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use our sales team to build relationships with our client base. Our sales team builds and maintains relationships with clients primarily through phone, email and other virtual contact, which is typically designed to allow us to cost-effectively service a large number of clients. We may need to employ more resource-intensive sales methods, such as increasing sales teams, to continue to attract and retain clients, particularly as we increase the number of our clients and our client base employs more sophisticated marketing operations, strategies and processes.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have experienced increased spending in connection with growing our sales, service and marketing operation and we expect to incur higher sales and marketing expenses, which could adversely affect our business and operating results.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It is critical to our success that clients and consumers within our geographic markets be able to access our platform at all times.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or dependent on integration with third parties, or as usage or traffic increases. If our platform is unavailable when our clients (or their consumers) attempt to access it or it does not load as quickly as they expect, they may seek other solutions and may seek to cancel and not renew subscriptions for our services.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we are not able to continue successfully improving and enhancing our platform, our business could be adversely affected.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or bugs in our platform could adversely affect our operating results and growth prospects.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3" w:name="page24"/>
    <w:bookmarkEnd w:id="23"/>
    <w:p>
      <w:pPr>
        <w:jc w:val="both"/>
        <w:spacing w:after="0" w:line="281" w:lineRule="auto"/>
        <w:rPr>
          <w:sz w:val="20"/>
          <w:szCs w:val="20"/>
          <w:color w:val="auto"/>
        </w:rPr>
      </w:pPr>
      <w:r>
        <w:rPr>
          <w:rFonts w:ascii="Times New Roman" w:cs="Times New Roman" w:eastAsia="Times New Roman" w:hAnsi="Times New Roman"/>
          <w:sz w:val="17"/>
          <w:szCs w:val="17"/>
          <w:color w:val="auto"/>
        </w:rPr>
        <w:t>incur increased insurance costs. The costs associated with any material defects or errors in our software or other performance problems may be substantial and could harm our operating results and growth prospects.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may become subject to DdoS attacks, a technique used by hackers to take an internet service offline by overloading its servers. In addition, ransomware attacks against businesses of all sizes are becoming increasingly common. Further,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third-party “cloud-based” providers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We rely upon cloud-based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17"/>
          <w:szCs w:val="17"/>
          <w:color w:val="auto"/>
        </w:rPr>
        <w:t>We rely on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impact of global, regional or local economic and market conditions may adversely affect our business, operating results and financial condition.</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performance is subject to global economic conditions and economic conditions in one or more of our key markets, which impact spending by our clients and consumers. A majority of our clients’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Economic conditions may also adversely impact retail sales of cannabis. Declining retail sales of cannabis could result in our clients going out of business or deciding, to stop using our platform to conserve financial resources or move to different marketing solutions. Negative economic conditions may also affect third parties with whom we have entered into relationships and upon whom we depend in order to grow our business.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Furthermore, economic downturns could also lead to limitations on our ability to obtain debt or equity financing on favorable terms or at all, reduced liquidity, decreases in the market price of SpringBig’s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Negative economic conditions may be created or exacerbated by catastrophic events or health crises, including, among others, re-occurrence of the COVID-19 pandemic or similar wide-spread public health crises.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operations depend, in part, on our ability to protect our operations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could result in lengthy interruptions in the availability of our platform. Even with current and planned disaster recovery arrangements, our business could be harmed. Also, in the event of damage or interruption, our insurance policies may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jc w:val="both"/>
        <w:spacing w:after="0" w:line="281" w:lineRule="auto"/>
        <w:rPr>
          <w:sz w:val="20"/>
          <w:szCs w:val="20"/>
          <w:color w:val="auto"/>
        </w:rPr>
      </w:pPr>
      <w:r>
        <w:rPr>
          <w:rFonts w:ascii="Times New Roman" w:cs="Times New Roman" w:eastAsia="Times New Roman" w:hAnsi="Times New Roman"/>
          <w:sz w:val="17"/>
          <w:szCs w:val="17"/>
          <w:color w:val="auto"/>
        </w:rPr>
        <w:t>not adequately compensate us for any losses that we may incur. These factors in turn could further reduce revenue, subject us to liability and lead to decreased usage of our platform and decrease sales of our marketing services, any of which could harm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our quarterly and annual operating results may adversely affect our business and prospects.</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You should consider our business and prospects in light of the risks and difficulties we encounter in the uncertain and rapidly evolving market for our solutions. Because the cannabis CRM, marketing services and technology markets are new and evolving, predicting their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221" w:lineRule="exact"/>
        <w:rPr>
          <w:sz w:val="20"/>
          <w:szCs w:val="20"/>
          <w:color w:val="auto"/>
        </w:rPr>
      </w:pPr>
    </w:p>
    <w:p>
      <w:pPr>
        <w:ind w:left="620" w:hanging="300"/>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attract new clients and retain existing clients;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increased competition on our business;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successfully expand in existing markets and successfully enter new markets;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global, regional or economic conditions;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licensed cannabis markets to successfully grow and outcompete illegal cannabis markets;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protect our intellectual property;</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effectively manage an adequate rate of growth;</w:t>
      </w:r>
    </w:p>
    <w:p>
      <w:pPr>
        <w:spacing w:after="0" w:line="14" w:lineRule="exact"/>
        <w:rPr>
          <w:rFonts w:ascii="Arial" w:cs="Arial" w:eastAsia="Arial" w:hAnsi="Arial"/>
          <w:sz w:val="21"/>
          <w:szCs w:val="21"/>
          <w:color w:val="auto"/>
        </w:rPr>
      </w:pPr>
    </w:p>
    <w:p>
      <w:pPr>
        <w:ind w:left="620" w:hanging="300"/>
        <w:spacing w:after="0" w:line="207"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increase traffic to our platform;</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costs associated with defending claims, including intellectual property infringement claims and related judgments or settlements;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governmental or other regulation affecting our business;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in platform availability and any related impact on our business, reputation or brand;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attraction and retention of qualified personnel;</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natural or man-made catastrophic events and/or health crises (including COVID-19); 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internal controls.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improve our products and solutions in ways that forego short-term gains.</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seek to provide the best experience for the clients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currently have clients across the United States and Canada using our platform.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w:t>
      </w:r>
    </w:p>
    <w:p>
      <w:pPr>
        <w:spacing w:after="0" w:line="204" w:lineRule="exact"/>
        <w:rPr>
          <w:sz w:val="20"/>
          <w:szCs w:val="20"/>
          <w:color w:val="auto"/>
        </w:rPr>
      </w:pPr>
    </w:p>
    <w:p>
      <w:pPr>
        <w:ind w:right="300" w:firstLine="629"/>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6" w:name="page27"/>
    <w:bookmarkEnd w:id="26"/>
    <w:p>
      <w:pPr>
        <w:jc w:val="both"/>
        <w:spacing w:after="0" w:line="243"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which has resulted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are also currently subject to a variety of, and may in the future become subject to additional U.S. federal, state and local laws and regulations on advertising that are continuously evolving and developing, including the Telephone Consumer Protection Act, or the TCPA, the Telemarketing Sales Rule, the Controlling the Assault of Non-Solicited Pornography and Marketing Act, or the CAN-SPAM Act, and, at the state level, the CCPA (as described above), the Virginia Consumer Data Protection Act of 2021, or VCDPA, and the Colorado Privacy Act, or CPA. Many states are discussing potentially adopting similar comprehensive privacy legislation and we expect many of these will be implemented over the course of the next few years. These laws and regulations directly impact our business and require ongoing compliance, monitoring and internal and external audits as they continue to evolve, and may result in ever-increasing public and regulatory scrutiny and escalating levels of enforcement and sanctions. Subsequent changes to data protection and privacy laws and regulations could also impact how we process personal information and, therefore, limit the effectiveness of our product offerings or our ability to operate or expand our business, including limiting strategic relationships that may involve the sharing of personal information.</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Many foreign countries and governmental bodies, including Canada and other relevant jurisdictions where we conduct or may, in the future,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Radio-Television and Telecommunications Commission, is active with respect to enforcement.</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restrict our ability to utilize collected personal information,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 w:name="page28"/>
    <w:bookmarkEnd w:id="27"/>
    <w:p>
      <w:pPr>
        <w:jc w:val="both"/>
        <w:spacing w:after="0" w:line="243" w:lineRule="auto"/>
        <w:rPr>
          <w:sz w:val="20"/>
          <w:szCs w:val="20"/>
          <w:color w:val="auto"/>
        </w:rPr>
      </w:pPr>
      <w:r>
        <w:rPr>
          <w:rFonts w:ascii="Times New Roman" w:cs="Times New Roman" w:eastAsia="Times New Roman" w:hAnsi="Times New Roman"/>
          <w:sz w:val="17"/>
          <w:szCs w:val="17"/>
          <w:color w:val="auto"/>
        </w:rPr>
        <w:t>We also expect that there will continue to be new proposed laws, regulations and industry standards concerning privacy, data protection and information security in the United States, Canada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Payment Card Industry Data Security Standard (also known as the “PCI-DSS”), which is designed to protect the information of credit card users.</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regulation of the internet continues to develop, and unfavorable changes could substantially harm our business and operating results.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Future investments in our growth strategy, including acquisitions, could disrupt our business and adversely affect our operating results, financial condition and cash flows.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seeking to expand using both organic and M&amp;A growth strategies in keeping with the changing regulatory landscape in the U.S. Expanding accounts with existing clients, adding new clients, entering new markets, adding new features and functionality to our platform and/or acquisitions may involve significant investments of capital, time, resources and managerial attention.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Additionally, we may make acquisitions that could be material to our business, operating results, financial condition and cash flows. Our ability as an organization to successfully acquire and integrate technologies, services, platforms or businesses is unproven. Acquisitions involve many risks, including the following:</w:t>
      </w:r>
    </w:p>
    <w:p>
      <w:pPr>
        <w:spacing w:after="0" w:line="200" w:lineRule="exact"/>
        <w:rPr>
          <w:sz w:val="20"/>
          <w:szCs w:val="20"/>
          <w:color w:val="auto"/>
        </w:rPr>
      </w:pPr>
    </w:p>
    <w:p>
      <w:pPr>
        <w:spacing w:after="0" w:line="229" w:lineRule="exact"/>
        <w:rPr>
          <w:sz w:val="20"/>
          <w:szCs w:val="20"/>
          <w:color w:val="auto"/>
        </w:rPr>
      </w:pPr>
    </w:p>
    <w:p>
      <w:pPr>
        <w:jc w:val="both"/>
        <w:ind w:left="640" w:hanging="320"/>
        <w:spacing w:after="0" w:line="233"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3" w:lineRule="exact"/>
        <w:rPr>
          <w:rFonts w:ascii="Arial" w:cs="Arial" w:eastAsia="Arial" w:hAnsi="Arial"/>
          <w:sz w:val="21"/>
          <w:szCs w:val="21"/>
          <w:color w:val="auto"/>
        </w:rPr>
      </w:pPr>
    </w:p>
    <w:p>
      <w:pPr>
        <w:jc w:val="both"/>
        <w:ind w:left="640" w:hanging="320"/>
        <w:spacing w:after="0"/>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9" w:lineRule="exact"/>
        <w:rPr>
          <w:rFonts w:ascii="Times New Roman" w:cs="Times New Roman" w:eastAsia="Times New Roman" w:hAnsi="Times New Roman"/>
          <w:sz w:val="17"/>
          <w:szCs w:val="17"/>
          <w:color w:val="auto"/>
        </w:rPr>
      </w:pPr>
    </w:p>
    <w:p>
      <w:pPr>
        <w:ind w:left="640" w:hanging="320"/>
        <w:spacing w:after="0" w:line="233"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acquired business may not perform at levels and on the timelines anticipated by our management and/or we may not be able to achieve expected synergies;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8" w:name="page29"/>
    <w:bookmarkEnd w:id="28"/>
    <w:p>
      <w:pPr>
        <w:ind w:left="620" w:hanging="300"/>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an acquisition may disrupt our ongoing business, divert resources, increase our expenses and distract our management;</w:t>
      </w:r>
    </w:p>
    <w:p>
      <w:pPr>
        <w:spacing w:after="0" w:line="14" w:lineRule="exact"/>
        <w:rPr>
          <w:rFonts w:ascii="Arial" w:cs="Arial" w:eastAsia="Arial" w:hAnsi="Arial"/>
          <w:sz w:val="21"/>
          <w:szCs w:val="21"/>
          <w:color w:val="auto"/>
        </w:rPr>
      </w:pPr>
    </w:p>
    <w:p>
      <w:pPr>
        <w:ind w:left="640" w:hanging="320"/>
        <w:spacing w:after="0" w:line="222"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an acquisition may result in a delay or reduction of sales for both us and the company we acquire due to uncertainty about continuity and effectiveness of products or support from either company;</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we may encounter difficulties in, or may be unable to, successfully sell any acquired products or services;</w:t>
      </w:r>
    </w:p>
    <w:p>
      <w:pPr>
        <w:spacing w:after="0" w:line="14" w:lineRule="exact"/>
        <w:rPr>
          <w:rFonts w:ascii="Arial" w:cs="Arial" w:eastAsia="Arial" w:hAnsi="Arial"/>
          <w:sz w:val="21"/>
          <w:szCs w:val="21"/>
          <w:color w:val="auto"/>
        </w:rPr>
      </w:pPr>
    </w:p>
    <w:p>
      <w:pPr>
        <w:ind w:left="640" w:hanging="320"/>
        <w:spacing w:after="0" w:line="22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an acquisition may involve the entry into geographic or business markets in which we have little or no prior experience or where competitors have stronger market positions;</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strain on our financial and managerial controls and reporting systems and procedures;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known and unknown liabilities associated with an acquired company;</w:t>
      </w:r>
    </w:p>
    <w:p>
      <w:pPr>
        <w:spacing w:after="0" w:line="14" w:lineRule="exact"/>
        <w:rPr>
          <w:rFonts w:ascii="Arial" w:cs="Arial" w:eastAsia="Arial" w:hAnsi="Arial"/>
          <w:sz w:val="21"/>
          <w:szCs w:val="21"/>
          <w:color w:val="auto"/>
        </w:rPr>
      </w:pPr>
    </w:p>
    <w:p>
      <w:pPr>
        <w:ind w:left="640" w:hanging="320"/>
        <w:spacing w:after="0" w:line="22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if we incur debt to fund such acquisitions, such debt may subject us to material restrictions on our ability to conduct our business as well as financial maintenance covenants;</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risk of impairment charges related to potential write-downs of acquired assets or goodwill in future acquisitions;</w:t>
      </w:r>
    </w:p>
    <w:p>
      <w:pPr>
        <w:spacing w:after="0" w:line="14" w:lineRule="exact"/>
        <w:rPr>
          <w:rFonts w:ascii="Arial" w:cs="Arial" w:eastAsia="Arial" w:hAnsi="Arial"/>
          <w:sz w:val="21"/>
          <w:szCs w:val="21"/>
          <w:color w:val="auto"/>
        </w:rPr>
      </w:pPr>
    </w:p>
    <w:p>
      <w:pPr>
        <w:ind w:left="640" w:hanging="320"/>
        <w:spacing w:after="0" w:line="22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managing the varying intellectual property protection strategies and other activities of an acquired company.</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SpringBig may require additional financing to fund its operations or growth. The failure to secure additional financing could have a material adverse effect on</w:t>
      </w:r>
    </w:p>
    <w:p>
      <w:pPr>
        <w:spacing w:after="0" w:line="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continued development or growth of SpringBig. Such additional capital may cause dilution to our stockholders. Further, the likelihood that our warrant holders will exercise their warrants, and therefore the amount of cash proceeds that we would receive, is dependent upon the trading price of our shares of common stock, which is currently below the applicable exercise price. If the trading price for our shares of common stock remains less than the applicable exercise price, we believe the warrant holders will be unlikely to exercise their warrants. If our need is due to unforeseen circumstances or material expenditures or if our operating results are worse than expected, then we cannot be certain that we will be able to obtain additional financing on favorable terms, if at all, and</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these additional financings could cause further dilution to our stockholders. Any funds we raise may not be sufficient to enable us to continue to implement our long-term business strategy. Further, our ability to raise additional capital may be adversely impacted by potential worsening global economic conditions, increasing interest rates and the recent disruptions to and volatility in the credit and financial markets in the United States.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and satisfy our financial obligations, our stock price may fall, and you may lose your investment.</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obligations to the holders of the Convertible Notes are secured by a security interest in substantially all of our assets, so if we default on those obligations, the noteholder could foreclose on, liquidate and/or take possession of our assets. If that were to happen, we could be forced to curtail, or even to cease, our operations.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January 23, 2024, the Company entered into the Notes Purchase Agreement with the Investors, pursuant to which the Company issued the Convertible Notes. Simultaneously, SpringBig, Inc. entered into a guaranty agreement to guarantee the Company’s obligations under the Convertible Notes and the Company and SpringBig, Inc. entered into a security agreement, pursuant to which the Investors were granted a security interest in all the assets of the Company and SpringBig, Inc. to secure repayment of amounts due under the Convertible Notes. As a result, if we default on our obligations under the Convertible Notes, the Investors could foreclose on its security interests and liquidate or take possession of some or all of the assets of the Company, SpringBig, Inc. and its subsidiaries, which would harm our business, financial condition and results of operations and could require us to curtail, or even to cease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notes and related agreements restrict our ability to obtain additional debt and equity financing which may restrict our ability to grow and finance our operations and, further.</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agreements related to the sale of the Convertible Notes contain a number of restrictive covenants that may impose significant operating and financial restrictions on us while Convertible Notes remain outstanding or unless the restrictions are waived by consent of each noteholder, including restrictions on our ability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adopt certain amendments to our governing documents, among other restrictions. A breach of the covenants or</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restrictions under the agreements governing our indebtedness could result in an event of default under these agreements. As a result of these restrictions, we may be limited in how we conduct our business, unable to raise additional debt financing to operate during general economic or business downturns and/or unable to compete effectively or to take advantage of new business opportunities.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Changes in laws or regulations, or a failure to comply with any laws and regulations, may adversely affect our business, investments and results of operations.</w:t>
      </w: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subject to laws, regulations and rules enacted by national, regional and local governments. In particular, we are required to comply with certain SEC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potential adverse tax consequences both domestically and in Canada.</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a Delaware corporation that is treated as a C-corporation for U.S. federal and most applicable state and local income tax purposes.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and will continue to comply,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ability of SpringBig to utilize net operating loss and tax credit carryforwards is conditioned upon SpringBig attaining profitability and generating taxable income. SpringBig has incurred significant net losses since inception and it is anticipated that SpringBig will continue to incur significant losses. Additionally, SpringBig’s ability to utilize net operating loss and tax credit carryforwards to offset future taxable income may be limited.</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As of December 31, 2023, SpringBig had approximately $23.1 million of U.S. federal net operating loss carryforwards available to reduce future taxable income, which can be carried forward indefinitely. The Tax Cuts and Jobs Act (the “Tax Act”) included a reduction to the maximum deduction allowed for net operating losses generated in tax years after December 31, 2017 and the elimination of carrybacks of net operating losses.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SpringBig has experienced an ownership change at any time since its incorporation, SpringBig may already be subject to limitations on its ability to utilize its existing net operating loss carryforwards and other tax attributes to offset taxable income or tax liability. In addition, the business combination, and future changes in SpringBig’s stock ownership, which may be outside of SpringBig’s control, may trigger an ownership change. Similar provisions of state tax law may also apply to limit SpringBig’s use of accumulated state tax attributes. As a result, even if SpringBig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SpringBig.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other factors could negatively impact our future effective tax rate.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3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are subject to the income tax laws of the United States and Canada.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 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Certain taxing authorities may successfully assert that SpringBig should have collected or that in the future SpringBig should collect sales and use or similar taxes for certain services which could adversely affect our results of operations.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We do not collect sales and use or similar taxes in the United States or Canada based on our determination that such taxes are not applicable to our platform. Based on the U.S. Supreme Court’s ruling in </w:t>
      </w:r>
      <w:r>
        <w:rPr>
          <w:rFonts w:ascii="Times New Roman" w:cs="Times New Roman" w:eastAsia="Times New Roman" w:hAnsi="Times New Roman"/>
          <w:sz w:val="17"/>
          <w:szCs w:val="17"/>
          <w:i w:val="1"/>
          <w:iCs w:val="1"/>
          <w:color w:val="auto"/>
        </w:rPr>
        <w:t>South Dakota v. Wayfair</w:t>
      </w:r>
      <w:r>
        <w:rPr>
          <w:rFonts w:ascii="Times New Roman" w:cs="Times New Roman" w:eastAsia="Times New Roman" w:hAnsi="Times New Roman"/>
          <w:sz w:val="17"/>
          <w:szCs w:val="17"/>
          <w:color w:val="auto"/>
        </w:rPr>
        <w:t>, certain state taxing authorities may assert that SpringBig had economic nexus with their state and was required to collect sales and use or similar taxes with respect to certain past services that SpringBig has provided (or with respect to future services that SpringBig will provide), which could result in tax assessments and penalties and interest. A successful assertion that SpringBig should be collecting additional sales and use or similar taxes or remitting such sales and use or similar taxes directly to states or other jurisdictions could have an adverse effect on SpringBig and its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Risks Related to the Cannabis Industry</w:t>
      </w: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many years, however, the U.S. government has not prioritized the enforcement of those laws against cannabis companies complying with state law and their vendors. No reversal of that policy of prosecutorial discretion is expected under the Biden administration, although prosecutions against state-legal entities cannot be ruled out.</w:t>
      </w: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17"/>
          <w:szCs w:val="17"/>
          <w:color w:val="auto"/>
        </w:rPr>
        <w:t>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200" w:lineRule="exact"/>
        <w:rPr>
          <w:sz w:val="20"/>
          <w:szCs w:val="20"/>
          <w:color w:val="auto"/>
        </w:rPr>
      </w:pP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Attorney General William Barr testified in his confirmation hearing on January 15, 2019, that he would not upset “settled expectations,” “investments,” or other “reliance interest[s]” arising as a result of the Cole Memo, and that he did not intend to devote federal resources to enforce federal cannabis laws in states that have legalized cannabis “to the extent people are complying with the state laws.” He stated: “My approach to this would be not to upset settled expectations and the reliance interests that have arisen as a result of the Cole Memorandum and investments have been made and so there has been reliance on it, so I don’t think it’s appropriate to upset those interests.” He also implied that the CSA’s prohibitions of cannabis may be implicitly nullified in states that have legalized cannabis: “[T]he current situation … is almost like a back-door nullification of federal law.” Industry observers generally have not interpreted Attorney General Barr’s comments to suggest that the DOJ would proceed with cases against participants who entered the state-legal industry after the Cole Memo’s rescission.</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As such, 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Times New Roman" w:cs="Times New Roman" w:eastAsia="Times New Roman" w:hAnsi="Times New Roman"/>
          <w:sz w:val="17"/>
          <w:szCs w:val="17"/>
          <w:i w:val="1"/>
          <w:iCs w:val="1"/>
          <w:color w:val="auto"/>
        </w:rPr>
        <w:t>USA vs. McIntosh</w:t>
      </w:r>
      <w:r>
        <w:rPr>
          <w:rFonts w:ascii="Times New Roman" w:cs="Times New Roman" w:eastAsia="Times New Roman" w:hAnsi="Times New Roman"/>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Certain of our clients that are retailers currently (and may in the future) sell adult-use cannabis, if permitted by such state and local laws now or in the future, and therefore may be outside any protections extended to medical-use cannabis under the spending bill provision. This could subject such retailer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00" w:lineRule="exact"/>
        <w:rPr>
          <w:sz w:val="20"/>
          <w:szCs w:val="20"/>
          <w:color w:val="auto"/>
        </w:rPr>
      </w:pP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March 11, 2021, Merrick Garland was sworn in as the U.S. Attorney General. During his campaign, President Biden stated a policy goal to decriminalize possession of cannabis at the federal level, but he has not publicly supported the full legalization of cannabis. In response to questions posed by Senator Cory Booker, Merrick Garland stated during February 2021 congressional testimony that he would reinstitute a version of the Cole Memorandum. He reiterated the statement that the Justice Department under his leadership would not pursue cases against Americans “complying with the laws in states that have legalized and are effectively regulating marijuana,” in written responses to the Senate Judiciary Committee provided around March 1. It is not yet known whether the Department of Justice under President Biden and Attorney General Garland, will re-adopt the Cole Memorandum or announce a substantive marijuana enforcement policy. Justice Garland indicated at a confirmation hearing before the United States Senate that it did not seem to him to be a useful use of limited resources to pursue prosecutions in states that have legalized and that are regulating the use of marijuana, either medically or otherwise. It is unclear what impact, if any, the current or any new administration will or would have on U.S. federal government enforcement policy on cannabis. Nonetheless, there is no guarantee that the position of the Department of Justice will not change.</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October 6, 2022, the Biden Administration issued an Executive Order which, in part, directed the Secretary of Health and Human Services to begin the administrative process of reviewing the scheduling of cannabis under the Controlled Substances Act. On August 29, 2023, in response to President Biden’s Executive Order, the U.S. Department of Health and Human Services (“HHS”) provided a formal recommendation to the U.S. Drug Enforcement Agency (“DEA”) to reclassify cannabis from Schedule I to Schedule III based on its scientific findings and medical evaluation. The DEA, which has the final authority to schedule or reschedule a drug, has yet to issue a decision on the recommendation,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September 27, 2023, the U.S. Senate Banking Committee passed the SAFER Banking Act on a bipartisan vote of 14-9, which would shield banks from enforcement of federal anti-money laundering statutes for offering services to state-legal cannabis businesses. While various versions of the bill have passed the U.S. House of Representatives under prior leadership, the passage in the U.S. Senate Banking Committee marks the first time the U.S. Senate has acted to reform cannabis banking. It remains unclear whether the bill will pass the full U.S. Senate or the U.S. House of Representatives.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jc w:val="both"/>
        <w:spacing w:after="0" w:line="247" w:lineRule="auto"/>
        <w:rPr>
          <w:sz w:val="20"/>
          <w:szCs w:val="20"/>
          <w:color w:val="auto"/>
        </w:rPr>
      </w:pPr>
      <w:r>
        <w:rPr>
          <w:rFonts w:ascii="Times New Roman" w:cs="Times New Roman" w:eastAsia="Times New Roman" w:hAnsi="Times New Roman"/>
          <w:sz w:val="17"/>
          <w:szCs w:val="17"/>
          <w:color w:val="auto"/>
        </w:rPr>
        <w:t>Industry observers are hopeful that the current U.S. political environment will increase the chances of federal cannabis policy reform. However, we cannot provide assurances about the content, timing or chances of executive action to reschedule cannabis or the passage of a bill legalizing cannabis or liberalizing cannabis regulations. Accordingly, we cannot predict the timing of any change in federal law or possible changes in federal enforcement. In the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w:t>
      </w:r>
    </w:p>
    <w:p>
      <w:pPr>
        <w:spacing w:after="0" w:line="200" w:lineRule="exact"/>
        <w:rPr>
          <w:sz w:val="20"/>
          <w:szCs w:val="20"/>
          <w:color w:val="auto"/>
        </w:rPr>
      </w:pP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are dependent on the banking industry to support the financial functions of our products and solutions. Our business operating functions including payroll for our employees, real estate leases, and other expenses are handled and reliant on traditional banking.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17"/>
          <w:szCs w:val="17"/>
          <w:color w:val="auto"/>
        </w:rPr>
        <w:t>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do not receive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platforms,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200" w:lineRule="exact"/>
        <w:rPr>
          <w:sz w:val="20"/>
          <w:szCs w:val="20"/>
          <w:color w:val="auto"/>
        </w:rPr>
      </w:pP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do not sell cannabis, or products that contain cannabis; accordingly, our company is not part of the cannabis industry that would be restricted from using federal and federally insured banks. However, because of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SpringBig and could materially adversely affect our business and operations. In addition to banks and financial institutions, merchant processors may take a similar view of the risks of working with SpringBig since we provide services to cannabis businesses, and loss of any of our merchant processor relationships could have similar results. Moreover, in July of 2023, Mastercard directed U.S. financial institutions to prohibit the purchase of cannabis on its debt card network and Visa reportedly prohibits the use of cashless ATMs to process transactions involving cannabis on its network.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using bankruptcy courts due to our involvement in the regulated cannabis industry.</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business.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policies and procedures to review cannabis license information for operational cannabis retail clients to ensure validity and accuracy of such license information. We cannot ensure that the conduct of our clients, who are third parties, and their actions could expose them to legal sanctions and costs, which would in turn, adversely affect our business and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 failure to comply with laws and regulations regarding our use of telemarketing, including the TCPA, could increase our operating costs and materially and adversely impact our business, financial condition, results of operations, and prospects.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technology allows dispensaries to send outbound text communications to their customers. While we believe that it is each dispensary’s responsibility for compliance with state and federal laws regulating outbound communications, we recognize that SpringBig may be named in actions alleging violations of these laws or otherwise have to be involved in demands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jc w:val="both"/>
        <w:spacing w:after="0" w:line="244" w:lineRule="auto"/>
        <w:rPr>
          <w:sz w:val="20"/>
          <w:szCs w:val="20"/>
          <w:color w:val="auto"/>
        </w:rPr>
      </w:pPr>
      <w:r>
        <w:rPr>
          <w:rFonts w:ascii="Times New Roman" w:cs="Times New Roman" w:eastAsia="Times New Roman" w:hAnsi="Times New Roman"/>
          <w:sz w:val="17"/>
          <w:szCs w:val="17"/>
          <w:color w:val="auto"/>
        </w:rPr>
        <w:t>actions stemming from alleged violations of these laws (e.g., through subpoenas). There are a number of state and federal laws regulating outbound telephonic communications, including the TCPA and Telemarketing Sales Rule. The U.S. Federal Communications Commission, or the FCC, and the FTC have responsibility for regulating various aspects of these laws. Individual states, like Washington and Florida, also separately regulate outbound telephonic communications. Among other requirements, the TCPA and other laws require the sender of the message to obtain prior express written consent for telemarketing calls and to adhere to state and national “do-not-call” registry requirements and implement various compliance procedures. These laws impact dispensary customers’ ability to communicate with their customers and can impact effectiveness of our marketing programs. These laws also raise the risk that SpringBig could be named directly or involved indirectly in litigation. The TCPA and other similar laws do not distinguish between voice and data communications, and, as such, SMS/MMS messages are also “calls” for the purpose of these outbound telephonic communication statutes.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TCPA and similar state laws provide for a private right of action under which a plaintiff may bring suit and, oftentimes, allow the recovery of statutory damages. The TCPA, by way of example, imposes statutory damages of between $500 and $1,500 per violation. There is no statutory cap on maximum aggregate exposure (although some courts have applied in TCPA class actions constitutional limits on excessive penalties). An action may be brought by the FCC, a state attorney general, an individual on behalf of the individual or a class of individuals. Like other companies that play an intermediary role between the sender (the dispensary) and the recipient (the dispensary customer) of telephonic communications, we have been sued under the TCPA and have received a number of subpoenas in TCPA cases brought against dispensaries. If in the future we are found to have violated the TCPA or any similar state law, particularly on a class-wide basis, the amount of damages and potential liability could be extensive and materially and adversely impact our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continue to be subject to constraints on marketing our products.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Certain of the states in which we operate have enacted strict regulations regarding marketing and sales activities on cannabis products, which could affect our cannabis retail clients’ demand for our platform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U.S. tax treatment.</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suppliers, who are cannabis retailers and brands. However, Section 280E of the Code and related IRS enforcement activity have had a significant impact on the operations of all cannabis companies. While Section 280E of the Code does not directly affect SpringBig, it lowers SpringBig’s clients’ profitability, and could result in decreased demand or higher price sensitivity for SpringBig’s marketing and customer loyalty services. An otherwise profitable cannabis business may operate at a loss after taking into account its U.S. income tax expenses. This affects SpringBig because SpringBig’s sales and operating results could be adversely affected if SpringBig’s clients decrease their marketing budgets and are operating on lower profit margins as a result of unfavorable treatment by the Code. While HHS’s recommendation to reschedule cannabis from Schedule I to Schedule III would remove the Section 280E, there is no guarantee that the DEA will accept its recommendation, or if it does, that rulemaking or litigation will not slow down rescheduling, and thus the applicability of Section 280E.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providers to cannabis businesses may also be subject to unfavorable U.S. tax treatment.</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not believe that Section 280E of the Code applies to our business, and, generally, ancillary service providers who work with state-licensed cannabis businesses have not been subject to Section 280E of the Code, because they are providing services or products other than cannabis, if the IRS interprets the section to apply, it would significantly and materially affect our profitability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17"/>
          <w:szCs w:val="17"/>
          <w:color w:val="auto"/>
        </w:rPr>
        <w:t>The MORE Act, which was introduced in the U.S. House of Representatives and the U.S. Senate in 2019, and passed by the House in 2020 and 2021, would remove marijuana from the CSA, which would effectively carve out state-legal cannabis businesses from Section 280E of the Code and allow for interstate commerce of cannabis. However,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SpringBig. Similarly, the recently introduced States Reform Act would also effectively carve out state-legal cannabis businesses from Section 280E of the Code and permit interstate commerce but at the same time impose a new excise tax on cannabis businesses (albeit at a lower rate than the proposed MORE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may be subject to civil asset forfeiture.</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operate our business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may be difficulty enforcing certain of our commercial agreements and contracts.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Courts will not enforce a contract deemed to involve a violation of law or public policy. Because cannabis remains illegal under U.S. federal law, certain parties to contracts involving the state-legal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all of our commercial agreements in court for this reason. We cannot be assured that we will have a remedy for breach of contract, which would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in the future be, subject to disputes and assertions by third parties with respect to alleged violations of intellectual property rights. These disputes could be costly to defend and could harm our business and operating results.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may, from time to time in the future, face allegations that we have violated the intellectual property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Companies in the software-as-a-service (SaaS) vertical in which we operate and other industries may own large numbers of patents, copyrights, and trademarks and may frequently request license agreements, threaten litigation or file suit against us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jc w:val="both"/>
        <w:spacing w:after="0" w:line="244" w:lineRule="auto"/>
        <w:rPr>
          <w:sz w:val="20"/>
          <w:szCs w:val="20"/>
          <w:color w:val="auto"/>
        </w:rPr>
      </w:pPr>
      <w:r>
        <w:rPr>
          <w:rFonts w:ascii="Times New Roman" w:cs="Times New Roman" w:eastAsia="Times New Roman" w:hAnsi="Times New Roman"/>
          <w:sz w:val="17"/>
          <w:szCs w:val="17"/>
          <w:color w:val="auto"/>
        </w:rPr>
        <w:t>based on allegations of infringement or other violations of intellectual property rights. Our platform features third-party brands, which may themselves infringe third party intellectual property rights and could bring us into litigation between the parties. Further, although we contractually seek indemnification protection from our clients, clients may not be solvent or financially able to indemnify us. We may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face an increasing likelihood of claims of infringement.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solutions contain open source software, which may pose particular risks to our proprietary software and solutions.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use open source software that we have obtained from third parties or is included in software packages in our solutions and will continue to use open source software in the future. Open source software is generally freely accessible, usable and modifiable, and is made available to the general public on an “as-is” basis under the terms of a non-negotiable license. From time to time, we may face claims from third parties claiming ownership of, or demanding release of, the open source software and/or derivative works that we developed using such software (which could include our proprietary source code), or otherwise seeking to enforce the terms of the applicable open source license. These claims could result in litigation and could require us to purchase a costly license or cease offering the implicated solutions unless and until we can re-engineer them to avoid infringement. This re-engineering process could require significant additional research and development resources. In addition to risks related to license requirements, use of certain open source software can lead to greater risks than use of third party commercial software, as open source licensors generally do not provide warranties or controls on the origin of software. Any of these risks could be difficult to eliminate or manage, and, if not addressed, could have a negative effect on our business and operating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success of our business heavily depends on our ability to protect and enforce our intellectual property rights.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Our business depends on our intellectual property, the protection of which is crucial to the success of our business. We rely on a combination of trademark, trade secret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Despite our efforts to protect our intellectual property rights, including trademarks, they may not be recognized in the future, or may be invalidated, circumvented or challenged. For example, we have registered, among numerous other trademarks, “SpringBig”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be ineffective and could result in substantial costs and diversion of resources, which could harm our business and operating results.</w:t>
      </w:r>
    </w:p>
    <w:p>
      <w:pPr>
        <w:spacing w:after="0" w:line="200" w:lineRule="exact"/>
        <w:rPr>
          <w:sz w:val="20"/>
          <w:szCs w:val="20"/>
          <w:color w:val="auto"/>
        </w:rPr>
      </w:pP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Further, we may be subject, from time-to-time, to claims that former employees, collaborators or other third parties have an interest in our intellectual property as an inventor or co-inventor.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If we are subject to a dispute challenging our rights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jc w:val="both"/>
        <w:spacing w:after="0" w:line="257" w:lineRule="auto"/>
        <w:rPr>
          <w:sz w:val="20"/>
          <w:szCs w:val="20"/>
          <w:color w:val="auto"/>
        </w:rPr>
      </w:pPr>
      <w:r>
        <w:rPr>
          <w:rFonts w:ascii="Times New Roman" w:cs="Times New Roman" w:eastAsia="Times New Roman" w:hAnsi="Times New Roman"/>
          <w:sz w:val="17"/>
          <w:szCs w:val="17"/>
          <w:color w:val="auto"/>
        </w:rPr>
        <w:t>in or to patents or other intellectual property, such a dispute could be expensive and time consuming. If we were unsuccessful, we could lose valuable rights in intellectual property that we regard as our own, which could have a material adverse effect on our business, financial condition, results of operations and prospects.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 and Certain Tax Matters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is quoted on the OTCQX® Best Market, a trading platform of OTC Markets Group, instead of a national exchange or quotation system.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Accordingly, our investors may experience significant volatility in the market price of our stock and have difficulty selling their shares.</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Our common stock is currently quoted on the OTCQX® Best Market, a trading platform of OTC Markets Group, under the ticker symbol “SBIG.” The OTC Markets Group is a regulated quotation service that displays real-time quotes, last sale prices, and volume limitations in over-the-counter securities. Trading in shares quoted on an OTC Markets Group trading platform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 Markets Group is not a national stock exchange, and trading of securities on one of its trading platforms is often more sporadic than the trading of securities listed on a national quotation system or stock exchange. Accordingly, our stockholders may not be able to realize a fair price from their securities when they determine to sell them or may have to hold them for a substantial period of time until the market for our common stock improves, and as a result of our quotation for trading on the OTCQX® Best Market, we may be negatively impacted in our ability to raise equity financing, be limited in our ability to issue additional securities or obtain additional financing in the future, and may face negative impacts on our reputation and, consequently,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performance does not meet market expectations, the price of our securities may decline and the market for our securities may be volatile.</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our performance does not meet market expectations, the price of our shares of common stock may decline. In addition, even if an active market for our shares of common stock develops and continues, the trading price of our shares of common stock could be volatile and subject to wide fluctuations in response to various factors, some of which are beyond our control. Any of the factors listed below could have a material adverse effect on the price of our shares of common stock.</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affecting the trading price of our shares of common stock may include:</w:t>
      </w:r>
    </w:p>
    <w:p>
      <w:pPr>
        <w:spacing w:after="0" w:line="277" w:lineRule="exact"/>
        <w:rPr>
          <w:sz w:val="20"/>
          <w:szCs w:val="20"/>
          <w:color w:val="auto"/>
        </w:rPr>
      </w:pPr>
    </w:p>
    <w:p>
      <w:pPr>
        <w:ind w:left="640" w:hanging="320"/>
        <w:spacing w:after="0" w:line="233" w:lineRule="auto"/>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actual or anticipated fluctuations in our quarterly and annual financial results or the quarterly and annual financial results of companies perceived to be similar to us;</w:t>
      </w:r>
    </w:p>
    <w:p>
      <w:pPr>
        <w:ind w:left="620" w:hanging="300"/>
        <w:spacing w:after="0" w:line="234"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market’s expectations about operating results;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operating results failing to meet market expectations in a particular period, which could impact the market price our shares of common stock;</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14" w:lineRule="exact"/>
        <w:rPr>
          <w:rFonts w:ascii="Arial" w:cs="Arial" w:eastAsia="Arial" w:hAnsi="Arial"/>
          <w:sz w:val="21"/>
          <w:szCs w:val="21"/>
          <w:color w:val="auto"/>
        </w:rPr>
      </w:pPr>
    </w:p>
    <w:p>
      <w:pPr>
        <w:ind w:left="620" w:hanging="300"/>
        <w:spacing w:after="0" w:line="207"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laws and regulations affecting our businesses;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commencement of, or involvement in, litigation involving the Company;</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our capital structure, such as future issuances of securities or the incurrence of debt;</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any significant change in our Board of Directors or management;</w:t>
      </w:r>
    </w:p>
    <w:p>
      <w:pPr>
        <w:spacing w:after="0" w:line="14" w:lineRule="exact"/>
        <w:rPr>
          <w:rFonts w:ascii="Arial" w:cs="Arial" w:eastAsia="Arial" w:hAnsi="Arial"/>
          <w:sz w:val="21"/>
          <w:szCs w:val="21"/>
          <w:color w:val="auto"/>
        </w:rPr>
      </w:pPr>
    </w:p>
    <w:p>
      <w:pPr>
        <w:ind w:left="640" w:hanging="320"/>
        <w:spacing w:after="0" w:line="229" w:lineRule="auto"/>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sales of substantial amounts of our shares of common stock by the Company, the Investors or our directors, executive officers or significant shareholders or the perception that such sales could occur; and</w:t>
      </w:r>
    </w:p>
    <w:p>
      <w:pPr>
        <w:spacing w:after="0" w:line="10" w:lineRule="exact"/>
        <w:rPr>
          <w:rFonts w:ascii="Arial" w:cs="Arial" w:eastAsia="Arial" w:hAnsi="Arial"/>
          <w:sz w:val="21"/>
          <w:szCs w:val="21"/>
          <w:color w:val="auto"/>
        </w:rPr>
      </w:pPr>
    </w:p>
    <w:p>
      <w:pPr>
        <w:ind w:left="640" w:hanging="320"/>
        <w:spacing w:after="0" w:line="233" w:lineRule="auto"/>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and political conditions such as recessions, interest rates, fuel prices, inflation, international currency fluctuations and acts of war or terrorism.</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shares of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shares, and of our securities, may not be predictable. A loss of investor confidence in the market for companies engaging in digital payments or the shares of other companies which investors perceive to be similar to us could depress our stock price regardless of our business, prospects, financial conditions or results of operations. A decline in the market price of our shares of common stock also could adversely affect our ability to issue additional securities and our ability to obtain additional financing in the future.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our shares of common stock for the foreseeable future, you may not receive any return on investment unless you sell our shares of common stock for a price greater than that which you paid for it; furthermore, there is no guarantee that the value of the shares of common stock will increase to a price greater than that which you paid for it.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shares of common stock unless you sell your shares of for a price greater than that which you paid for them; provided, however, that there is no guarantee that the value of the shares of common stock will increase to a price greater than the price for which such shares were purchased.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The issuance of our shares of common stock in connection with the Convertible Notes or that may otherwise be issued and/or sold by the Company or selling securityholders, could cause substantial dilution, which could materially affect the trading price of our shares of common stock.</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the extent that the Convertible Notes are converted into or exercised for shares of common stock, substantial amounts of our shares of common stock will be issued. Although we cannot predict the number of our shares of common stock that will actually be issued in connection with any such conversions and/or sales, such issuances could result in substantial decreases to our stock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total outstanding shares may be sold into the market at any time. This could cause the market price of our shares of common stock to drop significantly, even if our business is doing well.</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Sales of a substantial number of shares of common stock in the public market could occur at any time as a result of issuances and resales of shares of common stock including shares subject to the Convertible Notes and our public and private warrants, as well as the resale of shares of common stock by other holders, and pursuant to the Company’s equity incentive plan. These sales, or the perception in the market that the holders of a large number of shares intend to sell shares, could reduce the market price of our shares of common stock.</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Sales of our shares of common stock, or the perception of such sales, including by selling securityholders in the public market or otherwise could cause the market price for our shares of common stock to decline the securityholders selling such securities may still receive significant proceeds.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sale of our shares of common stock in the public market or otherwise, or the perception that such sales could occur, could harm the prevailing market price of our shares of common stock. These sales, or the possibility that these sales may occur, also might make it more difficult for us to sell equity securities in the future at a time and at a price that it deems appropriate. Institutional investors and our founder that collectively beneficially own in excess of 50% of the Company’s outstanding shares in the aggregate will be able to resell their shares for so long as a registration statement is available for use. Resales of our shares of common stock may cause the market price of our securities to drop significantly, regardless of the performance of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filed registration statements relating to the resale of a large number of shares of common stock representing a large percentage of our public float</w:t>
      </w:r>
    </w:p>
    <w:p>
      <w:pPr>
        <w:spacing w:after="0" w:line="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pursuant to securities held by certain existing shareholders for which such securityholders have registration rights. As such, sales of a substantial number of shares of common stock in the public market could occur at any time. Given the substantial number of shares of common stock being registered for potential resale or the perception in the market that the stockholders of a large number of shares intend to sell shares, could increase the volatility of the market price of</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common stock or result in a significant decline in the public trading price of our common stock. Further, certain shares of our common stock that are being registered for resale include shares that were purchased at prices that may be significantly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17"/>
          <w:szCs w:val="17"/>
          <w:color w:val="auto"/>
        </w:rPr>
        <w:t>below the trading price of our shares of common stock and the sale of which would result in such selling securityholders realizing a significant gain. Even if our trading price remains low, certain selling securityholders may still have an incentive to sell shares of our common stock because they purchased the shares at prices lower than the public investors or the current trading price of our common stock. Public holders of our shares of common stock may not experience a similar rate of return on their shares.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may publish about us, our business, our market, or our competitors. If any of the analysts who may cover SpringBig change their recommendation regarding our stock adversely, or provide more favorable relative recommendations about our competitors, the price of our common stock would likely decline. If any analyst who may cover SpringBig were to cease their coverage or fail to regularly publish reports on us, we could lose visibility in the financial markets, which could cause our stock price or trading volume to decline.</w:t>
      </w:r>
    </w:p>
    <w:p>
      <w:pPr>
        <w:spacing w:after="0" w:line="3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public warrants were issued in registered form under the warrant agreement between Continental Stock Transfer &amp; Trust Company, as warrant agent, and the Company. The warrant agreement provides that the terms of the warrants may be amended without the consent of any holder for the purpose of curing any ambiguity or curing, correcting or 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shares of common stock purchasable upon the exercise of a warrant.</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remain an emerging growth company for up to five years from the date of our IPO, although circumstances could cause us to lose that status earlier, including if the market value of our shares of common stock held by non-affiliates exceeds $700,000,000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0" w:name="page41"/>
    <w:bookmarkEnd w:id="40"/>
    <w:p>
      <w:pPr>
        <w:jc w:val="both"/>
        <w:spacing w:after="0" w:line="281" w:lineRule="auto"/>
        <w:rPr>
          <w:sz w:val="20"/>
          <w:szCs w:val="20"/>
          <w:color w:val="auto"/>
        </w:rPr>
      </w:pPr>
      <w:r>
        <w:rPr>
          <w:rFonts w:ascii="Times New Roman" w:cs="Times New Roman" w:eastAsia="Times New Roman" w:hAnsi="Times New Roman"/>
          <w:sz w:val="17"/>
          <w:szCs w:val="17"/>
          <w:color w:val="auto"/>
        </w:rPr>
        <w:t>emerging growth company which has opted out of using the extended transition period difficult or impossible because of the potential differences in accountant standards used.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have and will continue to incur increased costs as a result of operating as a public company and our management has and will continue to devote a substantial amount of time to new compliance initiatives.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and the Dodd-Frank Act, as well as rules adopted, and to be adopted, by the SEC.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failure to timely and effectively implement controls and procedures required by Section 404(a) of the Sarbanes-Oxley Act could have a material adverse effect on our business.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Failure to properly implement internal controls on a timely basis may lead to the identification of one or more additional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shares of common stock to decline. If we have additional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shares of common stock.</w:t>
      </w: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Changes in laws or regulations, or a failure to comply with any laws and regulations, may adversely affect our business, investments and results of operations.</w:t>
      </w: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certificate of incorporation and bylaws and under Delaware law could delay or prevent a change in control, limit the price investors may be willing to pay in the future for our shares of common stock and could entrench management.</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could make it more difficult for a third-party to acquire us without the consent of our Board of Directors. These provisions provide for: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1" w:name="page42"/>
    <w:bookmarkEnd w:id="41"/>
    <w:p>
      <w:pPr>
        <w:ind w:left="620" w:hanging="300"/>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a classified Board of Directors with staggered three-year terms;</w:t>
      </w:r>
    </w:p>
    <w:p>
      <w:pPr>
        <w:spacing w:after="0" w:line="14" w:lineRule="exact"/>
        <w:rPr>
          <w:rFonts w:ascii="Arial" w:cs="Arial" w:eastAsia="Arial" w:hAnsi="Arial"/>
          <w:sz w:val="21"/>
          <w:szCs w:val="21"/>
          <w:color w:val="auto"/>
        </w:rPr>
      </w:pPr>
    </w:p>
    <w:p>
      <w:pPr>
        <w:ind w:left="640" w:hanging="320"/>
        <w:spacing w:after="0" w:line="222"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our Board of Directors to determine the powers, preferences and rights of preference shares and to cause us to issue the preference shares without shareholder approval; and</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advance notice for shareholder proposals and nominations and placing limitations on convening shareholder meetings.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shareholders to elect directors of their choosing and cause us to take corporate actions other than those shareholders may desire, any of which could harm our share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largest shareholders and certain members of our management own a significant percentage of our shares of common stock and are able to exert significant control over matters subject to shareholder approval.</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founder and certain of our largest shareholders hold a significant percentage of our shares of common stock.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shares of common stock, including pursuant to our equity incentive and other compensatory plans, will result in additional dilution of the percentage ownership of our shareholders and could cause our share price to fall.</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SpringBig Holdings, Inc. 2022 Long-Term Incentive Plan (the “Incentive Plan”), we are authorized to grant options and other share-based awards to our employees, directors and consultants. Shares subject to stock awards granted under the Incentive Plan that expire or terminate without being exercised in full, or that are paid out in cash rather than in shares, will not reduce the number of shares available for issuance under the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39"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recognizes the critical importance of developing, implementing, and maintaining cybersecurity measures to safeguard our information systems and protect the confidentiality, integrity, and availability of data we produce and collect. We maintain a comprehensive process for identifying, assessing, and managing material risks from cybersecurity threats as part of our broader risk management system and processes. We obtain input, as appropriate, for our cybersecurity risk management program on the security industry and threat trends from external experts. Our executive leadership team is responsible for our overall enterprise risk management system and processes and regularly consider cybersecurity risks in the context of other material risks to the company.</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consult with outside counsel as appropriate, including on materiality analysis and disclosure matters, and our senior management makes the final materiality determinations and disclosure and other compliance decisions. Our management apprises our independent public accounting firm of matters and any relevant developments.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7"/>
          <w:szCs w:val="17"/>
          <w:color w:val="auto"/>
        </w:rPr>
        <w:t>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Our corporate headquarters is located in Boca Raton, Florida pursuant to a lease that expires in March 2032. In addition, SpringBig leases office space in Seattle, Washington and Toronto, Ontario.</w:t>
      </w:r>
    </w:p>
    <w:p>
      <w:pPr>
        <w:spacing w:after="0" w:line="172"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For a description of developments to legal proceedings during the year ended December 31, 2023, see "Litigation" under Note 16, "Commitments and Contingencies" to our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None.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Market Information</w:t>
      </w:r>
    </w:p>
    <w:p>
      <w:pPr>
        <w:spacing w:after="0" w:line="239"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Our common stock is quoted for trading on the OTCQX® Best Market and warrants, each exercisable for one share of our common stock at an exercise price of $11.50 per share, are quoted for trading on OTC Pink Market, under the symbols “SBIG” and SBIGW,” respectively. As of March 27, 2024, there were 42 holders of record of our common stock, and this number was derived from our shareholder records and does not include The Depository Trust Company participants or beneficial owners holding shares through nominee names.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Dividend Policy</w:t>
      </w:r>
    </w:p>
    <w:p>
      <w:pPr>
        <w:spacing w:after="0" w:line="239"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We have not declared or paid any dividends on our common stock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Sales of Unregistered Securities</w:t>
      </w:r>
    </w:p>
    <w:p>
      <w:pPr>
        <w:spacing w:after="0" w:line="239" w:lineRule="exact"/>
        <w:rPr>
          <w:sz w:val="20"/>
          <w:szCs w:val="20"/>
          <w:color w:val="auto"/>
        </w:rPr>
      </w:pPr>
    </w:p>
    <w:p>
      <w:pPr>
        <w:ind w:right="80" w:firstLine="393"/>
        <w:spacing w:after="0" w:line="261" w:lineRule="auto"/>
        <w:rPr>
          <w:sz w:val="20"/>
          <w:szCs w:val="20"/>
          <w:color w:val="auto"/>
        </w:rPr>
      </w:pPr>
      <w:r>
        <w:rPr>
          <w:rFonts w:ascii="Times New Roman" w:cs="Times New Roman" w:eastAsia="Times New Roman" w:hAnsi="Times New Roman"/>
          <w:sz w:val="17"/>
          <w:szCs w:val="17"/>
          <w:color w:val="auto"/>
        </w:rPr>
        <w:t>On June 15, October 12, and December 29, 2023, we issued 954,889, 575,000 and 1,000,000 respectively, shares of our common stock for a total of 2,529,889 shares of our common stock to L1 Capital Global Opportunities Master Fund. We issued the shares as consideration for repayment of a proportion of the amounts payable under the L1 Convertible Notes.</w:t>
      </w:r>
    </w:p>
    <w:p>
      <w:pPr>
        <w:spacing w:after="0" w:line="188" w:lineRule="exact"/>
        <w:rPr>
          <w:sz w:val="20"/>
          <w:szCs w:val="20"/>
          <w:color w:val="auto"/>
        </w:rPr>
      </w:pPr>
    </w:p>
    <w:p>
      <w:pPr>
        <w:ind w:right="20" w:firstLine="393"/>
        <w:spacing w:after="0" w:line="281" w:lineRule="auto"/>
        <w:rPr>
          <w:sz w:val="20"/>
          <w:szCs w:val="20"/>
          <w:color w:val="auto"/>
        </w:rPr>
      </w:pPr>
      <w:r>
        <w:rPr>
          <w:rFonts w:ascii="Times New Roman" w:cs="Times New Roman" w:eastAsia="Times New Roman" w:hAnsi="Times New Roman"/>
          <w:sz w:val="17"/>
          <w:szCs w:val="17"/>
          <w:color w:val="auto"/>
        </w:rPr>
        <w:t>On September 13, 2023, we issued 1,275,000 shares of our common stock to Michael Gross and 425,000 shares of our common stock to Jason Wright. We issued the shares as consideration for settlement of a legal case.</w:t>
      </w:r>
    </w:p>
    <w:p>
      <w:pPr>
        <w:spacing w:after="0" w:line="172" w:lineRule="exact"/>
        <w:rPr>
          <w:sz w:val="20"/>
          <w:szCs w:val="20"/>
          <w:color w:val="auto"/>
        </w:rPr>
      </w:pPr>
    </w:p>
    <w:p>
      <w:pPr>
        <w:ind w:right="400" w:firstLine="393"/>
        <w:spacing w:after="0" w:line="281" w:lineRule="auto"/>
        <w:rPr>
          <w:sz w:val="20"/>
          <w:szCs w:val="20"/>
          <w:color w:val="auto"/>
        </w:rPr>
      </w:pPr>
      <w:r>
        <w:rPr>
          <w:rFonts w:ascii="Times New Roman" w:cs="Times New Roman" w:eastAsia="Times New Roman" w:hAnsi="Times New Roman"/>
          <w:sz w:val="17"/>
          <w:szCs w:val="17"/>
          <w:color w:val="auto"/>
        </w:rPr>
        <w:t>On September 30, 2023, we issued 150,000 shares of our common stock to Doug Stukel and on November 15, 2023, we issued 286,260 shares of our common stock to Michael Faber. We issued the shares as consideration for advisory services.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3" w:name="page44"/>
    <w:bookmarkEnd w:id="43"/>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Securities Authorized for Issuance under Equity Compensation Plan</w:t>
      </w:r>
    </w:p>
    <w:p>
      <w:pPr>
        <w:spacing w:after="0" w:line="239" w:lineRule="exact"/>
        <w:rPr>
          <w:sz w:val="20"/>
          <w:szCs w:val="20"/>
          <w:color w:val="auto"/>
        </w:rPr>
      </w:pPr>
    </w:p>
    <w:p>
      <w:pPr>
        <w:ind w:right="360" w:firstLine="393"/>
        <w:spacing w:after="0" w:line="281" w:lineRule="auto"/>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for our 2024 annual meeting of stockholders (the “Proxy Statement”),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"SpringBig," "the Company," "we," "us" or "our" refer to SpringBig Holdings, Inc. and its subsidiaries, unless the context otherwise requires.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200" w:lineRule="exact"/>
        <w:rPr>
          <w:sz w:val="20"/>
          <w:szCs w:val="20"/>
          <w:color w:val="auto"/>
        </w:rPr>
      </w:pPr>
    </w:p>
    <w:p>
      <w:pPr>
        <w:spacing w:after="0" w:line="20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SpringBig serves approximately 1,300 brand and retailer clients across more than 2,600 distinct retail locations in North America. Our clients distribute more than 2.3 billion messages annually, and in the last year more than $7.8 billion of gross merchandise value was accounted for by clients utilizing our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 and Public Company Cost</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14, 2022, SpringBig Holdings, Inc., a Delaware corporation (formerly known as Tuatara Capital Acquisition Corporation), consummated the previously announced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805. While Tuatara was the legal acquirer in the business combination, because Legacy SpringBig was deemed the accounting acquirer, the historical financial statements of Legacy SpringBig became the historical financial statements of the combined company, upon the Closing.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4" w:name="page45"/>
    <w:bookmarkEnd w:id="44"/>
    <w:p>
      <w:pPr>
        <w:jc w:val="both"/>
        <w:spacing w:after="0" w:line="244"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consequence of the business combination, Legacy SpringBig became the successor to an SEC-registered and Nasdaq-listed company, which requires us to implement procedures and processes to address public company regulatory requirements and customary practices. On September 5, 2023, SpringBig Holdings, Inc. was delisted from the Nasdaq Capital Market and its common stock is now quoted for trading on the OTCQX® Best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23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The following is our analysis for the years ended December 31, 2023 and 2022,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900" w:type="dxa"/>
            <w:vAlign w:val="bottom"/>
            <w:gridSpan w:val="4"/>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28,050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26,629</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(13,076)</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(12,603)</w:t>
            </w:r>
          </w:p>
        </w:tc>
      </w:tr>
      <w:tr>
        <w:trPr>
          <w:trHeight w:val="262"/>
        </w:trPr>
        <w:tc>
          <w:tcPr>
            <w:tcW w:w="7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retail clients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1,319</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 retention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105 %</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messages (million)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2,099</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reconciliation of net loss to Adjusted EBITDA see “EBITDA and Adjusted EBITDA,”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Key Operating Metrics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jc w:val="both"/>
        <w:spacing w:after="0" w:line="246" w:lineRule="auto"/>
        <w:rPr>
          <w:sz w:val="20"/>
          <w:szCs w:val="20"/>
          <w:color w:val="auto"/>
        </w:rPr>
      </w:pPr>
      <w:r>
        <w:rPr>
          <w:rFonts w:ascii="Times New Roman" w:cs="Times New Roman" w:eastAsia="Times New Roman" w:hAnsi="Times New Roman"/>
          <w:sz w:val="17"/>
          <w:szCs w:val="17"/>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Number of Retail Clients. </w:t>
      </w:r>
      <w:r>
        <w:rPr>
          <w:rFonts w:ascii="Times New Roman" w:cs="Times New Roman" w:eastAsia="Times New Roman" w:hAnsi="Times New Roman"/>
          <w:sz w:val="17"/>
          <w:szCs w:val="17"/>
          <w:color w:val="auto"/>
        </w:rPr>
        <w:t>We disclose in the table above the number of discrete SpringBig platforms used by clients of the business at the end of the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Net Revenue Retention. </w:t>
      </w:r>
      <w:r>
        <w:rPr>
          <w:rFonts w:ascii="Times New Roman" w:cs="Times New Roman" w:eastAsia="Times New Roman" w:hAnsi="Times New Roman"/>
          <w:sz w:val="17"/>
          <w:szCs w:val="17"/>
          <w:color w:val="auto"/>
        </w:rPr>
        <w:t>We believe that the growth in the use of our platform by our clients is an important metric in evaluating our business and growth.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view a net revenue retention rate exceeding 100% as positive because this is indicative of increasing subscription revenue without including the impact of the initial recurring revenue from new clients. We believe that we can drive this metric by continuing to focus on existing clients and by revenue-increasing activities, such as client upgrades. Net revenue retention is measured over the twelve-month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Number of Messages Sent. </w:t>
      </w:r>
      <w:r>
        <w:rPr>
          <w:rFonts w:ascii="Times New Roman" w:cs="Times New Roman" w:eastAsia="Times New Roman" w:hAnsi="Times New Roman"/>
          <w:sz w:val="17"/>
          <w:szCs w:val="17"/>
          <w:color w:val="auto"/>
        </w:rPr>
        <w:t>We believe that the volume of messages sent, measured in standardized message size, is important as it indicates the frequency of 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level of engagement of our platform by our clients. Messages are distributed by text, email, and direct push notifications to mobile applications.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EBITDA and Adjusted EBITDA</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bad debt expense and stock-based compensation).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EBITDA and Adjusted EBITDA have limitations, and you should not consider these in isolation or as a substitute for analysis of our results as reported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including net loss, which we consider to be the most directly comparable GAAP financial measure. Some of these limitations are:</w:t>
      </w:r>
    </w:p>
    <w:p>
      <w:pPr>
        <w:spacing w:after="0" w:line="257" w:lineRule="exact"/>
        <w:rPr>
          <w:sz w:val="20"/>
          <w:szCs w:val="20"/>
          <w:color w:val="auto"/>
        </w:rPr>
      </w:pPr>
    </w:p>
    <w:p>
      <w:pPr>
        <w:ind w:left="640" w:hanging="320"/>
        <w:spacing w:after="0" w:line="233" w:lineRule="auto"/>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ind w:left="620" w:hanging="300"/>
        <w:spacing w:after="0" w:line="234"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w:t>
      </w:r>
    </w:p>
    <w:p>
      <w:pPr>
        <w:spacing w:after="0" w:line="2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loss and our other GAAP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net loss before taxes to non-GAAP EBITDA and Adjusted EBITDA is as follows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3"/>
        </w:trPr>
        <w:tc>
          <w:tcPr>
            <w:tcW w:w="8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540" w:type="dxa"/>
            <w:vAlign w:val="bottom"/>
            <w:gridSpan w:val="4"/>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3"/>
        </w:trPr>
        <w:tc>
          <w:tcPr>
            <w:tcW w:w="8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(13,076)</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42"/>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(11,883)</w:t>
            </w:r>
          </w:p>
        </w:tc>
      </w:tr>
      <w:tr>
        <w:trPr>
          <w:trHeight w:val="262"/>
        </w:trPr>
        <w:tc>
          <w:tcPr>
            <w:tcW w:w="8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non-recurring, non-operating expenses and asset impairment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litigation, including legal costs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w:t>
            </w:r>
          </w:p>
        </w:tc>
      </w:tr>
      <w:tr>
        <w:trPr>
          <w:trHeight w:val="262"/>
        </w:trPr>
        <w:tc>
          <w:tcPr>
            <w:tcW w:w="8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16"/>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(12,603)</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Overall Economic Trends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Growth and Retention of Customers</w:t>
      </w:r>
    </w:p>
    <w:p>
      <w:pPr>
        <w:spacing w:after="0" w:line="2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Regulation and Maturation of Cannabis Markets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customers and to our ability to attract new customers.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7" w:name="page48"/>
    <w:bookmarkEnd w:id="47"/>
    <w:p>
      <w:pPr>
        <w:jc w:val="both"/>
        <w:spacing w:after="0" w:line="281" w:lineRule="auto"/>
        <w:rPr>
          <w:sz w:val="20"/>
          <w:szCs w:val="20"/>
          <w:color w:val="auto"/>
        </w:rPr>
      </w:pPr>
      <w:r>
        <w:rPr>
          <w:rFonts w:ascii="Times New Roman" w:cs="Times New Roman" w:eastAsia="Times New Roman" w:hAnsi="Times New Roman"/>
          <w:sz w:val="17"/>
          <w:szCs w:val="17"/>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pre-contracted amount) and optional purchases of additional credits.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Cost of revenue consists primarily of amounts payable to distributors of messages on behalf of the Company’s customers across cellular networks and integrations.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Servicing and Marketing Expenses</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Software Development Expenses</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ACS 350-40, Intangibles – Goodwill and Other – Internal Use Software,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indicated: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gridSpan w:val="5"/>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line="163"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24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servicing and marketing</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software development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2,843</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increased by $1.4 million for the year ended December 31, 2023, a 5% increase compared with the year ended December 31, 2022.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subscription revenue was $22.2 million for the year ended December 31, 2023 compared with $19.4 million in for the year ended December 31, 2022, representing 14% year over year growth. The excess use revenue declined by 28% year over year from $5.9 million for the year ended December 31, 2022 to $4.2 million for the year ended December 31, 2023, with this decrease being due to the weaker economy and the fact that some prior year excess use revenue has now converted into recurring subscription revenues due to clients upgrading their subscriptions. Our revenue from Brands clients decreased by 4% year over year and was $901,000 for the year ended December 31, 2023, as compared to $940,000 for the year ended December 31, 2022.</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Gross profit increased to $21.6 million for the year ended December 31, 2023 from $19.9 million for the year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a 8% increase. The cost of revenue decreased by $0.2 million, representing a 3% reduction, for the year ended December 31, 2023. Our gross margin percentage increased by 2.1% compared with 2022 to 76.9% for the year ended December 31, 2023, due to an increasing proportion of messages being distributed via push notifications directly into mobile apps and by email, both of which have higher margin compared with distribution via text.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SpringBig while continuing to prioritize revenue growth has also focused on ensuring expenses are managed in an appropriate manner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ensure we are able to reduce operating losses and start generating operating profits in the near future, while ensuring we have the appropriate personnel, infrastructure and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decreased by $6.3 million, or 17%, for the year ended December 31, 2023 compared with the year ended December 31, 2022.</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Selling, servicing and marketing expenses decreased by $4.1 million, or 33%, for the year ended December 31, 2023, compared to the year ended December 31, 2022. The decrease in expenses is primarily due to lower compensation expense as a result of lower headcount.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Technology and software development expenses decreased by $3.3 million, or 29%, for year ended December 31, 2023, compared to the year ended December 31, 2022, with the decrease being attributable to lower expenses associated with the use of offshore contract developers and a reduction in compensation expense.</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increased by $1.1 million, or 9%, for the year ended December 31, 2023, compared to the year ended December 31, 2022. The increase was attributable to the settlement of litigation (including legal costs) of $1.1 million and asset write-offs of $0.4 million. Excluding these items, general and administrative expenses decreased by $0.4 million, or 3% year-on-year.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Interest Income (Expense)</w:t>
      </w:r>
      <w:r>
        <w:rPr>
          <w:rFonts w:ascii="Times New Roman" w:cs="Times New Roman" w:eastAsia="Times New Roman" w:hAnsi="Times New Roman"/>
          <w:sz w:val="17"/>
          <w:szCs w:val="17"/>
          <w:color w:val="auto"/>
        </w:rPr>
        <w:t>. Interest expense was $2.2 million for the year ended December 31, 2023 due to interest, including amortization of origination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discounts and warrant value, on the 6% Convertible Notes issued in connection with the business combination consummated on June 14, 2022, and short-term cash advances. Interest expense was $0.9 million for the year ended December 31, 2022.</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Change in fair value of warrants</w:t>
      </w:r>
      <w:r>
        <w:rPr>
          <w:rFonts w:ascii="Times New Roman" w:cs="Times New Roman" w:eastAsia="Times New Roman" w:hAnsi="Times New Roman"/>
          <w:sz w:val="17"/>
          <w:szCs w:val="17"/>
          <w:color w:val="auto"/>
        </w:rPr>
        <w:t>. The liability relating to warrants issued by SpringBig is included on the balance sheet at the value prevailing at the end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period and any change in value is reported in the income statement. As at December 31, 2023, the value of the public warrants, which are quoted for trading on the OTC Pink Market, was $0.0002 per warrant, as compared to $0.0211 per warrant at December 31, 2022. As of the business combination date on June 14, 2022, the fair value per warrant was $0.2810. The liability relating to the warrants is included on the balance sheet at the value prevailing at the end of the accounting period. During the year ended December 31, 2023, a $0.3 million gain related to the change in value of the warrants is reported in the income statement. During the year ended December 31, 2022, a $4.2 million gain related to the change in value of the warrants is reported in the income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&amp; Capital Resources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and cash advances as described below. Our primary uses of cash in the short-term are to fund our operations as we continue to grow our business.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At the time of the business combination, we entered into two incremental financing agreements. An institutional investor, L1 Capital Global Opportunities, through a securities purchase agreement agreed to purchase $11.0 million of Secured Convertible Notes (“the “L1 Notes”) and a number of warrants equal to one-half of the principal amount of the notes divided by the volume weighted average price on the trading day prior to closing. This financing closed immediately after the business combination. As discussed in Note 11 of the notes to the consolidated financial statements, the L1 Notes were amended on May 24, 2023 and May 25, 2023 to extend the due date for repayment, adjust the conversion share price to $1.00, and adjust the exercise price of the attached warrants to $1.00. The Company accounted for the amendments as a debt modification pursuant to ASC 470-50-40-10, and the impact to the financial statements was not significant.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31, 2023, SpringBig raised gross cash proceeds of approximately $3.0 million through a public equity offering and in addition $1.25 million of the</w:t>
      </w:r>
    </w:p>
    <w:p>
      <w:pPr>
        <w:spacing w:after="0" w:line="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outstanding principal of the L1 Notes was converted into common shares. In aggregate, 14.0 million common shares were issued, of which, approximately 1.0 million related to conversion of a portion of the L1 Notes to common shares on June 15, 2023. The cash proceeds from the public equity offering, after payment</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of transaction related fees, were $2.5 million and these funds were in part used to make further repayments of principal of the L1 Notes and in part for general corporate purposes.</w:t>
      </w:r>
    </w:p>
    <w:p>
      <w:pPr>
        <w:spacing w:after="0" w:line="19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the total outstanding amount payable to Cedar was $1.1 million, payable in weekly installments of $30,000 until August 2024.</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the total outstanding amount payable to ACF was $1.7 million, payable in weekly installments of $55,000 until July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accounts receivable, and working capital at December 31, 2023 and December 31, 2022 (in thousands):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top w:val="single" w:sz="8" w:color="auto"/>
            </w:tcBorders>
          </w:tcPr>
          <w:p>
            <w:pPr>
              <w:jc w:val="center"/>
              <w:ind w:left="1353"/>
              <w:spacing w:after="0"/>
              <w:rPr>
                <w:sz w:val="20"/>
                <w:szCs w:val="20"/>
                <w:color w:val="auto"/>
              </w:rPr>
            </w:pPr>
            <w:r>
              <w:rPr>
                <w:rFonts w:ascii="Times New Roman" w:cs="Times New Roman" w:eastAsia="Times New Roman" w:hAnsi="Times New Roman"/>
                <w:sz w:val="17"/>
                <w:szCs w:val="17"/>
                <w:color w:val="auto"/>
                <w:w w:val="99"/>
              </w:rPr>
              <w:t>3,546</w:t>
            </w:r>
          </w:p>
        </w:tc>
      </w:tr>
      <w:tr>
        <w:trPr>
          <w:trHeight w:val="22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353"/>
              <w:spacing w:after="0"/>
              <w:rPr>
                <w:sz w:val="20"/>
                <w:szCs w:val="20"/>
                <w:color w:val="auto"/>
              </w:rPr>
            </w:pPr>
            <w:r>
              <w:rPr>
                <w:rFonts w:ascii="Times New Roman" w:cs="Times New Roman" w:eastAsia="Times New Roman" w:hAnsi="Times New Roman"/>
                <w:sz w:val="17"/>
                <w:szCs w:val="17"/>
                <w:color w:val="auto"/>
                <w:w w:val="99"/>
              </w:rPr>
              <w:t>2,889</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center"/>
              <w:ind w:left="1333"/>
              <w:spacing w:after="0"/>
              <w:rPr>
                <w:sz w:val="20"/>
                <w:szCs w:val="20"/>
                <w:color w:val="auto"/>
              </w:rPr>
            </w:pPr>
            <w:r>
              <w:rPr>
                <w:rFonts w:ascii="Times New Roman" w:cs="Times New Roman" w:eastAsia="Times New Roman" w:hAnsi="Times New Roman"/>
                <w:sz w:val="17"/>
                <w:szCs w:val="17"/>
                <w:color w:val="auto"/>
              </w:rPr>
              <w:t>(1,544)</w:t>
            </w:r>
          </w:p>
        </w:tc>
      </w:tr>
    </w:tbl>
    <w:p>
      <w:pPr>
        <w:spacing w:after="0" w:line="2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After the end of the financial year, on January 23, 2024, the Company raised $6.4 million through the issuance of 8% Convertible Notes and $1.6 million through the issuance of 12% Term Notes. The net cash proceeds, after transaction expenses, were $7.5 million.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17"/>
          <w:szCs w:val="17"/>
          <w:color w:val="auto"/>
        </w:rPr>
        <w:t>The 8% Convertible Notes accrue interest which is added to the outstanding principal balance annually. The Notes are convertible into common stock at a conversion price of $0.15 per share at the holder’s option any time up to the day prior to maturity in January 2026. The 12% Term Notes, due in January 2026, accrue interest payable in cash semi-annually. The 8% Convertible Notes and 12% Term Notes rank pari passu and are secured by substantially all the assets of the Company.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16, 2024, we entered into an agreement with L1 Capital Global Opportunities to repurchase the entire outstanding principal of the L1 Notes and cancel the associated warrants. The outstanding principal and accrued interest was $5.2 million. SpringBig, using a portion of the proceeds from the 8% Convertible Notes, due 2026, purchased the entire outstanding obligation to L1 Capital Global Opportunities for $2.9 million. The gain on repurchase will be recognized in 2024.</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these subsequent events, the Company has a stronger and cleaner balance sheet.</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8% Convertible Notes and 12% Term Notes also contain a number of restrictive covenants that may impose significant restrictions on obtaining future financings, including restrictions on SpringBig’s ability to do any of each following while the 8% Convertible Notes and 12%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26"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investing and financing activities for the years ended December 31, 2023 and 2022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shd w:val="clear" w:color="auto" w:fill="CCEEFF"/>
          </w:tcPr>
          <w:p>
            <w:pPr>
              <w:spacing w:after="0"/>
              <w:rPr>
                <w:sz w:val="18"/>
                <w:szCs w:val="18"/>
                <w:color w:val="auto"/>
              </w:rPr>
            </w:pPr>
          </w:p>
        </w:tc>
        <w:tc>
          <w:tcPr>
            <w:tcW w:w="2640" w:type="dxa"/>
            <w:vAlign w:val="bottom"/>
            <w:tcBorders>
              <w:bottom w:val="single" w:sz="8" w:color="auto"/>
            </w:tcBorders>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0" w:type="dxa"/>
            <w:vAlign w:val="bottom"/>
            <w:tcBorders>
              <w:bottom w:val="single" w:sz="8" w:color="auto"/>
            </w:tcBorders>
            <w:shd w:val="clear" w:color="auto" w:fill="CCEEFF"/>
          </w:tcPr>
          <w:p>
            <w:pPr>
              <w:spacing w:after="0"/>
              <w:rPr>
                <w:sz w:val="18"/>
                <w:szCs w:val="18"/>
                <w:color w:val="auto"/>
              </w:rPr>
            </w:pPr>
          </w:p>
        </w:tc>
      </w:tr>
      <w:tr>
        <w:trPr>
          <w:trHeight w:val="216"/>
        </w:trPr>
        <w:tc>
          <w:tcPr>
            <w:tcW w:w="7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right w:val="single" w:sz="8" w:color="DBDBDB"/>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(used in) provided by: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(14,518)</w:t>
            </w:r>
          </w:p>
        </w:tc>
      </w:tr>
      <w:tr>
        <w:trPr>
          <w:trHeight w:val="223"/>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16,250</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1,319</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8"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59" w:lineRule="exact"/>
        <w:rPr>
          <w:sz w:val="20"/>
          <w:szCs w:val="20"/>
          <w:color w:val="auto"/>
        </w:rPr>
      </w:pPr>
    </w:p>
    <w:p>
      <w:pPr>
        <w:jc w:val="both"/>
        <w:ind w:firstLine="433"/>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2023, the net loss was $10.2 million and the cash used in operating activities was $4.0 million. The difference of $6.2 million is due to $1.5 million of non-cash items ($0.8 million relating to stock compensation expense and $1.0 million relating to depreciation and amortization and $0.4 million relating to asset write-offs, offset by a $0.3 million gain on fair value of warrants), $1.7 million deferred payroll tax credit cash receipt, and a $2.6 million movement in working capital, primarily due to a $2.2 million increase in accounts payable and other liabilities.</w:t>
      </w:r>
    </w:p>
    <w:p>
      <w:pPr>
        <w:spacing w:after="0" w:line="195"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2022, the net loss was $13.1 million and cash used in operating activities was $1.4 million higher at $14.5 million. This additional cash used was due to $2.4 million in non-cash items ($4.2 million change in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jc w:val="both"/>
        <w:spacing w:after="0" w:line="281" w:lineRule="auto"/>
        <w:rPr>
          <w:sz w:val="20"/>
          <w:szCs w:val="20"/>
          <w:color w:val="auto"/>
        </w:rPr>
      </w:pPr>
      <w:r>
        <w:rPr>
          <w:rFonts w:ascii="Times New Roman" w:cs="Times New Roman" w:eastAsia="Times New Roman" w:hAnsi="Times New Roman"/>
          <w:sz w:val="17"/>
          <w:szCs w:val="17"/>
          <w:color w:val="auto"/>
        </w:rPr>
        <w:t>value of warrants offset by $1.8 million relating to stock compensation expense and depreciation and amortization) offset by a $1.0 million movement in working capital.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8"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SpringBig has low capital investment requirements, with our needs comprising primarily computer equipment and office furniture and related items. Cash used in investing activities was $0.4 million for the year ended December 31, 2023 and $0.4 million for the year ended December 31, 2022.</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2023, the net cash provided by financing activities was $1.1 million, comprising $2.7 million from the issuance of common stock and exercise of employee stock options, $1.9 million from short-term cash advances, net of repayments, offset by $3.2 million used to repay the L1 Notes.</w:t>
      </w:r>
    </w:p>
    <w:p>
      <w:pPr>
        <w:spacing w:after="0" w:line="3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During the year ended December 31, 2022, the net cash provided by financing activities was $16.3 million, comprising $8.8 million from TCAC non-redeeming shareholders, $13.1 million from the issuance of new common stock pursuant to the PIPE financing and $10.0 million from the L1 Notes less merger related expenses of $14.8 million to provide net cash of $17.1 million associated with the closing of the business combination with Tuatara. Subsequent to the business combination $1.0 million of the L1 Notes has been repaid prior to December 31, 2022 and during the year ended December 31, 2022, $0.1 million was received due to the exercise of employee stock options.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December 31, 2023, there were no off-balance sheet arrangements between us and any other entity that have, or are reasonably likely to have, a current</w:t>
      </w:r>
    </w:p>
    <w:p>
      <w:pPr>
        <w:spacing w:after="0" w:line="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or future effect on our financial condition, changes in financial condition, revenue or expenses, results of operations, liquidity, capital expenditures or capital resources that is material to shareholders.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Estimates</w:t>
      </w:r>
    </w:p>
    <w:p>
      <w:pPr>
        <w:spacing w:after="0" w:line="228" w:lineRule="exact"/>
        <w:rPr>
          <w:sz w:val="20"/>
          <w:szCs w:val="20"/>
          <w:color w:val="auto"/>
        </w:rPr>
      </w:pPr>
    </w:p>
    <w:p>
      <w:pPr>
        <w:jc w:val="both"/>
        <w:ind w:firstLine="433"/>
        <w:spacing w:after="0" w:line="234"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and allowance for credit losses have the greatest potential impact on our consolidated financial statements. Therefore, we consider the policies related to income taxes, equity-based compensation, and allowance for credit losses to be our critical accounting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 w:cs="Times New Roman" w:eastAsia="Times New Roman" w:hAnsi="Times New Roman"/>
          <w:sz w:val="17"/>
          <w:szCs w:val="17"/>
          <w:i w:val="1"/>
          <w:iCs w:val="1"/>
          <w:color w:val="auto"/>
        </w:rPr>
        <w:t>Balance Sheet Classification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Deferred Taxes</w:t>
      </w:r>
      <w:r>
        <w:rPr>
          <w:rFonts w:ascii="Times New Roman" w:cs="Times New Roman" w:eastAsia="Times New Roman" w:hAnsi="Times New Roman"/>
          <w:sz w:val="17"/>
          <w:szCs w:val="17"/>
          <w:color w:val="auto"/>
        </w:rPr>
        <w:t>. The guidance requires that all deferred tax assets and liabilities, along with any related valuation allowance, be classified as noncurrent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sheet. As a result, each jurisdiction will only have one net noncurrent deferred tax asset or liability.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2023 and 2022, there are no uncertain tax positions taken, or expected to be taken, that would require recognition of a liability or disclosure in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ASC 718, Compensation - Stock Compensation, </w:t>
      </w:r>
      <w:r>
        <w:rPr>
          <w:rFonts w:ascii="Times New Roman" w:cs="Times New Roman" w:eastAsia="Times New Roman" w:hAnsi="Times New Roman"/>
          <w:sz w:val="17"/>
          <w:szCs w:val="17"/>
          <w:color w:val="auto"/>
        </w:rPr>
        <w:t>addresses accounting for share-based awards, including stock options, restricted stock, performance shares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Accounts receivable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Recent Accounting Pronouncements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231F20"/>
        </w:rPr>
        <w:t>See the section titled “Summary of Significant Accounting Policies” in Note 2 of the notes to our audited consolidated financial statements included in this report for more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and Smaller Reporting Company Status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Fluctuation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3" w:name="page54"/>
    <w:bookmarkEnd w:id="53"/>
    <w:p>
      <w:pPr>
        <w:jc w:val="both"/>
        <w:spacing w:after="0" w:line="281" w:lineRule="auto"/>
        <w:rPr>
          <w:sz w:val="20"/>
          <w:szCs w:val="20"/>
          <w:color w:val="auto"/>
        </w:rPr>
      </w:pPr>
      <w:r>
        <w:rPr>
          <w:rFonts w:ascii="Times New Roman" w:cs="Times New Roman" w:eastAsia="Times New Roman" w:hAnsi="Times New Roman"/>
          <w:sz w:val="17"/>
          <w:szCs w:val="17"/>
          <w:color w:val="auto"/>
        </w:rPr>
        <w:t>insensitive to interest rate changes. In future periods, we will continue to evaluate our investment policy in order to ensure that we continue to meet our overall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Rate Risk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operations in Toronto, Canada and customers located in Canada. Given our reporting currency is US dollars, this results in exchange rate translation</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risk. The effect is minimized by matching our Canadian income and expense with our Canadian customers being invoiced in their local currency. The exchange rate risk to our financial statements is immaterial.</w:t>
      </w:r>
    </w:p>
    <w:p>
      <w:pPr>
        <w:sectPr>
          <w:pgSz w:w="11900" w:h="16838" w:orient="portrait"/>
          <w:cols w:equalWidth="0" w:num="1">
            <w:col w:w="11240"/>
          </w:cols>
          <w:pgMar w:left="320" w:top="855" w:right="33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903"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8. Financial Statements</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b w:val="1"/>
          <w:bCs w:val="1"/>
          <w:color w:val="auto"/>
        </w:rPr>
        <w:t>SPRINGBIG HOLDINGS, INC.</w:t>
      </w:r>
    </w:p>
    <w:p>
      <w:pPr>
        <w:jc w:val="center"/>
        <w:ind w:right="-339"/>
        <w:spacing w:after="0"/>
        <w:rPr>
          <w:sz w:val="20"/>
          <w:szCs w:val="20"/>
          <w:color w:val="auto"/>
        </w:rPr>
      </w:pPr>
      <w:r>
        <w:rPr>
          <w:rFonts w:ascii="Times New Roman" w:cs="Times New Roman" w:eastAsia="Times New Roman" w:hAnsi="Times New Roman"/>
          <w:sz w:val="21"/>
          <w:szCs w:val="21"/>
          <w:b w:val="1"/>
          <w:bCs w:val="1"/>
          <w:color w:val="auto"/>
        </w:rPr>
        <w:t>INDEX TO CONSOLIDATED FINANCIAL STATEMENTS</w:t>
      </w: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9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Financial Statements</w:t>
            </w:r>
          </w:p>
        </w:tc>
        <w:tc>
          <w:tcPr>
            <w:tcW w:w="1280" w:type="dxa"/>
            <w:vAlign w:val="bottom"/>
            <w:gridSpan w:val="3"/>
            <w:shd w:val="clear" w:color="auto" w:fill="CCEEFF"/>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84"/>
        </w:trPr>
        <w:tc>
          <w:tcPr>
            <w:tcW w:w="9260" w:type="dxa"/>
            <w:vAlign w:val="bottom"/>
            <w:gridSpan w:val="6"/>
          </w:tcPr>
          <w:p>
            <w:pPr>
              <w:spacing w:after="0" w:line="184"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(PCAOB ID N0. </w:t>
            </w:r>
            <w:r>
              <w:rPr>
                <w:rFonts w:ascii="Times New Roman" w:cs="Times New Roman" w:eastAsia="Times New Roman" w:hAnsi="Times New Roman"/>
                <w:sz w:val="17"/>
                <w:szCs w:val="17"/>
                <w:color w:val="000000"/>
              </w:rPr>
              <w:t>688</w:t>
            </w:r>
            <w:r>
              <w:rPr>
                <w:rFonts w:ascii="Times New Roman" w:cs="Times New Roman" w:eastAsia="Times New Roman" w:hAnsi="Times New Roman"/>
                <w:sz w:val="17"/>
                <w:szCs w:val="17"/>
                <w:u w:val="single" w:color="auto"/>
                <w:color w:val="0000FF"/>
              </w:rPr>
              <w:t>)</w:t>
            </w:r>
          </w:p>
        </w:tc>
        <w:tc>
          <w:tcPr>
            <w:tcW w:w="1280" w:type="dxa"/>
            <w:vAlign w:val="bottom"/>
            <w:gridSpan w:val="3"/>
          </w:tcPr>
          <w:p>
            <w:pPr>
              <w:jc w:val="center"/>
              <w:ind w:left="613"/>
              <w:spacing w:after="0" w:line="184" w:lineRule="exact"/>
              <w:rPr>
                <w:sz w:val="20"/>
                <w:szCs w:val="20"/>
                <w:color w:val="auto"/>
              </w:rPr>
            </w:pPr>
            <w:r>
              <w:rPr>
                <w:rFonts w:ascii="Times New Roman" w:cs="Times New Roman" w:eastAsia="Times New Roman" w:hAnsi="Times New Roman"/>
                <w:sz w:val="17"/>
                <w:szCs w:val="17"/>
                <w:color w:val="3051F2"/>
              </w:rPr>
              <w:t>55</w:t>
            </w:r>
          </w:p>
        </w:tc>
      </w:tr>
      <w:tr>
        <w:trPr>
          <w:trHeight w:val="30"/>
        </w:trPr>
        <w:tc>
          <w:tcPr>
            <w:tcW w:w="306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3051F2"/>
          </w:tcPr>
          <w:p>
            <w:pPr>
              <w:spacing w:after="0"/>
              <w:rPr>
                <w:sz w:val="2"/>
                <w:szCs w:val="2"/>
                <w:color w:val="auto"/>
              </w:rPr>
            </w:pPr>
          </w:p>
        </w:tc>
        <w:tc>
          <w:tcPr>
            <w:tcW w:w="200" w:type="dxa"/>
            <w:vAlign w:val="bottom"/>
          </w:tcPr>
          <w:p>
            <w:pPr>
              <w:spacing w:after="0"/>
              <w:rPr>
                <w:sz w:val="2"/>
                <w:szCs w:val="2"/>
                <w:color w:val="auto"/>
              </w:rPr>
            </w:pPr>
          </w:p>
        </w:tc>
      </w:tr>
      <w:tr>
        <w:trPr>
          <w:trHeight w:val="193"/>
        </w:trPr>
        <w:tc>
          <w:tcPr>
            <w:tcW w:w="53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Balance Sheets as of December 31, 2023 and 2022</w:t>
            </w:r>
          </w:p>
        </w:tc>
        <w:tc>
          <w:tcPr>
            <w:tcW w:w="3900" w:type="dxa"/>
            <w:vAlign w:val="bottom"/>
            <w:gridSpan w:val="3"/>
            <w:shd w:val="clear" w:color="auto" w:fill="CCEEFF"/>
          </w:tcPr>
          <w:p>
            <w:pPr>
              <w:spacing w:after="0"/>
              <w:rPr>
                <w:sz w:val="16"/>
                <w:szCs w:val="16"/>
                <w:color w:val="auto"/>
              </w:rPr>
            </w:pPr>
          </w:p>
        </w:tc>
        <w:tc>
          <w:tcPr>
            <w:tcW w:w="1280" w:type="dxa"/>
            <w:vAlign w:val="bottom"/>
            <w:gridSpan w:val="3"/>
            <w:shd w:val="clear" w:color="auto" w:fill="CCEEFF"/>
          </w:tcPr>
          <w:p>
            <w:pPr>
              <w:jc w:val="center"/>
              <w:ind w:left="613"/>
              <w:spacing w:after="0" w:line="194" w:lineRule="exact"/>
              <w:rPr>
                <w:sz w:val="20"/>
                <w:szCs w:val="20"/>
                <w:color w:val="auto"/>
              </w:rPr>
            </w:pPr>
            <w:r>
              <w:rPr>
                <w:rFonts w:ascii="Times New Roman" w:cs="Times New Roman" w:eastAsia="Times New Roman" w:hAnsi="Times New Roman"/>
                <w:sz w:val="17"/>
                <w:szCs w:val="17"/>
                <w:color w:val="3051F2"/>
              </w:rPr>
              <w:t>56</w:t>
            </w:r>
          </w:p>
        </w:tc>
      </w:tr>
      <w:tr>
        <w:trPr>
          <w:trHeight w:val="39"/>
        </w:trPr>
        <w:tc>
          <w:tcPr>
            <w:tcW w:w="306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100" w:type="dxa"/>
            <w:vAlign w:val="bottom"/>
            <w:tcBorders>
              <w:left w:val="single" w:sz="8" w:color="CCEEFF"/>
            </w:tcBorders>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3051F2"/>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4"/>
        </w:trPr>
        <w:tc>
          <w:tcPr>
            <w:tcW w:w="6280" w:type="dxa"/>
            <w:vAlign w:val="bottom"/>
            <w:gridSpan w:val="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2023 and 2022</w:t>
            </w:r>
          </w:p>
        </w:tc>
        <w:tc>
          <w:tcPr>
            <w:tcW w:w="2980" w:type="dxa"/>
            <w:vAlign w:val="bottom"/>
            <w:gridSpan w:val="2"/>
          </w:tcPr>
          <w:p>
            <w:pPr>
              <w:spacing w:after="0"/>
              <w:rPr>
                <w:sz w:val="15"/>
                <w:szCs w:val="15"/>
                <w:color w:val="auto"/>
              </w:rPr>
            </w:pPr>
          </w:p>
        </w:tc>
        <w:tc>
          <w:tcPr>
            <w:tcW w:w="1280" w:type="dxa"/>
            <w:vAlign w:val="bottom"/>
            <w:gridSpan w:val="3"/>
          </w:tcPr>
          <w:p>
            <w:pPr>
              <w:jc w:val="center"/>
              <w:ind w:left="613"/>
              <w:spacing w:after="0" w:line="184" w:lineRule="exact"/>
              <w:rPr>
                <w:sz w:val="20"/>
                <w:szCs w:val="20"/>
                <w:color w:val="auto"/>
              </w:rPr>
            </w:pPr>
            <w:r>
              <w:rPr>
                <w:rFonts w:ascii="Times New Roman" w:cs="Times New Roman" w:eastAsia="Times New Roman" w:hAnsi="Times New Roman"/>
                <w:sz w:val="17"/>
                <w:szCs w:val="17"/>
                <w:color w:val="3051F2"/>
              </w:rPr>
              <w:t>57</w:t>
            </w:r>
          </w:p>
        </w:tc>
      </w:tr>
      <w:tr>
        <w:trPr>
          <w:trHeight w:val="30"/>
        </w:trPr>
        <w:tc>
          <w:tcPr>
            <w:tcW w:w="306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3051F2"/>
          </w:tcPr>
          <w:p>
            <w:pPr>
              <w:spacing w:after="0"/>
              <w:rPr>
                <w:sz w:val="2"/>
                <w:szCs w:val="2"/>
                <w:color w:val="auto"/>
              </w:rPr>
            </w:pPr>
          </w:p>
        </w:tc>
        <w:tc>
          <w:tcPr>
            <w:tcW w:w="200" w:type="dxa"/>
            <w:vAlign w:val="bottom"/>
          </w:tcPr>
          <w:p>
            <w:pPr>
              <w:spacing w:after="0"/>
              <w:rPr>
                <w:sz w:val="2"/>
                <w:szCs w:val="2"/>
                <w:color w:val="auto"/>
              </w:rPr>
            </w:pPr>
          </w:p>
        </w:tc>
      </w:tr>
      <w:tr>
        <w:trPr>
          <w:trHeight w:val="193"/>
        </w:trPr>
        <w:tc>
          <w:tcPr>
            <w:tcW w:w="926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Changes in Stockholders’ Equity (Deficit) for the Years Ended December 31, 2023 and 202</w:t>
            </w:r>
            <w:r>
              <w:rPr>
                <w:rFonts w:ascii="Times New Roman" w:cs="Times New Roman" w:eastAsia="Times New Roman" w:hAnsi="Times New Roman"/>
                <w:sz w:val="17"/>
                <w:szCs w:val="17"/>
                <w:color w:val="000000"/>
              </w:rPr>
              <w:t>2</w:t>
            </w:r>
          </w:p>
        </w:tc>
        <w:tc>
          <w:tcPr>
            <w:tcW w:w="1280" w:type="dxa"/>
            <w:vAlign w:val="bottom"/>
            <w:gridSpan w:val="3"/>
            <w:shd w:val="clear" w:color="auto" w:fill="CCEEFF"/>
          </w:tcPr>
          <w:p>
            <w:pPr>
              <w:jc w:val="center"/>
              <w:ind w:left="613"/>
              <w:spacing w:after="0" w:line="194" w:lineRule="exact"/>
              <w:rPr>
                <w:sz w:val="20"/>
                <w:szCs w:val="20"/>
                <w:color w:val="auto"/>
              </w:rPr>
            </w:pPr>
            <w:r>
              <w:rPr>
                <w:rFonts w:ascii="Times New Roman" w:cs="Times New Roman" w:eastAsia="Times New Roman" w:hAnsi="Times New Roman"/>
                <w:sz w:val="17"/>
                <w:szCs w:val="17"/>
                <w:color w:val="3051F2"/>
              </w:rPr>
              <w:t>58</w:t>
            </w:r>
          </w:p>
        </w:tc>
      </w:tr>
      <w:tr>
        <w:trPr>
          <w:trHeight w:val="39"/>
        </w:trPr>
        <w:tc>
          <w:tcPr>
            <w:tcW w:w="306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100" w:type="dxa"/>
            <w:vAlign w:val="bottom"/>
            <w:tcBorders>
              <w:left w:val="single" w:sz="8" w:color="0000FF"/>
            </w:tcBorders>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3051F2"/>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4"/>
        </w:trPr>
        <w:tc>
          <w:tcPr>
            <w:tcW w:w="6280" w:type="dxa"/>
            <w:vAlign w:val="bottom"/>
            <w:gridSpan w:val="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and 2022</w:t>
            </w:r>
          </w:p>
        </w:tc>
        <w:tc>
          <w:tcPr>
            <w:tcW w:w="2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center"/>
              <w:ind w:left="613"/>
              <w:spacing w:after="0" w:line="184" w:lineRule="exact"/>
              <w:rPr>
                <w:sz w:val="20"/>
                <w:szCs w:val="20"/>
                <w:color w:val="auto"/>
              </w:rPr>
            </w:pPr>
            <w:r>
              <w:rPr>
                <w:rFonts w:ascii="Times New Roman" w:cs="Times New Roman" w:eastAsia="Times New Roman" w:hAnsi="Times New Roman"/>
                <w:sz w:val="17"/>
                <w:szCs w:val="17"/>
                <w:color w:val="3051F2"/>
              </w:rPr>
              <w:t>59</w:t>
            </w:r>
          </w:p>
        </w:tc>
      </w:tr>
      <w:tr>
        <w:trPr>
          <w:trHeight w:val="30"/>
        </w:trPr>
        <w:tc>
          <w:tcPr>
            <w:tcW w:w="306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3051F2"/>
          </w:tcPr>
          <w:p>
            <w:pPr>
              <w:spacing w:after="0"/>
              <w:rPr>
                <w:sz w:val="2"/>
                <w:szCs w:val="2"/>
                <w:color w:val="auto"/>
              </w:rPr>
            </w:pPr>
          </w:p>
        </w:tc>
        <w:tc>
          <w:tcPr>
            <w:tcW w:w="200" w:type="dxa"/>
            <w:vAlign w:val="bottom"/>
          </w:tcPr>
          <w:p>
            <w:pPr>
              <w:spacing w:after="0"/>
              <w:rPr>
                <w:sz w:val="2"/>
                <w:szCs w:val="2"/>
                <w:color w:val="auto"/>
              </w:rPr>
            </w:pPr>
          </w:p>
        </w:tc>
      </w:tr>
      <w:tr>
        <w:trPr>
          <w:trHeight w:val="193"/>
        </w:trPr>
        <w:tc>
          <w:tcPr>
            <w:tcW w:w="62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980" w:type="dxa"/>
            <w:vAlign w:val="bottom"/>
            <w:tcBorders>
              <w:left w:val="single" w:sz="8" w:color="CCEEFF"/>
            </w:tcBorders>
            <w:gridSpan w:val="2"/>
            <w:shd w:val="clear" w:color="auto" w:fill="CCEEFF"/>
          </w:tcPr>
          <w:p>
            <w:pPr>
              <w:spacing w:after="0"/>
              <w:rPr>
                <w:sz w:val="16"/>
                <w:szCs w:val="16"/>
                <w:color w:val="auto"/>
              </w:rPr>
            </w:pPr>
          </w:p>
        </w:tc>
        <w:tc>
          <w:tcPr>
            <w:tcW w:w="1280" w:type="dxa"/>
            <w:vAlign w:val="bottom"/>
            <w:gridSpan w:val="3"/>
            <w:shd w:val="clear" w:color="auto" w:fill="CCEEFF"/>
          </w:tcPr>
          <w:p>
            <w:pPr>
              <w:jc w:val="center"/>
              <w:ind w:left="613"/>
              <w:spacing w:after="0" w:line="194" w:lineRule="exact"/>
              <w:rPr>
                <w:sz w:val="20"/>
                <w:szCs w:val="20"/>
                <w:color w:val="auto"/>
              </w:rPr>
            </w:pPr>
            <w:r>
              <w:rPr>
                <w:rFonts w:ascii="Times New Roman" w:cs="Times New Roman" w:eastAsia="Times New Roman" w:hAnsi="Times New Roman"/>
                <w:sz w:val="17"/>
                <w:szCs w:val="17"/>
                <w:color w:val="3051F2"/>
              </w:rPr>
              <w:t>60</w:t>
            </w:r>
          </w:p>
        </w:tc>
      </w:tr>
      <w:tr>
        <w:trPr>
          <w:trHeight w:val="39"/>
        </w:trPr>
        <w:tc>
          <w:tcPr>
            <w:tcW w:w="3060" w:type="dxa"/>
            <w:vAlign w:val="bottom"/>
            <w:shd w:val="clear" w:color="auto" w:fill="0000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100" w:type="dxa"/>
            <w:vAlign w:val="bottom"/>
            <w:tcBorders>
              <w:left w:val="single" w:sz="8" w:color="CCEEFF"/>
            </w:tcBorders>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3051F2"/>
          </w:tcPr>
          <w:p>
            <w:pPr>
              <w:spacing w:after="0"/>
              <w:rPr>
                <w:sz w:val="3"/>
                <w:szCs w:val="3"/>
                <w:color w:val="auto"/>
              </w:rPr>
            </w:pPr>
          </w:p>
        </w:tc>
        <w:tc>
          <w:tcPr>
            <w:tcW w:w="2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91440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1339" w:right="6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Board of Directors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SpringBig Holdings, Inc. (the “Company”) as of December 31, 2023 and 2022, the related consolidated statements of operations, changes in stockholders’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LLP</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 Lauderdale, FL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8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w:t>
            </w: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 receivable</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16"/>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assets</w:t>
            </w:r>
          </w:p>
        </w:tc>
        <w:tc>
          <w:tcPr>
            <w:tcW w:w="96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198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 and other current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Short-term cash advances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4,360</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Deferred payroll tax credits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revenue</w:t>
            </w:r>
          </w:p>
        </w:tc>
        <w:tc>
          <w:tcPr>
            <w:tcW w:w="9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Related party payable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Operating lease liabilities - current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9,817</w:t>
            </w: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non-current</w:t>
            </w:r>
          </w:p>
        </w:tc>
        <w:tc>
          <w:tcPr>
            <w:tcW w:w="9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 - non-current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Warrant liabilities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13,779</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13,285</w:t>
            </w:r>
          </w:p>
        </w:tc>
        <w:tc>
          <w:tcPr>
            <w:tcW w:w="0" w:type="dxa"/>
            <w:vAlign w:val="bottom"/>
          </w:tcPr>
          <w:p>
            <w:pPr>
              <w:spacing w:after="0"/>
              <w:rPr>
                <w:sz w:val="1"/>
                <w:szCs w:val="1"/>
                <w:color w:val="auto"/>
              </w:rPr>
            </w:pPr>
          </w:p>
        </w:tc>
      </w:tr>
      <w:tr>
        <w:trPr>
          <w:trHeight w:val="124"/>
        </w:trPr>
        <w:tc>
          <w:tcPr>
            <w:tcW w:w="7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$0.0001 per share, 300,000,000 authorized at December 31, 2023; 45,339,762 issued and</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outstanding as of December 31, 2023; par value $0.0001 per share, 300,000,000 authorized at December 31, 2022;</w:t>
            </w:r>
          </w:p>
        </w:tc>
        <w:tc>
          <w:tcPr>
            <w:tcW w:w="9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26,659,711 issued and outstanding as of December 31, 2022</w:t>
            </w:r>
          </w:p>
        </w:tc>
        <w:tc>
          <w:tcPr>
            <w:tcW w:w="9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(36,565)</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(26,332)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(8,674)</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57</w:t>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780" w:type="dxa"/>
            <w:vAlign w:val="bottom"/>
            <w:gridSpan w:val="4"/>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3"/>
        </w:trPr>
        <w:tc>
          <w:tcPr>
            <w:tcW w:w="56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0"/>
        </w:trPr>
        <w:tc>
          <w:tcPr>
            <w:tcW w:w="5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780" w:type="dxa"/>
            <w:vAlign w:val="bottom"/>
            <w:gridSpan w:val="4"/>
            <w:shd w:val="clear" w:color="auto" w:fill="CCEEFF"/>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62"/>
        </w:trPr>
        <w:tc>
          <w:tcPr>
            <w:tcW w:w="5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28,050</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26,629</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6,486</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6,701</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21,564</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19,928</w:t>
            </w: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servicing and marketing</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12,333</w:t>
            </w:r>
          </w:p>
        </w:tc>
      </w:tr>
      <w:tr>
        <w:trPr>
          <w:trHeight w:val="223"/>
        </w:trPr>
        <w:tc>
          <w:tcPr>
            <w:tcW w:w="5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Technology and software development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11,353</w:t>
            </w:r>
          </w:p>
        </w:tc>
      </w:tr>
      <w:tr>
        <w:trPr>
          <w:trHeight w:val="22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13,615</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12,542</w:t>
            </w:r>
          </w:p>
        </w:tc>
      </w:tr>
      <w:tr>
        <w:trPr>
          <w:trHeight w:val="21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29,904</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36,228</w:t>
            </w:r>
          </w:p>
        </w:tc>
      </w:tr>
      <w:tr>
        <w:trPr>
          <w:trHeight w:val="85"/>
        </w:trPr>
        <w:tc>
          <w:tcPr>
            <w:tcW w:w="56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w:t>
            </w:r>
          </w:p>
        </w:tc>
      </w:tr>
      <w:tr>
        <w:trPr>
          <w:trHeight w:val="22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5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r>
      <w:tr>
        <w:trPr>
          <w:trHeight w:val="22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(13,073)</w:t>
            </w:r>
          </w:p>
        </w:tc>
      </w:tr>
      <w:tr>
        <w:trPr>
          <w:trHeight w:val="22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9"/>
        </w:trPr>
        <w:tc>
          <w:tcPr>
            <w:tcW w:w="5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loss per common share:</w:t>
            </w:r>
          </w:p>
        </w:tc>
        <w:tc>
          <w:tcPr>
            <w:tcW w:w="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97"/>
        </w:trPr>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 and diluted</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80" w:type="dxa"/>
            <w:vAlign w:val="bottom"/>
          </w:tcPr>
          <w:p>
            <w:pPr>
              <w:spacing w:after="0"/>
              <w:rPr>
                <w:sz w:val="17"/>
                <w:szCs w:val="17"/>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1"/>
        </w:trPr>
        <w:tc>
          <w:tcPr>
            <w:tcW w:w="5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 and diluted</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36,147,187</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22,287,828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color w:val="auto"/>
        </w:rPr>
        <w:t>58</w:t>
      </w:r>
    </w:p>
    <w:p>
      <w:pPr>
        <w:spacing w:after="0" w:line="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59690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80"/>
          </w:cols>
          <w:pgMar w:left="1000" w:top="342" w:right="10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Additional Paid-in</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spacing w:after="0"/>
              <w:rPr>
                <w:sz w:val="20"/>
                <w:szCs w:val="20"/>
                <w:color w:val="auto"/>
              </w:rPr>
            </w:pPr>
          </w:p>
        </w:tc>
        <w:tc>
          <w:tcPr>
            <w:tcW w:w="16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8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80" w:type="dxa"/>
            <w:vAlign w:val="bottom"/>
            <w:gridSpan w:val="8"/>
            <w:shd w:val="clear" w:color="auto" w:fill="CCEEFF"/>
          </w:tcPr>
          <w:p>
            <w:pPr>
              <w:ind w:left="102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17,862,108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17,682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(13,225)</w:t>
            </w:r>
          </w:p>
        </w:tc>
        <w:tc>
          <w:tcPr>
            <w:tcW w:w="16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4,459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Recapitalization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Lease standard adoption</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Issue of common stock (1)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Issue of common stock (2)</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(13,076)</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26,659,711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22,701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(26,332)</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(3,628)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Issue of common stock (3)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Issue of common stock (2)</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5,690,903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Issue of common stock (4)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Issue of common stock (5)</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RSU vesting</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0" w:type="dxa"/>
            <w:vAlign w:val="bottom"/>
          </w:tcPr>
          <w:p>
            <w:pPr>
              <w:spacing w:after="0"/>
              <w:rPr>
                <w:sz w:val="1"/>
                <w:szCs w:val="1"/>
                <w:color w:val="auto"/>
              </w:rPr>
            </w:pPr>
          </w:p>
        </w:tc>
      </w:tr>
      <w:tr>
        <w:trPr>
          <w:trHeight w:val="241"/>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45,339,762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27,887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(36,565)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(8,674)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260" w:hanging="238"/>
        <w:spacing w:after="0"/>
        <w:tabs>
          <w:tab w:leader="none" w:pos="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to satisfy a fee for the Cantor Equity Facility</w:t>
      </w:r>
    </w:p>
    <w:p>
      <w:pPr>
        <w:spacing w:after="0" w:line="119"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as repayment of Senior Secured Convertible Notes</w:t>
      </w:r>
    </w:p>
    <w:p>
      <w:pPr>
        <w:spacing w:after="0" w:line="1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raise</w:t>
      </w:r>
    </w:p>
    <w:p>
      <w:pPr>
        <w:spacing w:after="0" w:line="1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in exchange for services rendered</w:t>
      </w:r>
    </w:p>
    <w:p>
      <w:pPr>
        <w:spacing w:after="0" w:line="1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in connection with settlement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-944245</wp:posOffset>
            </wp:positionV>
            <wp:extent cx="7136130" cy="141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-744855</wp:posOffset>
            </wp:positionV>
            <wp:extent cx="7136130" cy="141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13613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-328295</wp:posOffset>
            </wp:positionV>
            <wp:extent cx="7136130" cy="141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59</w:t>
      </w:r>
    </w:p>
    <w:p>
      <w:pPr>
        <w:spacing w:after="0" w:line="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shd w:val="clear" w:color="auto" w:fill="CCEEFF"/>
          </w:tcPr>
          <w:p>
            <w:pPr>
              <w:spacing w:after="0"/>
              <w:rPr>
                <w:sz w:val="18"/>
                <w:szCs w:val="18"/>
                <w:color w:val="auto"/>
              </w:rPr>
            </w:pPr>
          </w:p>
        </w:tc>
        <w:tc>
          <w:tcPr>
            <w:tcW w:w="280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(13,076)</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8"/>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amortization on convertible notes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1,474</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Convertible note impairment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Abandoned software implementation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 on convertible notes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08"/>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8"/>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payroll tax credits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(14,518)</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convertible note</w:t>
            </w:r>
          </w:p>
        </w:tc>
        <w:tc>
          <w:tcPr>
            <w:tcW w:w="9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transaction cost</w:t>
            </w:r>
          </w:p>
        </w:tc>
        <w:tc>
          <w:tcPr>
            <w:tcW w:w="9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10,110</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short-term cash advance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short-term cash advance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related party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Related party repayments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equity issuance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16,250</w:t>
            </w:r>
          </w:p>
        </w:tc>
        <w:tc>
          <w:tcPr>
            <w:tcW w:w="0" w:type="dxa"/>
            <w:vAlign w:val="bottom"/>
          </w:tcPr>
          <w:p>
            <w:pPr>
              <w:spacing w:after="0"/>
              <w:rPr>
                <w:sz w:val="1"/>
                <w:szCs w:val="1"/>
                <w:color w:val="auto"/>
              </w:rPr>
            </w:pPr>
          </w:p>
        </w:tc>
      </w:tr>
      <w:tr>
        <w:trPr>
          <w:trHeight w:val="20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08"/>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flows disclosures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2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b w:val="1"/>
                <w:bCs w:val="1"/>
                <w:color w:val="auto"/>
              </w:rPr>
              <w:t>Supplemental disclosure of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cash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 and interest into common stock</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7,305</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 assumed in business combination at estimated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4,496</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L1 Notes into common stock</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assets obtained in exchange for lease obligations - operating leases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party payments on accounts payable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for services rendered</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litigation through issuance of common stock</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20" w:type="dxa"/>
            <w:vAlign w:val="bottom"/>
          </w:tcPr>
          <w:p>
            <w:pPr>
              <w:spacing w:after="0"/>
              <w:rPr>
                <w:sz w:val="17"/>
                <w:szCs w:val="17"/>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60</w:t>
      </w:r>
    </w:p>
    <w:p>
      <w:pPr>
        <w:spacing w:after="0" w:line="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59690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105" w:right="5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BUSINESS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SpringBig Holdings, Inc. and its wholly-owned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one direct wholly-owned subsidiary, SpringBig, Inc.</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9, Business Combinations, to these consolidated financial statements for further information.</w:t>
      </w:r>
    </w:p>
    <w:p>
      <w:pPr>
        <w:spacing w:after="0" w:line="200" w:lineRule="exact"/>
        <w:rPr>
          <w:sz w:val="20"/>
          <w:szCs w:val="20"/>
          <w:color w:val="auto"/>
        </w:rPr>
      </w:pP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12,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Beginning June 15, 2022, the ticker symbols for the Company’s common stock and publicly-traded warrants were changed to “SBIG” and “SBIGW,” respectively, and commenced trading on The Nasdaq Capital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10,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$8.7 million, resulting in net business combination proceeds of $10.1 million.</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September 1, 2023, (i) the Board of Directors of SpringBig Holdings, Inc. determined that it would not be in the best interest of the Company or its shareholders to meet the continued listing requirements of the Nasdaq Capital Market, (ii) the Company notified the Nasdaq Stock Market LLC (“Nasdaq”) that it was withdrawing its appeal of the Nasdaq Listings Qualification staff’s delist determination dated March 7, 2023, for the Company’s failure to meet the market value of listed securities requirement in Nasdaq Listing Rule 5450(b)(2)(A) and (iii) the Company received a letter from Nasdaq confirming (a) the withdrawal of the appeal, (b) as a result of the withdrawal,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Company’s common stock and public warrants would be suspended at the open of business on September 5, 2023 and (c) Nasdaq would file a Form 25 Notification of Delisting with the SEC when all of its internal procedural periods have run. The letter also noted that the Company failed to meet the minimum bid price requirement in Nasdaq Listing Rule 5450(a)(1).</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common stock is now quoted for trading on the OTCQX® Best Market and its public warrants are now quoted for trading on the OTC Pink Market under their current trading symbols “SBIG” and “SBIGW,” respectively, following the delisting from trading on the Nasdaq Capital Market. The Company’s common stock started trading on the OTCQX® Best Market on September 6, 2023. The Company remains a reporting company under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Principles of Consolidation and Basis of Presentation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Going Concern and Liquidity</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its ability to meet its liquidity needs through a combination of factors including, but not limited to, cash and cash equivalents, the ongoing increase in revenue through increased usage by customers and new customers, its Stock Purchase Agreement and strategic capital raises. The ultimate success of these plans is not guaranteed.</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Historically, the Company has incurred losses, which has resulted in an accumulated deficit of approximately $36.6 million as of December 31, 2023. Cash flows used in operating activities were $4.0 million and $14.5 million, for the twelve months ended December 31, 2023 and 2022, respectively. As of December 31, 2023, the Company had a working capital deficit of approximately $9.1 million, inclusive of $0.3 million in cash and cash equivalents to cover overhead expenses.</w:t>
      </w:r>
    </w:p>
    <w:p>
      <w:pPr>
        <w:spacing w:after="0" w:line="3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January 23, 2024, the Company issued $6.4 million of 8% Convertible Notes and $1.6 million of 12% Term Notes, both maturing, with no required principal payments, until two-years after issuance in January 2026. The Convertible Notes can be converted at any time prior to maturity, at the option of the Convertible Note holder, into shares of common stock at a conversion price of $0.15 per share. The are no amortization payments prior to maturity and the Company does not have the right to prepay the Convertible Notes or the Term Notes. The proceeds from the issuance of the Convertible Notes and Term Notes were partially used to repurchase the Senior Secured Convertible Note issued in 2022 for a discounted amount of $2.9 million and the remaining proceeds will be used for general corporate purposes.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Based on management projections for increases in revenue and cash received from the Convertible Notes and Term Notes, we estimate that our liquidity and capital resources are sufficient for our current and projected financial needs for the next twelve months, at a minimum, from the date the financial statements are issued.</w:t>
      </w:r>
    </w:p>
    <w:p>
      <w:pPr>
        <w:spacing w:after="0" w:line="3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consolidated financial statements are prepared on a going concern basis and do not include any adjustments that might result from uncertainty about the Company’s ability to continue as a going concern.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Foreign Currency</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“general and administrative expense” on the consolidated statements of operations. These gains and losses are immaterial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Use of Estimates</w:t>
      </w:r>
    </w:p>
    <w:p>
      <w:pPr>
        <w:spacing w:after="0" w:line="2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and allowance for credit losses have the greatest potential impact on our consolidated financial statements. Therefore, we consider the policies related to income taxes, equity-based compensation, and allowance for credit losses to be our critical accounting policies.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Segments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manages its business as a single operating segment. Our chief operating decision maker reviews financial information presented for the purposes of allocating resources and evaluating financial performance at an entity level and we have no segment managers who are held accountable by the chief operating decision maker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280, Segment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Fair Value of Financial Instruments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financial assets, which include cash equivalents, current financial assets and our current financial liabilities have fair values that approximate their carrying value due to their short-term maturities.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Concentrations of Credit Risk</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We perform periodic evaluations of the relative credit standing of the financial institutions.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perform ongoing credit evaluations of our customers’ financial condition and require no collateral from our customers. We maintain an allowance for credit losses based upon the expected collectability of accounts receivable balances.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had one customer representing 14% of total revenues for the twelve months ended December 31, 2023. By comparison, we had one customer that represented 11% of total revenues for the same period 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two customers represented 30% of accounts receivable. At December 31, 2022, one customer represented 12% of accounts receivable.</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had one vendor representing 86% of cost of goods sold for the twelve months ended December 31, 2023. By comparison, we had two vendors that represented 86% of cost of goods sold for the same period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3" w:name="page64"/>
    <w:bookmarkEnd w:id="63"/>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two vendors represented 30% of accounts payable. At December 31, 2022, three vendors represented 54% of accounts payable.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Transaction Costs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9, Business Combinations, to these consolidated financial statements for further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Cash and Cash Equivalents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 maturity of three months or less, when acquired, to be cash equivalents. The Company maintains its cash with three commercial banks.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 of December 31, 2023, the Company’s cash balances in interest and non-interest bearing deposit accounts were below the federally insured limits of $250,000 per financial institution. We monitor the financial condition of such institution and have not experienced any losses associated with these accounts.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Allowance for Credit Losses</w:t>
      </w:r>
    </w:p>
    <w:p>
      <w:pPr>
        <w:spacing w:after="0" w:line="2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Corporation's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Property and Equipment</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Major additions and improvements which extend the life of the assets are capitalized whereas maintenance and repairs, which do not improve or extend the life of the respective assets, are expensed as incurred. When property or equipment is sold or otherwise disposed of, the related cost and accumulated depreciation are removed from the accounts and any gain or loss is included in income.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Depreciation is calculated using the straight-line method over the estimated useful lives of the assets. Leasehold improvements are amortized over the shorter of their estimated useful lives or the terms of the leases.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Contract Assets (Deferred Commission)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recognized a contract asset for the incremental costs (i.e., sales commissions) of obtaining a contract because the Company expects to recover those costs through future fees for the services to be provided. The Company amortizes the asset over the course of three years, which is the estimated number of years a customer is retained.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Capitalized Software Development Costs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Internal and external costs associated with the development stage of computer applications, as well as for upgrades and enhancements that result in additional functionality of the applications, are capitalized in accordance with Accounting Standards Codification (“ASC”) 350-40, </w:t>
      </w:r>
      <w:r>
        <w:rPr>
          <w:rFonts w:ascii="Times New Roman" w:cs="Times New Roman" w:eastAsia="Times New Roman" w:hAnsi="Times New Roman"/>
          <w:sz w:val="17"/>
          <w:szCs w:val="17"/>
          <w:i w:val="1"/>
          <w:iCs w:val="1"/>
          <w:color w:val="auto"/>
        </w:rPr>
        <w:t>Internal-Use Software Accounting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 Internal and external training and maintenance costs are charged to expense as incurred or over the related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81" w:lineRule="auto"/>
        <w:rPr>
          <w:sz w:val="20"/>
          <w:szCs w:val="20"/>
          <w:color w:val="auto"/>
        </w:rPr>
      </w:pPr>
      <w:r>
        <w:rPr>
          <w:rFonts w:ascii="Times New Roman" w:cs="Times New Roman" w:eastAsia="Times New Roman" w:hAnsi="Times New Roman"/>
          <w:sz w:val="17"/>
          <w:szCs w:val="17"/>
          <w:color w:val="auto"/>
        </w:rPr>
        <w:t>period. When a software application is placed in service, the Company begins amortizing the related capitalized software costs using the straight-line method based on its estimated useful life, which is generally three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Impairment of Long-Lived Assets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The Company recognized an impairment loss on capitalized software costs of approximately $116,000 as a result of an unsuccessful application implementation. There were no impairment losses recognized in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Business Combinations</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Acquisitions of subsidiaries are accounted for using the acquisition method. The consideration for each acquisition is measured at the aggregate of the fair values (at the date of acquisition) of assets transferred and liabilities incurred or assumed, and equity instruments issued by the Company. Acquisition-related costs are recognized in the statements of operations in the period which they are incurred. Where applicable, the consideration for the acquisition includes any asset or liability resulting from a contingent consideration arrangement, measured at its acquisition-date fair value. Subsequent changes in such fair values are adjusted against the cost of acquisition where they qualify as measurement period adjustments. All other subsequent changes in the fair value of contingent consideration classified as an asset or liability are accounted for in accordance with relevant guidance consistent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If the initial accounting for a business combination is incomplete by the end of the reporting period in which the combination occurs, the Company will report provisional amounts for the items for which the accounting is incomplete. Those provisional amounts are adjusted during the measurement period, or additional assets or liabilities are recognized, to reflect new information obtained about facts and circumstances that existed as of the acquisition date that, if known, would have affected the amounts recognized as of that date. The measurement period is the period from the date of acquisition to the date the Company obtains complete information about facts and circumstances that existed as of the acquisition date and does not exceed twelve months.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Intangible Assets</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We account for intangible assets under ASC 350, </w:t>
      </w:r>
      <w:r>
        <w:rPr>
          <w:rFonts w:ascii="Times New Roman" w:cs="Times New Roman" w:eastAsia="Times New Roman" w:hAnsi="Times New Roman"/>
          <w:sz w:val="17"/>
          <w:szCs w:val="17"/>
          <w:i w:val="1"/>
          <w:iCs w:val="1"/>
          <w:color w:val="auto"/>
        </w:rPr>
        <w:t>Goodwill and Other</w:t>
      </w:r>
      <w:r>
        <w:rPr>
          <w:rFonts w:ascii="Times New Roman" w:cs="Times New Roman" w:eastAsia="Times New Roman" w:hAnsi="Times New Roman"/>
          <w:sz w:val="17"/>
          <w:szCs w:val="17"/>
          <w:color w:val="auto"/>
        </w:rPr>
        <w:t>. Intangible assets represent software acquired in the acquisition of Beaches Development Group. The amount is recorded at fair value on the date of the acquisition and amortized over its useful life of 3 years, using the straight-line method. The amount for intangible assets is included in property and equipment on the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Deferred Payroll Tax Credits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to these types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5" w:name="page66"/>
    <w:bookmarkEnd w:id="65"/>
    <w:p>
      <w:pPr>
        <w:jc w:val="both"/>
        <w:spacing w:after="0" w:line="281" w:lineRule="auto"/>
        <w:rPr>
          <w:sz w:val="20"/>
          <w:szCs w:val="20"/>
          <w:color w:val="auto"/>
        </w:rPr>
      </w:pPr>
      <w:r>
        <w:rPr>
          <w:rFonts w:ascii="Times New Roman" w:cs="Times New Roman" w:eastAsia="Times New Roman" w:hAnsi="Times New Roman"/>
          <w:sz w:val="17"/>
          <w:szCs w:val="17"/>
          <w:color w:val="auto"/>
        </w:rPr>
        <w:t>credits upon both the receipt of the benefit and the resolution of the uncertainties, including, but not limited to, the completion of any potential audit or examination, or the expiration of the related statute of limitations.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Contract Liabilities (Deferred Revenue)</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in advance of performance obligations being performed for initial start-up fees and payments received in advance of credits utilized. The Company expects to recognize these contract liabilities in the following period when it transfers its services and, therefore, satisfies its performance obligation to the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Revenue Recognition</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Company follows the provisions of FASB Accounting Standards Codification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provides guidance on the recognition, presentation, and disclosure of revenue in financial statements. ASC 606 outlines the basic criteria that must be met to recognize revenue and provides guidance for disclosure related to revenue recognition policies. The Company recognizes revenue upon transfer of control of promised services to customers in an amount that reflects the consideration the Company expects to receive in exchange for those services. We report revenue net of sales and other taxes collected from customers to be remitted to government authorities.</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a standard contract, the Company works with a customer to provide access to an integrated platform that provides all the functions of its proprietary software, which utilizes proprietary technology to send text or email messages to the customer’s contacts based on a credit system. Through this software, the Company allows merchants to provide loyalty plans and rewards directly to consumers through an internet portal and mobile applications. The functions of the software themselves do not have individual value to the customer. Each customer is buying the license to the platform to receive all the benefits of the platform. Therefore, the Company’s single performance obligation is to provide customers the ability to use its proprietary software application that provides marketing and customer engagement services to cannabis dispensaries throughout the United States and Canada.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Nature of Promises to Transfer </w:t>
      </w:r>
      <w:r>
        <w:rPr>
          <w:rFonts w:ascii="Times New Roman" w:cs="Times New Roman" w:eastAsia="Times New Roman" w:hAnsi="Times New Roman"/>
          <w:sz w:val="17"/>
          <w:szCs w:val="17"/>
          <w:color w:val="auto"/>
        </w:rPr>
        <w:t>- The services provided by the Company’s software are subscription based for its retail and brand customers as follows:</w:t>
      </w:r>
    </w:p>
    <w:p>
      <w:pPr>
        <w:spacing w:after="0" w:line="237"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Retail customers - </w:t>
      </w:r>
      <w:r>
        <w:rPr>
          <w:rFonts w:ascii="Times New Roman" w:cs="Times New Roman" w:eastAsia="Times New Roman" w:hAnsi="Times New Roman"/>
          <w:sz w:val="17"/>
          <w:szCs w:val="17"/>
          <w:color w:val="auto"/>
        </w:rPr>
        <w:t>the Company provides its retail customer access to the software for an initial contract that is initially for a term of one year,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automatic annual renewals. Revenue is earned monthly, which consists of the contracted monthly fixed fee for software access and a specified volume of messaging credits plus, if any, optional purchases for additional credits.</w:t>
      </w:r>
    </w:p>
    <w:p>
      <w:pPr>
        <w:spacing w:after="0" w:line="192"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Brand customers </w:t>
      </w:r>
      <w:r>
        <w:rPr>
          <w:rFonts w:ascii="Times New Roman" w:cs="Times New Roman" w:eastAsia="Times New Roman" w:hAnsi="Times New Roman"/>
          <w:sz w:val="17"/>
          <w:szCs w:val="17"/>
          <w:color w:val="auto"/>
        </w:rPr>
        <w:t>– a customer can purchase use of the Company’s software, which includes a certain amount of messaging credits to be utilized over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period of time. The Company recognizes revenue monthly based on the credits used each month.</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Timing of Satisfaction </w:t>
      </w:r>
      <w:r>
        <w:rPr>
          <w:rFonts w:ascii="Times New Roman" w:cs="Times New Roman" w:eastAsia="Times New Roman" w:hAnsi="Times New Roman"/>
          <w:sz w:val="17"/>
          <w:szCs w:val="17"/>
          <w:color w:val="auto"/>
        </w:rPr>
        <w:t>- Control of services is transferred during a subscription period. Services provided by the Company are performed over time on a monthly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basis for retail customers and over a designated contract term generally from six to twelve months.</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Allocating the Transaction Price </w:t>
      </w:r>
      <w:r>
        <w:rPr>
          <w:rFonts w:ascii="Times New Roman" w:cs="Times New Roman" w:eastAsia="Times New Roman" w:hAnsi="Times New Roman"/>
          <w:sz w:val="17"/>
          <w:szCs w:val="17"/>
          <w:color w:val="auto"/>
        </w:rPr>
        <w:t>- The transaction price of a subscription is the amount of consideration to which the Company expects to be entitled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for transferring promised services to a customer. Transaction prices do not include amounts collected on behalf of third parties (e.g., sales taxes).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determine the transaction price of a contract, the Company considers its customary business practices as well as the terms of the contract. For the purpose of determining transaction prices, the Company assumes that the services will be transferred to the customer as promised in accordance with existing contracts and that the contracts will not be cancelled, renewed, or modified.</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contracts with customers have fixed transaction prices that are denominated in U.S. and Canadian dollars. Consideration paid for services that customers purchase from the Company is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6" w:name="page67"/>
    <w:bookmarkEnd w:id="66"/>
    <w:p>
      <w:pPr>
        <w:jc w:val="both"/>
        <w:spacing w:after="0" w:line="281" w:lineRule="auto"/>
        <w:rPr>
          <w:sz w:val="20"/>
          <w:szCs w:val="20"/>
          <w:color w:val="auto"/>
        </w:rPr>
      </w:pPr>
      <w:r>
        <w:rPr>
          <w:rFonts w:ascii="Times New Roman" w:cs="Times New Roman" w:eastAsia="Times New Roman" w:hAnsi="Times New Roman"/>
          <w:sz w:val="17"/>
          <w:szCs w:val="17"/>
          <w:color w:val="auto"/>
        </w:rPr>
        <w:t>Therefore, at the time revenue is recognized, the Company does not estimate expected refunds for services. Customer discounts are netted against revenue and are recognized as incurred.</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both retail and brand contracts, there is only one performance obligation for the standard contract. As such, the transaction price is allocated entirely to that obligation.</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Practical Expedients </w:t>
      </w:r>
      <w:r>
        <w:rPr>
          <w:rFonts w:ascii="Times New Roman" w:cs="Times New Roman" w:eastAsia="Times New Roman" w:hAnsi="Times New Roman"/>
          <w:sz w:val="17"/>
          <w:szCs w:val="17"/>
          <w:color w:val="auto"/>
        </w:rPr>
        <w:t>- The Company has adopted certain practical expedients. The Company has elected to apply the portfolio approach practical expedient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contracts with customers that share the same revenue recognition patterns as the result of evaluating them as a group will have substantially the same result as evaluating them individually.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Cost of Revenues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Cost of revenues principally consists of amounts payable to distributors of messages on behalf of customers across cellular networks and the cost of third-party data and integrations.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Selling, Servicing and Marketing Expenses</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Selling, servicing and marketing expenses consist primarily of personnel and related costs, including salaries, benefits, bonuses, commissions and travel for our sales team, client success and marketing team. Other costs included in this expense are marketing and promotional events. Advertising costs are charged to marketing expense as incurred. Advertising costs were $36,000 and $174,000 for the years ended December 31, 2023 and December 31, 2022,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Technology and Software Development</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Technology and software development expense consist primarily of personnel and related costs, including salaries, benefits, bonuses and cost of server usage by our developers.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General and Administrative Expenses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and related costs for our executive, finance, legal, human resources, and administrative personnel, including salaries, benefits, bonuses, and stock-based compensation, legal, accounting, other professional service fees and other corporate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Stock-Based Compensation</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ASC 718, Compensation - Stock Compensation, </w:t>
      </w:r>
      <w:r>
        <w:rPr>
          <w:rFonts w:ascii="Times New Roman" w:cs="Times New Roman" w:eastAsia="Times New Roman" w:hAnsi="Times New Roman"/>
          <w:sz w:val="17"/>
          <w:szCs w:val="17"/>
          <w:color w:val="auto"/>
        </w:rPr>
        <w:t>addresses accounting for share-based awards, including stock options, restricted stock, performance shares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warrants.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 Stock-based compensation for restricted stock is based on the fair value at the date of grant and recognized over the vesting period.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Earnings Per Share</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Company computes net income per share in accordance with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Under the provisions of ASC 260, basic net income per share is computed by dividing the net income available to common shareholders by the weighted average common shares outstanding during the period. Diluted net income per share adjusts basic net income per share for the effects of stock options, warrants, convertible notes and restricted stock awards only in periods, or for such awards in which the effect is dilutive. ASC 260 also requires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7" w:name="page68"/>
    <w:bookmarkEnd w:id="67"/>
    <w:p>
      <w:pPr>
        <w:jc w:val="both"/>
        <w:spacing w:after="0" w:line="281" w:lineRule="auto"/>
        <w:rPr>
          <w:sz w:val="20"/>
          <w:szCs w:val="20"/>
          <w:color w:val="auto"/>
        </w:rPr>
      </w:pPr>
      <w:r>
        <w:rPr>
          <w:rFonts w:ascii="Times New Roman" w:cs="Times New Roman" w:eastAsia="Times New Roman" w:hAnsi="Times New Roman"/>
          <w:sz w:val="17"/>
          <w:szCs w:val="17"/>
          <w:color w:val="auto"/>
        </w:rPr>
        <w:t>present basic and diluted earnings per share information separately for each class of equity instruments that participate in any income distribution with primary equity instruments.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Income Taxes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 w:cs="Times New Roman" w:eastAsia="Times New Roman" w:hAnsi="Times New Roman"/>
          <w:sz w:val="17"/>
          <w:szCs w:val="17"/>
          <w:i w:val="1"/>
          <w:iCs w:val="1"/>
          <w:color w:val="auto"/>
        </w:rPr>
        <w:t>Balance Sheet Classification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Deferred Taxes</w:t>
      </w:r>
      <w:r>
        <w:rPr>
          <w:rFonts w:ascii="Times New Roman" w:cs="Times New Roman" w:eastAsia="Times New Roman" w:hAnsi="Times New Roman"/>
          <w:sz w:val="17"/>
          <w:szCs w:val="17"/>
          <w:color w:val="auto"/>
        </w:rPr>
        <w:t>. The guidance requires that all deferred tax assets and liabilities, along with any related valuation allowance, be classified as noncurrent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sheet. As a result, each jurisdiction will only have one net noncurrent deferred tax asset or liability.</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2023 and 2022, there are no uncertain tax positions taken, or expected to be taken, that would require recognition of a liability or disclosure in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Effective Accounting Pronouncements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In January 2017, the FASB issued ASU 2017-04, </w:t>
      </w:r>
      <w:r>
        <w:rPr>
          <w:rFonts w:ascii="Times New Roman" w:cs="Times New Roman" w:eastAsia="Times New Roman" w:hAnsi="Times New Roman"/>
          <w:sz w:val="17"/>
          <w:szCs w:val="17"/>
          <w:i w:val="1"/>
          <w:iCs w:val="1"/>
          <w:color w:val="auto"/>
        </w:rPr>
        <w:t>Intangibles—Goodwill and Other (Topic 350)</w:t>
      </w:r>
      <w:r>
        <w:rPr>
          <w:rFonts w:ascii="Times New Roman" w:cs="Times New Roman" w:eastAsia="Times New Roman" w:hAnsi="Times New Roman"/>
          <w:sz w:val="17"/>
          <w:szCs w:val="17"/>
          <w:color w:val="auto"/>
        </w:rPr>
        <w:t>: Simplifying the Test for Goodwill Impairment, which simplifies how an entity is required to test goodwill for impairment by eliminating Step 2 from the goodwill impairment test. The amendments in this update modify the concept of impairment from the condition that exists when the carrying amount of goodwill exceeds its implied fair value to the condition that exists when the carrying amount of a reporting unit exceeds its fair value. This update is effective beginning after December 15, 2021. We adopted this standard on January 1, 2022. The adoption of this standard did not have a material impact on our consolidated financial statements for the period ended December 31, 2023 or 2022.</w:t>
      </w:r>
    </w:p>
    <w:p>
      <w:pPr>
        <w:spacing w:after="0" w:line="200" w:lineRule="exact"/>
        <w:rPr>
          <w:sz w:val="20"/>
          <w:szCs w:val="20"/>
          <w:color w:val="auto"/>
        </w:rPr>
      </w:pP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 (Topic 740) - Simplifying the Accounting for Income Taxes.</w:t>
      </w:r>
      <w:r>
        <w:rPr>
          <w:rFonts w:ascii="Times New Roman" w:cs="Times New Roman" w:eastAsia="Times New Roman" w:hAnsi="Times New Roman"/>
          <w:sz w:val="17"/>
          <w:szCs w:val="17"/>
          <w:color w:val="auto"/>
        </w:rPr>
        <w:t xml:space="preserve"> The ASU enhances and simplifies various aspects of the income tax accounting guidance in ASC 740, including requirements related to the following: (1) hybrid tax regimes; (2) tax basis step-up in goodwill obtained in a transaction that is not a business combination; (3) separate financial statements of entities not subject to tax; (4) intra-period tax allocation exception to the incremental approach; (5) ownership changes in investments; (6) interim-period accounting for enacted changes in tax law; and (7) year-to-date loss limitation in interim-period tax accounting. The amendments in ASU 2019-12 are effective for public business entities for fiscal years beginning after December 15, 2020, including interim periods therein. This update is effective beginning after December 15, 2021. We adopted this standard on January 1, 2022. The adoption of this standard did not have a material impact on our consolidated financial statements for the period ended December 31, 2023 or 2022.</w:t>
      </w:r>
    </w:p>
    <w:p>
      <w:pPr>
        <w:spacing w:after="0" w:line="200" w:lineRule="exact"/>
        <w:rPr>
          <w:sz w:val="20"/>
          <w:szCs w:val="20"/>
          <w:color w:val="auto"/>
        </w:rPr>
      </w:pP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In January 2020, the FASB issued ASU 2020-01, </w:t>
      </w:r>
      <w:r>
        <w:rPr>
          <w:rFonts w:ascii="Times New Roman" w:cs="Times New Roman" w:eastAsia="Times New Roman" w:hAnsi="Times New Roman"/>
          <w:sz w:val="17"/>
          <w:szCs w:val="17"/>
          <w:i w:val="1"/>
          <w:iCs w:val="1"/>
          <w:color w:val="auto"/>
        </w:rPr>
        <w:t>Clarifying the Interactions between Topic 321, Topic 323, and Topic 815</w:t>
      </w:r>
      <w:r>
        <w:rPr>
          <w:rFonts w:ascii="Times New Roman" w:cs="Times New Roman" w:eastAsia="Times New Roman" w:hAnsi="Times New Roman"/>
          <w:sz w:val="17"/>
          <w:szCs w:val="17"/>
          <w:color w:val="auto"/>
        </w:rPr>
        <w:t>. The amendments in this update clarify certain interactions between the guidance to account for certain equity securities. This update is effective beginning after December 15, 2021. We adopted this standard on January 1, 2022. The adoption of this standard did not have a material impact on our consolidated financial statements for the period ended December 31, 2023 or 2022.</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Under ASU 2020-06, embedded conversion features are no longer separated from the host contract for convertible instruments with conversion features that are not required to be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accounted for as derivatives, or that do not result in substantial premiums accounted for as paid-in capital. The convertible debt instruments will now be accounted for as a single liability measured at amortized cost. This results in the interest expense recognized for convertible debt instruments to be closer to the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coupon interest rate. The new guidance also requires the if-converted method to be applied for all convertible instruments when calculating earnings per share. This update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8" w:name="page69"/>
    <w:bookmarkEnd w:id="68"/>
    <w:p>
      <w:pPr>
        <w:jc w:val="both"/>
        <w:spacing w:after="0" w:line="265" w:lineRule="auto"/>
        <w:rPr>
          <w:sz w:val="20"/>
          <w:szCs w:val="20"/>
          <w:color w:val="auto"/>
        </w:rPr>
      </w:pPr>
      <w:r>
        <w:rPr>
          <w:rFonts w:ascii="Times New Roman" w:cs="Times New Roman" w:eastAsia="Times New Roman" w:hAnsi="Times New Roman"/>
          <w:sz w:val="17"/>
          <w:szCs w:val="17"/>
          <w:color w:val="auto"/>
        </w:rPr>
        <w:t>effective beginning after December 15, 2021. We adopted this standard on January 1, 2022. The adoption of this standard did not have a material impact on our consolidated financial statements for the period ended December 31, 2023 or 2022.</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In February 2016, the Financial Accounting Standards Board (“FASB”) issued Accounting Standards Update (“ASU”)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FASB issued ASU 2016-02 to increase transparency and comparability among organizations by recognizing lease assets and lease liabilities on the balance sheet and disclosing key information about leasing arrangements. Certain qualitative and quantitative disclosures are required, as well as a retrospective recognition and measurement of impacted leases. In June 2020, FASB issued ASU 2020-05, </w:t>
      </w:r>
      <w:r>
        <w:rPr>
          <w:rFonts w:ascii="Times New Roman" w:cs="Times New Roman" w:eastAsia="Times New Roman" w:hAnsi="Times New Roman"/>
          <w:sz w:val="17"/>
          <w:szCs w:val="17"/>
          <w:i w:val="1"/>
          <w:iCs w:val="1"/>
          <w:color w:val="auto"/>
        </w:rPr>
        <w:t>Revenue from Contracts with Customers (Topic 606) and Leases (Topic 842):</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i w:val="1"/>
          <w:iCs w:val="1"/>
          <w:color w:val="auto"/>
        </w:rPr>
        <w:t>Deferral of the Effective Dates for Certain Entities</w:t>
      </w:r>
      <w:r>
        <w:rPr>
          <w:rFonts w:ascii="Times New Roman" w:cs="Times New Roman" w:eastAsia="Times New Roman" w:hAnsi="Times New Roman"/>
          <w:sz w:val="17"/>
          <w:szCs w:val="17"/>
          <w:color w:val="auto"/>
        </w:rPr>
        <w:t>, which deferred the effective date of ASU 2016-02 to annual reporting periods beginning after December 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2021, with early adoption permitted. In July 2021, the FASB released Update No. 2021-05 </w:t>
      </w:r>
      <w:r>
        <w:rPr>
          <w:rFonts w:ascii="Times New Roman" w:cs="Times New Roman" w:eastAsia="Times New Roman" w:hAnsi="Times New Roman"/>
          <w:sz w:val="17"/>
          <w:szCs w:val="17"/>
          <w:i w:val="1"/>
          <w:iCs w:val="1"/>
          <w:color w:val="auto"/>
        </w:rPr>
        <w:t>Lessors—Certain Leases with Variable Lease Payments</w:t>
      </w:r>
      <w:r>
        <w:rPr>
          <w:rFonts w:ascii="Times New Roman" w:cs="Times New Roman" w:eastAsia="Times New Roman" w:hAnsi="Times New Roman"/>
          <w:sz w:val="17"/>
          <w:szCs w:val="17"/>
          <w:color w:val="auto"/>
        </w:rPr>
        <w:t>. 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The amendments in this update amend Topic 842. The amendments are effective for fiscal years beginning after December 15, 2021, for all entities, and interim periods within those fiscal years for public business entities and interim periods within fiscal years beginning after December 15, 2022, for all other entities.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adopted this standard on January 1, 2022. As such, we determine if an arrangement is a lease at inception. The Company recognizes a right-of-use (ROU) asset and a lease liability for operating and finance leases by recognizing and measuring leases at the commencement date based on the present value of lease payments over the lease term. The Company does not have any sales-type leases, for which the book value of the leased asset would be removed from the balance sheet and a net investment in sales-type lease would be recognized based on fixed payments under the contract and the residual value of the asset being leased. The Company has elected not to apply the recognition requirements to short-term leases and not to separate nonlease components from associated lease components for all classes of underlying assets. ROU assets are included in non-current assets and lease liabilities are included in current and non-current liabilities on the Company’s consolidated balance sheets. Operating lease expense is included in general and administrative expense on SpringBig’s consolidated statements of operations. See Note 17, Leases, to these consolidated financial statements for further information on the adoption of this accounting standard.</w:t>
      </w:r>
    </w:p>
    <w:p>
      <w:pPr>
        <w:spacing w:after="0" w:line="200" w:lineRule="exact"/>
        <w:rPr>
          <w:sz w:val="20"/>
          <w:szCs w:val="20"/>
          <w:color w:val="auto"/>
        </w:rPr>
      </w:pPr>
    </w:p>
    <w:p>
      <w:pPr>
        <w:spacing w:after="0" w:line="20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w:t>
      </w:r>
      <w:r>
        <w:rPr>
          <w:rFonts w:ascii="Times New Roman" w:cs="Times New Roman" w:eastAsia="Times New Roman" w:hAnsi="Times New Roman"/>
          <w:sz w:val="17"/>
          <w:szCs w:val="17"/>
          <w:color w:val="auto"/>
        </w:rPr>
        <w:t>s. The amendments in this update require that an entity (acquirer) recognize and measure contract assets and contract liabilities acquired in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business combination in accordance with Topic 606. At the acquisition date, an acquirer should account for the related revenue contracts in accordance with Topic 606 as if it had originated the contracts. For public business entities, the amendments in this update are effective for fiscal years beginning after December</w:t>
      </w:r>
    </w:p>
    <w:p>
      <w:pPr>
        <w:spacing w:after="0" w:line="226" w:lineRule="auto"/>
        <w:rPr>
          <w:sz w:val="20"/>
          <w:szCs w:val="20"/>
          <w:color w:val="auto"/>
        </w:rPr>
      </w:pPr>
      <w:r>
        <w:rPr>
          <w:rFonts w:ascii="Times New Roman" w:cs="Times New Roman" w:eastAsia="Times New Roman" w:hAnsi="Times New Roman"/>
          <w:sz w:val="17"/>
          <w:szCs w:val="17"/>
          <w:color w:val="auto"/>
        </w:rPr>
        <w:t>15, 2022, including interim periods within those fiscal years. The amendments in this update should be applied prospectively to business combinations</w:t>
      </w:r>
    </w:p>
    <w:p>
      <w:pPr>
        <w:jc w:val="both"/>
        <w:spacing w:after="0" w:line="217" w:lineRule="auto"/>
        <w:rPr>
          <w:sz w:val="20"/>
          <w:szCs w:val="20"/>
          <w:color w:val="auto"/>
        </w:rPr>
      </w:pPr>
      <w:r>
        <w:rPr>
          <w:rFonts w:ascii="Times New Roman" w:cs="Times New Roman" w:eastAsia="Times New Roman" w:hAnsi="Times New Roman"/>
          <w:sz w:val="17"/>
          <w:szCs w:val="17"/>
          <w:color w:val="auto"/>
        </w:rPr>
        <w:t>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after the beginning of the fiscal year that includes the interim period of early application and (2) prospectively to all business combinations that occur on or after the date of initial application. We adopted this standard on January 1, 2023. The adoption of this standard did not have a material impact on our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for the period ended December 31, 2023.</w:t>
      </w:r>
    </w:p>
    <w:p>
      <w:pPr>
        <w:spacing w:after="0" w:line="20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In June 2016, FASB issued ASU 2016-13, </w:t>
      </w:r>
      <w:r>
        <w:rPr>
          <w:rFonts w:ascii="Times New Roman" w:cs="Times New Roman" w:eastAsia="Times New Roman" w:hAnsi="Times New Roman"/>
          <w:sz w:val="17"/>
          <w:szCs w:val="17"/>
          <w:i w:val="1"/>
          <w:iCs w:val="1"/>
          <w:color w:val="auto"/>
        </w:rPr>
        <w:t>Financial Instruments – Credit Losses (Topic 326): Measurement of Credit Losses on Financial Instruments</w:t>
      </w:r>
      <w:r>
        <w:rPr>
          <w:rFonts w:ascii="Times New Roman" w:cs="Times New Roman" w:eastAsia="Times New Roman" w:hAnsi="Times New Roman"/>
          <w:sz w:val="17"/>
          <w:szCs w:val="17"/>
          <w:color w:val="auto"/>
        </w:rPr>
        <w:t>, to revise the criteria for the measurement, recognition, and reporting of credit losses on financial instruments to be recognized when expected. In November 2019,</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FASB issued ASU 2019-10, </w:t>
      </w:r>
      <w:r>
        <w:rPr>
          <w:rFonts w:ascii="Times New Roman" w:cs="Times New Roman" w:eastAsia="Times New Roman" w:hAnsi="Times New Roman"/>
          <w:sz w:val="17"/>
          <w:szCs w:val="17"/>
          <w:i w:val="1"/>
          <w:iCs w:val="1"/>
          <w:color w:val="auto"/>
        </w:rPr>
        <w:t>Financial Instruments—Credit Losses (Topic 326), Derivatives and Hedging (Topic 815), and Leases (Topic 842)</w:t>
      </w:r>
      <w:r>
        <w:rPr>
          <w:rFonts w:ascii="Times New Roman" w:cs="Times New Roman" w:eastAsia="Times New Roman" w:hAnsi="Times New Roman"/>
          <w:sz w:val="17"/>
          <w:szCs w:val="17"/>
          <w:color w:val="auto"/>
        </w:rPr>
        <w:t>, which deferred the effective date of ASU 2016-13 to annual reporting periods beginning after December 15, 2022, with early adoption permitted. We adopted this standard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2023. The adoption of this standard did not have a material impact on our consolidated financial statements for the period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Recent Accounting Pronouncements Not Yet Adopted</w:t>
      </w:r>
    </w:p>
    <w:p>
      <w:pPr>
        <w:spacing w:after="0" w:line="23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(Topic 280),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The ASU primarily will require enhanced disclosures about significant segment expenses. Additionally, it requires disclosure of the title and position of the individual identified as the CODM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an explanation of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the CODM uses the reported measures of a segment’s profit or loss in assessing segment performance and deciding how to allocate resources. The ASU is</w:t>
      </w:r>
    </w:p>
    <w:p>
      <w:pPr>
        <w:spacing w:after="0" w:line="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effective for annual periods beginning after December 15, 2023, and interim periods within fiscal years beginning after December 15, 2024. Adoption of the ASU should be applied retrospectively to all prior periods presented in the financial statements. The Company is currently evaluating the impact this ASU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on its consolidated financial statements and related disclosures.</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(Topic 740),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(Topic 740). The ASU requires disaggregated information about a reporting entity’s effective tax rate reconciliation as well as an expansion of other income tax disclosures. The ASU is effective on a</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prospective basis for annual reporting periods beginning after December 15, 2024. The Company is currently evaluating the impact this ASU will have on its consolidated financial statements and related disclosures.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 ACCOUNTS RECEIVABLE</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 consisted of the following (in thousands):</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3"/>
        </w:trPr>
        <w:tc>
          <w:tcPr>
            <w:tcW w:w="75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r>
      <w:tr>
        <w:trPr>
          <w:trHeight w:val="223"/>
        </w:trPr>
        <w:tc>
          <w:tcPr>
            <w:tcW w:w="7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shd w:val="clear" w:color="auto" w:fill="CCEEFF"/>
          </w:tcPr>
          <w:p>
            <w:pPr>
              <w:spacing w:after="0"/>
              <w:rPr>
                <w:sz w:val="19"/>
                <w:szCs w:val="19"/>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3,639</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receivables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4,370</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(1,595)</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Bad debt expense was $1.6 million and $1.5 million for the years ending December 31, 2023 and 2022, respectively.</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 details the activity related to the Company’s allowance for credit losses for the years ending December 31, 2023 and 2022, respectively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r>
      <w:tr>
        <w:trPr>
          <w:trHeight w:val="20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2023</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center"/>
              <w:ind w:left="176"/>
              <w:spacing w:after="0"/>
              <w:rPr>
                <w:sz w:val="20"/>
                <w:szCs w:val="20"/>
                <w:color w:val="auto"/>
              </w:rPr>
            </w:pPr>
            <w:r>
              <w:rPr>
                <w:rFonts w:ascii="Times New Roman" w:cs="Times New Roman" w:eastAsia="Times New Roman" w:hAnsi="Times New Roman"/>
                <w:sz w:val="16"/>
                <w:szCs w:val="16"/>
                <w:color w:val="auto"/>
                <w:w w:val="94"/>
              </w:rPr>
              <w:t>1,481</w:t>
            </w:r>
          </w:p>
        </w:tc>
        <w:tc>
          <w:tcPr>
            <w:tcW w:w="420" w:type="dxa"/>
            <w:vAlign w:val="bottom"/>
          </w:tcPr>
          <w:p>
            <w:pPr>
              <w:spacing w:after="0"/>
              <w:rPr>
                <w:sz w:val="17"/>
                <w:szCs w:val="17"/>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Current-period provision (release) for expected credit losses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6"/>
                <w:szCs w:val="16"/>
                <w:color w:val="auto"/>
                <w:w w:val="94"/>
              </w:rPr>
              <w:t>1,563</w:t>
            </w:r>
          </w:p>
        </w:tc>
        <w:tc>
          <w:tcPr>
            <w:tcW w:w="420" w:type="dxa"/>
            <w:vAlign w:val="bottom"/>
          </w:tcPr>
          <w:p>
            <w:pPr>
              <w:spacing w:after="0"/>
              <w:rPr>
                <w:sz w:val="18"/>
                <w:szCs w:val="18"/>
                <w:color w:val="auto"/>
              </w:rPr>
            </w:pPr>
          </w:p>
        </w:tc>
      </w:tr>
      <w:tr>
        <w:trPr>
          <w:trHeight w:val="20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Write-offs charged against the allowance, net of recoveries and other</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6"/>
                <w:szCs w:val="16"/>
                <w:color w:val="auto"/>
                <w:w w:val="98"/>
              </w:rPr>
              <w:t>(1,449)</w:t>
            </w:r>
          </w:p>
        </w:tc>
        <w:tc>
          <w:tcPr>
            <w:tcW w:w="420" w:type="dxa"/>
            <w:vAlign w:val="bottom"/>
          </w:tcPr>
          <w:p>
            <w:pPr>
              <w:spacing w:after="0"/>
              <w:rPr>
                <w:sz w:val="18"/>
                <w:szCs w:val="18"/>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December 31, 2023</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6"/>
                <w:szCs w:val="16"/>
                <w:color w:val="auto"/>
                <w:w w:val="94"/>
              </w:rPr>
              <w:t>1,595</w:t>
            </w:r>
          </w:p>
        </w:tc>
        <w:tc>
          <w:tcPr>
            <w:tcW w:w="420" w:type="dxa"/>
            <w:vAlign w:val="bottom"/>
          </w:tcPr>
          <w:p>
            <w:pPr>
              <w:spacing w:after="0"/>
              <w:rPr>
                <w:sz w:val="17"/>
                <w:szCs w:val="17"/>
                <w:color w:val="auto"/>
              </w:rPr>
            </w:pPr>
          </w:p>
        </w:tc>
      </w:tr>
      <w:tr>
        <w:trPr>
          <w:trHeight w:val="517"/>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 PREPAID EXPENSES AND OTHER CURRENT ASSETS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9"/>
                <w:szCs w:val="19"/>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834</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prepaid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582</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w:t>
            </w:r>
          </w:p>
        </w:tc>
      </w:tr>
      <w:tr>
        <w:trPr>
          <w:trHeight w:val="216"/>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1,505</w:t>
            </w:r>
          </w:p>
        </w:tc>
      </w:tr>
      <w:tr>
        <w:trPr>
          <w:trHeight w:val="20"/>
        </w:trPr>
        <w:tc>
          <w:tcPr>
            <w:tcW w:w="7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8"/>
        </w:trPr>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consist of the following (in thousands):</w:t>
            </w: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3"/>
        </w:trPr>
        <w:tc>
          <w:tcPr>
            <w:tcW w:w="7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1200" w:type="dxa"/>
            <w:vAlign w:val="bottom"/>
          </w:tcPr>
          <w:p>
            <w:pPr>
              <w:spacing w:after="0"/>
              <w:rPr>
                <w:sz w:val="22"/>
                <w:szCs w:val="22"/>
                <w:color w:val="auto"/>
              </w:rPr>
            </w:pPr>
          </w:p>
        </w:tc>
      </w:tr>
      <w:tr>
        <w:trPr>
          <w:trHeight w:val="223"/>
        </w:trPr>
        <w:tc>
          <w:tcPr>
            <w:tcW w:w="7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shd w:val="clear" w:color="auto" w:fill="CCEEFF"/>
          </w:tcPr>
          <w:p>
            <w:pPr>
              <w:spacing w:after="0"/>
              <w:rPr>
                <w:sz w:val="19"/>
                <w:szCs w:val="19"/>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22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warehouse</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9"/>
              </w:rPr>
              <w:t>1,048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(728)</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41"/>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useful life of computer equipment, furniture and fixtures, software and the data warehouse is 3 years.</w:t>
      </w:r>
    </w:p>
    <w:p>
      <w:pPr>
        <w:spacing w:after="0" w:line="2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Depreciation and amortization expenses for the years ended December 31, 2023 and 2022 were $272,000 and $259,000, respectively. The amounts are included in general and administrative expenses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CONVERTIBLE NOTE RECEIVABLE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April 2022, the Company purchased $250,000 in aggregate principal amount of convertible promissory note due April 1, 2026 (the “Convertible Note Receivable”). The Convertible Note Receivable accrued interest at the rate of 5% per annum on the principal amount of the Convertible Note Receivable. The Company determined that the fair value of the Convertible Note was $0 at December 31, 2023. The loss of $272,000, including $22,000 of accrued interest income, was recorded in general and administrative expenses on the Company’s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 ACCRUED EXPENSES AND OTHER LIABILITIES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46"/>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3"/>
        </w:trPr>
        <w:tc>
          <w:tcPr>
            <w:tcW w:w="7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gridSpan w:val="2"/>
          </w:tcPr>
          <w:p>
            <w:pPr>
              <w:spacing w:after="0"/>
              <w:rPr>
                <w:sz w:val="22"/>
                <w:szCs w:val="22"/>
                <w:color w:val="auto"/>
              </w:rPr>
            </w:pPr>
          </w:p>
        </w:tc>
        <w:tc>
          <w:tcPr>
            <w:tcW w:w="1220" w:type="dxa"/>
            <w:vAlign w:val="bottom"/>
          </w:tcPr>
          <w:p>
            <w:pPr>
              <w:spacing w:after="0"/>
              <w:rPr>
                <w:sz w:val="22"/>
                <w:szCs w:val="22"/>
                <w:color w:val="auto"/>
              </w:rPr>
            </w:pPr>
          </w:p>
        </w:tc>
      </w:tr>
      <w:tr>
        <w:trPr>
          <w:trHeight w:val="223"/>
        </w:trPr>
        <w:tc>
          <w:tcPr>
            <w:tcW w:w="7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20" w:type="dxa"/>
            <w:vAlign w:val="bottom"/>
            <w:shd w:val="clear" w:color="auto" w:fill="CCEEFF"/>
          </w:tcPr>
          <w:p>
            <w:pPr>
              <w:spacing w:after="0"/>
              <w:rPr>
                <w:sz w:val="19"/>
                <w:szCs w:val="19"/>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wages, commission and bonus</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financial advisory fees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RELATED PARTY TRANSACTIONS</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incurred software development and information technology related costs to a vendor related through common ownership to a major stockholder of approximately $13,000 and $153,000 for the years ended December 31, 2023 and 2022, respectively. These amounts are included in technology and software development expenses. At December 31, 2023 and 2022, the Company has recorded $2,000 and $3,000, respectively, in accounts payable related to this related party vendor.</w:t>
      </w:r>
    </w:p>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2023, SpringBig’s CEO, Jeffrey Harris, advanced and paid certain expenses on behalf of the Company of approximately $1.0 million for use in operations. As of December 31, 2023, the Company repaid Mr. Harris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approximately $0.5 million. The remaining $0.5 million is included in current liabilities on the Company’s consolidated balance sheets.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BUSINESS COMBINATIONS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u w:val="single" w:color="auto"/>
          <w:color w:val="auto"/>
        </w:rPr>
        <w:t>Reverse Merger</w:t>
      </w:r>
    </w:p>
    <w:p>
      <w:pPr>
        <w:spacing w:after="0" w:line="237" w:lineRule="exact"/>
        <w:rPr>
          <w:sz w:val="20"/>
          <w:szCs w:val="20"/>
          <w:color w:val="auto"/>
        </w:rPr>
      </w:pPr>
    </w:p>
    <w:p>
      <w:pPr>
        <w:jc w:val="both"/>
        <w:ind w:firstLine="352"/>
        <w:spacing w:after="0" w:line="247" w:lineRule="auto"/>
        <w:rPr>
          <w:sz w:val="20"/>
          <w:szCs w:val="20"/>
          <w:color w:val="auto"/>
        </w:rPr>
      </w:pPr>
      <w:r>
        <w:rPr>
          <w:rFonts w:ascii="Times New Roman" w:cs="Times New Roman" w:eastAsia="Times New Roman" w:hAnsi="Times New Roman"/>
          <w:sz w:val="17"/>
          <w:szCs w:val="17"/>
          <w:color w:val="auto"/>
        </w:rPr>
        <w:t>The business combination between Tuatara and Legacy SpringBig was consummated on June 14, 2022. Holders of an aggregate of 19,123,806 Class A ordinary shares of Tuatara sold in its initial public offering properly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222222"/>
        </w:rPr>
        <w:t xml:space="preserve">Beginning June 15, 2022, the ticker symbols for TCAC’s common stock and warrants were changed to “SBIG” and “SBIGW,” respectively, and commenced trading on The Nasdaq Global Market. The Company received net proceeds of </w:t>
      </w:r>
      <w:r>
        <w:rPr>
          <w:rFonts w:ascii="Times New Roman" w:cs="Times New Roman" w:eastAsia="Times New Roman" w:hAnsi="Times New Roman"/>
          <w:sz w:val="17"/>
          <w:szCs w:val="17"/>
          <w:color w:val="000000"/>
        </w:rPr>
        <w:t>$18.8 million</w:t>
      </w:r>
      <w:r>
        <w:rPr>
          <w:rFonts w:ascii="Times New Roman" w:cs="Times New Roman" w:eastAsia="Times New Roman" w:hAnsi="Times New Roman"/>
          <w:sz w:val="17"/>
          <w:szCs w:val="17"/>
          <w:color w:val="222222"/>
        </w:rPr>
        <w:t xml:space="preserve">, with gross proceeds of </w:t>
      </w:r>
      <w:r>
        <w:rPr>
          <w:rFonts w:ascii="Times New Roman" w:cs="Times New Roman" w:eastAsia="Times New Roman" w:hAnsi="Times New Roman"/>
          <w:sz w:val="17"/>
          <w:szCs w:val="17"/>
          <w:color w:val="000000"/>
        </w:rPr>
        <w:t>$25.1 million</w:t>
      </w:r>
      <w:r>
        <w:rPr>
          <w:rFonts w:ascii="Times New Roman" w:cs="Times New Roman" w:eastAsia="Times New Roman" w:hAnsi="Times New Roman"/>
          <w:sz w:val="17"/>
          <w:szCs w:val="17"/>
          <w:color w:val="222222"/>
        </w:rPr>
        <w:t xml:space="preserve">, in addition to the </w:t>
      </w:r>
      <w:r>
        <w:rPr>
          <w:rFonts w:ascii="Times New Roman" w:cs="Times New Roman" w:eastAsia="Times New Roman" w:hAnsi="Times New Roman"/>
          <w:sz w:val="17"/>
          <w:szCs w:val="17"/>
          <w:color w:val="000000"/>
        </w:rPr>
        <w:t>$7.0</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 xml:space="preserve">million </w:t>
      </w:r>
      <w:r>
        <w:rPr>
          <w:rFonts w:ascii="Times New Roman" w:cs="Times New Roman" w:eastAsia="Times New Roman" w:hAnsi="Times New Roman"/>
          <w:sz w:val="17"/>
          <w:szCs w:val="17"/>
          <w:color w:val="222222"/>
        </w:rPr>
        <w:t>Convertible Notes which were issued in February 2022 and were converted into common stock at the Closing, see Note 10, 15% Convertible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22222"/>
        </w:rPr>
        <w:t xml:space="preserve">Promissory Notes, to these consolidated financial statements for further information. Of the amounts received, approximately </w:t>
      </w:r>
      <w:r>
        <w:rPr>
          <w:rFonts w:ascii="Times New Roman" w:cs="Times New Roman" w:eastAsia="Times New Roman" w:hAnsi="Times New Roman"/>
          <w:sz w:val="17"/>
          <w:szCs w:val="17"/>
          <w:color w:val="000000"/>
        </w:rPr>
        <w:t>$8.8 million</w:t>
      </w:r>
      <w:r>
        <w:rPr>
          <w:rFonts w:ascii="Times New Roman" w:cs="Times New Roman" w:eastAsia="Times New Roman" w:hAnsi="Times New Roman"/>
          <w:sz w:val="17"/>
          <w:szCs w:val="17"/>
          <w:color w:val="222222"/>
        </w:rPr>
        <w:t xml:space="preserve"> represents remaining funds for unredeemed shares from the TCAC trust; </w:t>
      </w:r>
      <w:r>
        <w:rPr>
          <w:rFonts w:ascii="Times New Roman" w:cs="Times New Roman" w:eastAsia="Times New Roman" w:hAnsi="Times New Roman"/>
          <w:sz w:val="17"/>
          <w:szCs w:val="17"/>
          <w:color w:val="000000"/>
        </w:rPr>
        <w:t>$6.1 million</w:t>
      </w:r>
      <w:r>
        <w:rPr>
          <w:rFonts w:ascii="Times New Roman" w:cs="Times New Roman" w:eastAsia="Times New Roman" w:hAnsi="Times New Roman"/>
          <w:sz w:val="17"/>
          <w:szCs w:val="17"/>
          <w:color w:val="222222"/>
        </w:rPr>
        <w:t xml:space="preserve"> from PIPE Financing proceeds and </w:t>
      </w:r>
      <w:r>
        <w:rPr>
          <w:rFonts w:ascii="Times New Roman" w:cs="Times New Roman" w:eastAsia="Times New Roman" w:hAnsi="Times New Roman"/>
          <w:sz w:val="17"/>
          <w:szCs w:val="17"/>
          <w:color w:val="000000"/>
        </w:rPr>
        <w:t>$10.0 million</w:t>
      </w:r>
      <w:r>
        <w:rPr>
          <w:rFonts w:ascii="Times New Roman" w:cs="Times New Roman" w:eastAsia="Times New Roman" w:hAnsi="Times New Roman"/>
          <w:sz w:val="17"/>
          <w:szCs w:val="17"/>
          <w:color w:val="222222"/>
        </w:rPr>
        <w:t xml:space="preserve"> from the Secured Convertible Note. Upon consummation of the Business Combination, Legacy SpringBig options were converted into options of SpringBig as disclosed in Note 16.</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w:t>
      </w:r>
      <w:r>
        <w:rPr>
          <w:rFonts w:ascii="Times New Roman" w:cs="Times New Roman" w:eastAsia="Times New Roman" w:hAnsi="Times New Roman"/>
          <w:sz w:val="17"/>
          <w:szCs w:val="17"/>
          <w:color w:val="222222"/>
        </w:rPr>
        <w:t>$50.0 million</w:t>
      </w:r>
      <w:r>
        <w:rPr>
          <w:rFonts w:ascii="Times New Roman" w:cs="Times New Roman" w:eastAsia="Times New Roman" w:hAnsi="Times New Roman"/>
          <w:sz w:val="17"/>
          <w:szCs w:val="17"/>
          <w:color w:val="auto"/>
        </w:rPr>
        <w:t xml:space="preserve"> of common shares, par value $0.0001 per share, subject to certain terms and conditions. During the three months ended September 30, 2022, the Company issued 877,193 shares to satisfy a $1.5 million commitment fee for the Cantor Equity Facility. The Cantor Equity Facility was canceled by the Company on August 30, 2023. No shares were ever sold under the facility.</w:t>
      </w:r>
    </w:p>
    <w:p>
      <w:pPr>
        <w:spacing w:after="0" w:line="197" w:lineRule="exact"/>
        <w:rPr>
          <w:sz w:val="20"/>
          <w:szCs w:val="20"/>
          <w:color w:val="auto"/>
        </w:rPr>
      </w:pPr>
    </w:p>
    <w:p>
      <w:pPr>
        <w:jc w:val="both"/>
        <w:ind w:firstLine="352"/>
        <w:spacing w:after="0" w:line="265" w:lineRule="auto"/>
        <w:rPr>
          <w:sz w:val="20"/>
          <w:szCs w:val="20"/>
          <w:color w:val="auto"/>
        </w:rPr>
      </w:pPr>
      <w:r>
        <w:rPr>
          <w:rFonts w:ascii="Times New Roman" w:cs="Times New Roman" w:eastAsia="Times New Roman" w:hAnsi="Times New Roman"/>
          <w:sz w:val="17"/>
          <w:szCs w:val="17"/>
          <w:color w:val="auto"/>
        </w:rPr>
        <w:t>The following table provides a summary of the significant sources and uses of cash related to the closing of the business combination on June 14, 2022,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available after paying TCAC redeeming stockholders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8,771</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convertible notes</w:t>
            </w: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PIPE Financing</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TCAC operating account</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proceeds available at closing</w:t>
            </w: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25,135</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Expenses paid at closing</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(6,346)</w:t>
            </w: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to Legacy SpringBig at closing</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18,789</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Post closing expense (cash paid or accrued for expenses by Legacy SpringBig)</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(8,679)</w:t>
            </w:r>
          </w:p>
        </w:tc>
      </w:tr>
      <w:tr>
        <w:trPr>
          <w:trHeight w:val="241"/>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after closing</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provides a reconciliation of the common shares related to the business combination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TCAC non-redeeming shareholders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1,752,388</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PIPE Investors</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1,341,356</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TCAC sponsor shareholders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Legacy SpringBig shareholders</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18,196,526</w:t>
            </w:r>
          </w:p>
        </w:tc>
      </w:tr>
      <w:tr>
        <w:trPr>
          <w:trHeight w:val="241"/>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Issued and outstanding</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25,290,270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52"/>
        <w:spacing w:after="0" w:line="261" w:lineRule="auto"/>
        <w:rPr>
          <w:sz w:val="20"/>
          <w:szCs w:val="20"/>
          <w:color w:val="auto"/>
        </w:rPr>
      </w:pPr>
      <w:r>
        <w:rPr>
          <w:rFonts w:ascii="Times New Roman" w:cs="Times New Roman" w:eastAsia="Times New Roman" w:hAnsi="Times New Roman"/>
          <w:sz w:val="17"/>
          <w:szCs w:val="17"/>
          <w:color w:val="auto"/>
        </w:rPr>
        <w:t xml:space="preserve">Of the 1,341,356 shares of common stock shown above, 730,493 shares were issued to holders of the Convertible Note (which was converted at Closing), representing repayment of principal of </w:t>
      </w:r>
      <w:r>
        <w:rPr>
          <w:rFonts w:ascii="Times New Roman" w:cs="Times New Roman" w:eastAsia="Times New Roman" w:hAnsi="Times New Roman"/>
          <w:sz w:val="17"/>
          <w:szCs w:val="17"/>
          <w:color w:val="222222"/>
        </w:rPr>
        <w:t>$7.0 million</w:t>
      </w:r>
      <w:r>
        <w:rPr>
          <w:rFonts w:ascii="Times New Roman" w:cs="Times New Roman" w:eastAsia="Times New Roman" w:hAnsi="Times New Roman"/>
          <w:sz w:val="17"/>
          <w:szCs w:val="17"/>
          <w:color w:val="auto"/>
        </w:rPr>
        <w:t xml:space="preserve"> and outstanding interest of $305,000, in accordance with the terms of the Convertible Notes. See Note 10, 15% Convertible Promissory Note, </w:t>
      </w:r>
      <w:r>
        <w:rPr>
          <w:rFonts w:ascii="Times New Roman" w:cs="Times New Roman" w:eastAsia="Times New Roman" w:hAnsi="Times New Roman"/>
          <w:sz w:val="17"/>
          <w:szCs w:val="17"/>
          <w:color w:val="222222"/>
        </w:rPr>
        <w:t>to these consolidated financial statements for further information</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15% CONVERTIBLE PROMISSORY NOTES</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February 2022, the Company issued $7.0 million in aggregate principal amount of convertible promissory notes due September 30, 2022 (the “Convertible Notes”).</w:t>
      </w:r>
    </w:p>
    <w:p>
      <w:pPr>
        <w:spacing w:after="0" w:line="172" w:lineRule="exact"/>
        <w:rPr>
          <w:sz w:val="20"/>
          <w:szCs w:val="20"/>
          <w:color w:val="auto"/>
        </w:rPr>
      </w:pPr>
    </w:p>
    <w:p>
      <w:pPr>
        <w:jc w:val="both"/>
        <w:ind w:firstLine="352"/>
        <w:spacing w:after="0" w:line="251" w:lineRule="auto"/>
        <w:rPr>
          <w:sz w:val="20"/>
          <w:szCs w:val="20"/>
          <w:color w:val="auto"/>
        </w:rPr>
      </w:pPr>
      <w:r>
        <w:rPr>
          <w:rFonts w:ascii="Times New Roman" w:cs="Times New Roman" w:eastAsia="Times New Roman" w:hAnsi="Times New Roman"/>
          <w:sz w:val="17"/>
          <w:szCs w:val="17"/>
          <w:color w:val="auto"/>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the Company recorded $305,000 of interest expense on the Convertible Notes, respectively.</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SENIOR SECURED CONVERTIBLE NOTES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as originally issued, accrue interest at the rate of 6.0% per annum which, along with equal principal payments through June 2024, are due in cash in arrears beginning six months after the notes’ issuance.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warrant representing 586,890 shares of common stock of the Company (the “Convertible Warrant”) with a fair value of $839,000 was also issued in a private placement with the purchaser party thereto. To determine the fair value of the Convertible Warrant, the Company performed a Black-Scholes calculation as of June 14, 2022 using a stock price of $4.28, a strike price of $12.00, a risk free rate of 3.61%, annualized volatilty of 65%, and a time to maturity of five years. The Convertible Warrant is exercisable for shares of the Company’s common stock at an exercise price of $12.00 per share, subject to certain anti-dilution adjustments. The Convertible Warrants are classified as equity on SpringBig’s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The Secured Convertible Notes are secured against substantially all the assets of the Company and each material subsidiary, including Legacy SpringBig.</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issuances under our equity compensation plan and other limited exceptions); enter into variable rate transactions; adopt certain amendments to our governing documents, among other restrictions; and maintain the Nasdaq minimum bid price requirement under Nasdaq Listing Rule 5450(a)(1). The Notes also contain customary events of default.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24, 2023 and May 25, 2023, the Company entered into amendments to the Secured Convertible Notes which provide, among other provisions, amended repayment terms, including extending the term to March 2025, and an adjustment in the conversion share price to $1.00, and amended the warrant exercise price to $1.00. The Company accounted for the amendments as a debt modification pursuant to ASC 470-50-40-10. The impact to the financial statements of the debt modification was not significant.</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noted in Note 1, on September 5, 2023, Nasdaq filed a Form 25 Notification of Delisting with respect to Springbig’s common stock and public warrants with the SEC. While delisting is an event of default under the terms of the Secured Convertible Notes, the holder has not exercised its right to accelerate payment. The holder is entitled to certain remedies upon an event of default, including but not limited to, conversion at the mandatory default amount of 115% of the principal amount of the Secured Convertible Notes at the default conversion price of 0.80 times the market price of our common stock. As a result of the default, the debt has been classified as current on the Company’s consolidated balance sheet.</w:t>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At December 31, 2023, the outstanding principal of the Secured Convertible Notes was $5.1 million with a carrying value of $4.4 million, net of discount of $0.7 million. At December 31, 2022, the outstanding principal of the Secured Convertible Notes was $9.8 million with a carrying value of $8.3 million, net of discount of $1.5 million.</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recorded $402,000 and $356,000 of interest expense in connection with the Senior Secured Convertible Notes for the years ended December 31, 2023 and 2022, respectively.</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As disclosed in Note 23, on January 16, 2024, the Company and the noteholder executed an agreement for the Company to repurchase the outstanding note and associated warrants, and on January 23, 2024, the note and associated warrants were repurchased for $2.9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WARRANT LIABILITIES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The Company accounts for the warrants in accordance with the guidance contained in ASC </w:t>
      </w:r>
      <w:r>
        <w:rPr>
          <w:rFonts w:ascii="Times New Roman" w:cs="Times New Roman" w:eastAsia="Times New Roman" w:hAnsi="Times New Roman"/>
          <w:sz w:val="17"/>
          <w:szCs w:val="17"/>
          <w:i w:val="1"/>
          <w:iCs w:val="1"/>
          <w:color w:val="auto"/>
        </w:rPr>
        <w:t>815 Derivatives and Hedging,</w:t>
      </w:r>
      <w:r>
        <w:rPr>
          <w:rFonts w:ascii="Times New Roman" w:cs="Times New Roman" w:eastAsia="Times New Roman" w:hAnsi="Times New Roman"/>
          <w:sz w:val="17"/>
          <w:szCs w:val="17"/>
          <w:color w:val="auto"/>
        </w:rPr>
        <w:t xml:space="preserve">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the estimated fair value of the warrants was $3,200. At December 31, 2022, the estimated fair value of the warrants is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74" w:name="page75"/>
    <w:bookmarkEnd w:id="74"/>
    <w:p>
      <w:pPr>
        <w:spacing w:after="0" w:line="297" w:lineRule="auto"/>
        <w:rPr>
          <w:sz w:val="20"/>
          <w:szCs w:val="20"/>
          <w:color w:val="auto"/>
        </w:rPr>
      </w:pPr>
      <w:r>
        <w:rPr>
          <w:rFonts w:ascii="Times New Roman" w:cs="Times New Roman" w:eastAsia="Times New Roman" w:hAnsi="Times New Roman"/>
          <w:sz w:val="17"/>
          <w:szCs w:val="17"/>
          <w:color w:val="auto"/>
        </w:rPr>
        <w:t>The Company recorded a change in fair value gain of approximately $0.3 million and $4.2 million for the years ended December 31, 2023 and 2022, respectively. These amounts are included in the statements of operations for the year ended December 31, 2023 and 2022.</w:t>
      </w:r>
    </w:p>
    <w:p>
      <w:pPr>
        <w:spacing w:after="0" w:line="15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 xml:space="preserve">The fair value is determined in accordance with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See Note 18, Fair Value Measurements, to the accompanying consolidated financial statements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REVENUE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type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180" w:type="dxa"/>
            <w:vAlign w:val="bottom"/>
            <w:gridSpan w:val="4"/>
            <w:shd w:val="clear" w:color="auto" w:fill="CCEEFF"/>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Brand revenue</w:t>
            </w:r>
          </w:p>
        </w:tc>
        <w:tc>
          <w:tcPr>
            <w:tcW w:w="118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8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Retail revenue</w:t>
            </w: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27,149</w:t>
            </w:r>
          </w:p>
        </w:tc>
        <w:tc>
          <w:tcPr>
            <w:tcW w:w="1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25,689</w:t>
            </w:r>
          </w:p>
        </w:tc>
        <w:tc>
          <w:tcPr>
            <w:tcW w:w="0" w:type="dxa"/>
            <w:vAlign w:val="bottom"/>
          </w:tcPr>
          <w:p>
            <w:pPr>
              <w:spacing w:after="0"/>
              <w:rPr>
                <w:sz w:val="1"/>
                <w:szCs w:val="1"/>
                <w:color w:val="auto"/>
              </w:rPr>
            </w:pPr>
          </w:p>
        </w:tc>
      </w:tr>
      <w:tr>
        <w:trPr>
          <w:trHeight w:val="216"/>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28,050</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26,629</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Information</w:t>
            </w:r>
          </w:p>
        </w:tc>
        <w:tc>
          <w:tcPr>
            <w:tcW w:w="564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780" w:type="dxa"/>
            <w:vAlign w:val="bottom"/>
            <w:tcBorders>
              <w:bottom w:val="single" w:sz="8" w:color="auto"/>
            </w:tcBorders>
            <w:vMerge w:val="continue"/>
          </w:tcPr>
          <w:p>
            <w:pPr>
              <w:spacing w:after="0"/>
              <w:rPr>
                <w:sz w:val="24"/>
                <w:szCs w:val="24"/>
                <w:color w:val="auto"/>
              </w:rPr>
            </w:pPr>
          </w:p>
        </w:tc>
        <w:tc>
          <w:tcPr>
            <w:tcW w:w="5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 by geographical region consist of the following (in thousands):</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18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180" w:type="dxa"/>
            <w:vAlign w:val="bottom"/>
            <w:gridSpan w:val="4"/>
            <w:shd w:val="clear" w:color="auto" w:fill="CCEEFF"/>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Brand revenue</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8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Retail revenue</w:t>
            </w: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25,075</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41"/>
        </w:trPr>
        <w:tc>
          <w:tcPr>
            <w:tcW w:w="178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26,629</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Revenues by geography are generally based on the country of the Company’s contracting entity. Total United States revenue was approximately 97% of total revenue for the year ended December 31, 2023 and 98% of total revenue for the year ended December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CONTRACT ASSETS AND LIABILITIES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Contract Assets (Deferred Cost)</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Contract assets consisted of the following as of (in thousands):</w:t>
      </w:r>
    </w:p>
    <w:p>
      <w:pPr>
        <w:spacing w:after="0" w:line="28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p>
      <w:pPr>
        <w:ind w:left="8160"/>
        <w:spacing w:after="0"/>
        <w:tabs>
          <w:tab w:leader="none" w:pos="10140"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130" cy="166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65" w:lineRule="exact"/>
        <w:rPr>
          <w:sz w:val="20"/>
          <w:szCs w:val="20"/>
          <w:color w:val="auto"/>
        </w:rPr>
      </w:pPr>
    </w:p>
    <w:p>
      <w:pPr>
        <w:ind w:left="240"/>
        <w:spacing w:after="0"/>
        <w:tabs>
          <w:tab w:leader="none" w:pos="7420" w:val="left"/>
          <w:tab w:leader="none" w:pos="8900" w:val="left"/>
          <w:tab w:leader="none" w:pos="9420" w:val="left"/>
          <w:tab w:leader="none" w:pos="10900" w:val="left"/>
        </w:tabs>
        <w:rPr>
          <w:sz w:val="20"/>
          <w:szCs w:val="20"/>
          <w:color w:val="auto"/>
        </w:rPr>
      </w:pPr>
      <w:r>
        <w:rPr>
          <w:rFonts w:ascii="Times New Roman" w:cs="Times New Roman" w:eastAsia="Times New Roman" w:hAnsi="Times New Roman"/>
          <w:sz w:val="17"/>
          <w:szCs w:val="17"/>
          <w:color w:val="auto"/>
        </w:rPr>
        <w:t>Deferred sales commissions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273</w:t>
        <w:tab/>
        <w:t>$</w:t>
      </w:r>
      <w:r>
        <w:rPr>
          <w:sz w:val="20"/>
          <w:szCs w:val="20"/>
          <w:color w:val="auto"/>
        </w:rPr>
        <w:tab/>
      </w:r>
      <w:r>
        <w:rPr>
          <w:rFonts w:ascii="Times New Roman" w:cs="Times New Roman" w:eastAsia="Times New Roman" w:hAnsi="Times New Roman"/>
          <w:sz w:val="17"/>
          <w:szCs w:val="17"/>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20955</wp:posOffset>
            </wp:positionV>
            <wp:extent cx="242316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31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75" w:name="page76"/>
    <w:bookmarkEnd w:id="75"/>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Contract liabilities consisted of the following as of (in thousands):</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3"/>
        </w:trPr>
        <w:tc>
          <w:tcPr>
            <w:tcW w:w="7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r>
      <w:tr>
        <w:trPr>
          <w:trHeight w:val="223"/>
        </w:trPr>
        <w:tc>
          <w:tcPr>
            <w:tcW w:w="7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40" w:type="dxa"/>
            <w:vAlign w:val="bottom"/>
            <w:shd w:val="clear" w:color="auto" w:fill="CCEEFF"/>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2"/>
        </w:trPr>
        <w:tc>
          <w:tcPr>
            <w:tcW w:w="74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3"/>
        </w:trPr>
        <w:tc>
          <w:tcPr>
            <w:tcW w:w="7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retail revenues</w:t>
            </w:r>
          </w:p>
        </w:tc>
        <w:tc>
          <w:tcPr>
            <w:tcW w:w="124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brands revenues</w:t>
            </w:r>
          </w:p>
        </w:tc>
        <w:tc>
          <w:tcPr>
            <w:tcW w:w="1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Contract liabilities</w:t>
            </w:r>
          </w:p>
        </w:tc>
        <w:tc>
          <w:tcPr>
            <w:tcW w:w="124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7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movement in the contract liabilities during the years ended December 31, 2023 and 2022 comprised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shd w:val="clear" w:color="auto" w:fill="CCEEFF"/>
          </w:tcPr>
          <w:p>
            <w:pPr>
              <w:spacing w:after="0"/>
              <w:rPr>
                <w:sz w:val="19"/>
                <w:szCs w:val="19"/>
                <w:color w:val="auto"/>
              </w:rPr>
            </w:pPr>
          </w:p>
        </w:tc>
        <w:tc>
          <w:tcPr>
            <w:tcW w:w="3140" w:type="dxa"/>
            <w:vAlign w:val="bottom"/>
            <w:gridSpan w:val="4"/>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80" w:type="dxa"/>
            <w:vAlign w:val="bottom"/>
            <w:shd w:val="clear" w:color="auto" w:fill="CCEEFF"/>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9"/>
                <w:szCs w:val="19"/>
                <w:color w:val="auto"/>
              </w:rPr>
            </w:pPr>
          </w:p>
        </w:tc>
      </w:tr>
      <w:tr>
        <w:trPr>
          <w:trHeight w:val="20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 movement in the contract liabilities during each period comprised the following:</w:t>
            </w: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05"/>
        </w:trPr>
        <w:tc>
          <w:tcPr>
            <w:tcW w:w="7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Contract liabilities at start of the period</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23"/>
        </w:trPr>
        <w:tc>
          <w:tcPr>
            <w:tcW w:w="7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Amounts invoiced during the period</w:t>
            </w:r>
          </w:p>
        </w:tc>
        <w:tc>
          <w:tcPr>
            <w:tcW w:w="12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18,310</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Less revenue recognized during the period</w:t>
            </w:r>
          </w:p>
        </w:tc>
        <w:tc>
          <w:tcPr>
            <w:tcW w:w="1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(18,469)</w:t>
            </w:r>
          </w:p>
        </w:tc>
      </w:tr>
      <w:tr>
        <w:trPr>
          <w:trHeight w:val="216"/>
        </w:trPr>
        <w:tc>
          <w:tcPr>
            <w:tcW w:w="7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Contract liabilities at end of the period</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7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STOCK BASED COMPENSATION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Incentive Plan</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Prior to the closing of the business combination,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The following table summarizes information on stock options outstanding as of December 31, 2023 and 2022 under the Legacy Incentive Plan: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20" w:type="dxa"/>
            <w:vAlign w:val="bottom"/>
            <w:tcBorders>
              <w:bottom w:val="single" w:sz="8" w:color="auto"/>
            </w:tcBorders>
            <w:gridSpan w:val="4"/>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6"/>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b w:val="1"/>
                <w:bCs w:val="1"/>
                <w:color w:val="auto"/>
                <w:w w:val="96"/>
              </w:rPr>
              <w:t>Options Vested and Exercisable</w:t>
            </w:r>
          </w:p>
        </w:tc>
        <w:tc>
          <w:tcPr>
            <w:tcW w:w="0" w:type="dxa"/>
            <w:vAlign w:val="bottom"/>
          </w:tcPr>
          <w:p>
            <w:pPr>
              <w:spacing w:after="0"/>
              <w:rPr>
                <w:sz w:val="1"/>
                <w:szCs w:val="1"/>
                <w:color w:val="auto"/>
              </w:rPr>
            </w:pPr>
          </w:p>
        </w:tc>
      </w:tr>
      <w:tr>
        <w:trPr>
          <w:trHeight w:val="15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00" w:type="dxa"/>
            <w:vAlign w:val="bottom"/>
          </w:tcPr>
          <w:p>
            <w:pPr>
              <w:spacing w:after="0"/>
              <w:rPr>
                <w:sz w:val="13"/>
                <w:szCs w:val="13"/>
                <w:color w:val="auto"/>
              </w:rPr>
            </w:pPr>
          </w:p>
        </w:tc>
        <w:tc>
          <w:tcPr>
            <w:tcW w:w="132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6"/>
                <w:szCs w:val="16"/>
                <w:b w:val="1"/>
                <w:bCs w:val="1"/>
                <w:color w:val="auto"/>
              </w:rPr>
              <w:t>Fixed Options</w:t>
            </w:r>
          </w:p>
        </w:tc>
        <w:tc>
          <w:tcPr>
            <w:tcW w:w="12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Contractual Life</w:t>
            </w:r>
          </w:p>
        </w:tc>
        <w:tc>
          <w:tcPr>
            <w:tcW w:w="14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0" w:type="dxa"/>
            <w:vAlign w:val="bottom"/>
          </w:tcPr>
          <w:p>
            <w:pPr>
              <w:spacing w:after="0"/>
              <w:rPr>
                <w:sz w:val="1"/>
                <w:szCs w:val="1"/>
                <w:color w:val="auto"/>
              </w:rPr>
            </w:pPr>
          </w:p>
        </w:tc>
      </w:tr>
      <w:tr>
        <w:trPr>
          <w:trHeight w:val="209"/>
        </w:trPr>
        <w:tc>
          <w:tcPr>
            <w:tcW w:w="3760" w:type="dxa"/>
            <w:vAlign w:val="bottom"/>
            <w:gridSpan w:val="2"/>
            <w:vMerge w:val="continue"/>
          </w:tcPr>
          <w:p>
            <w:pPr>
              <w:spacing w:after="0"/>
              <w:rPr>
                <w:sz w:val="18"/>
                <w:szCs w:val="18"/>
                <w:color w:val="auto"/>
              </w:rPr>
            </w:pP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8"/>
                <w:szCs w:val="18"/>
                <w:color w:val="auto"/>
              </w:rPr>
            </w:pPr>
          </w:p>
        </w:tc>
        <w:tc>
          <w:tcPr>
            <w:tcW w:w="132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04"/>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2022</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6,802,437</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4,628,311</w:t>
            </w:r>
          </w:p>
        </w:tc>
        <w:tc>
          <w:tcPr>
            <w:tcW w:w="16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cancelled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June 14, 2022</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6,205,520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Conversion ratio</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0.5929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SpringBig Holdings options</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3,679,171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2023</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3,394,753</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3,250,236</w:t>
            </w: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cancelled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 31, 2023</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2,271,894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2,244,102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intrinsic value of the options exercised during the years ended December 31, 2023 and 2022 was $162,000 and $3,400,000, respectively.</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With the consummation of the business combination, all outstanding options were vested with the exception of 192,689 options granted to certain executives of the Company. The cost associated with the early vesting was $0.9 million and is included in administrative expense on the statement of operations for the year ending December 31, 2022.</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used the Black-Scholes option-pricing model to value option grants and to determine the related compensation expense. The assumptions used in calculating the fair value of stock-based payment awards represent management’s best estimations. The Company based its expected volatility based on the volatilities of certain publicly traded peer companies.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risk-free interest rate used for each grant is equal to the U.S. Treasury yield curve in effect at the time of grant for instruments with a similar expected life. The expected term of options granted was determined based on the expected holding period at the time of the grant. GAAP also requires that the Company recognize compensation expense for only the portion of options that are expected to vest.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2023 and 2022, compensation expense recorded in connection with the Legacy Incentive Plan was $118,000 and $982,000, respectively. As of December 31, 2023, the intrinsic value of the remaining options was $0 and the remaining expense to be recognized under the Legacy Incentive Plan was $35,000. These charges are recorded in administrative expense on the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Incentive Plan</w:t>
      </w:r>
    </w:p>
    <w:p>
      <w:pPr>
        <w:spacing w:after="0" w:line="2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At the Special Meeting, in connection with the business combination, the Tuatara shareholders approved the SpringBig Holdings, Inc. 2022 Long-Term Incentive Plan (the “2022 Incentive Plan”), which became effective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7" w:name="page78"/>
    <w:bookmarkEnd w:id="77"/>
    <w:p>
      <w:pPr>
        <w:jc w:val="both"/>
        <w:spacing w:after="0" w:line="248" w:lineRule="auto"/>
        <w:rPr>
          <w:sz w:val="20"/>
          <w:szCs w:val="20"/>
          <w:color w:val="auto"/>
        </w:rPr>
      </w:pPr>
      <w:r>
        <w:rPr>
          <w:rFonts w:ascii="Times New Roman" w:cs="Times New Roman" w:eastAsia="Times New Roman" w:hAnsi="Times New Roman"/>
          <w:sz w:val="17"/>
          <w:szCs w:val="17"/>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An additional 1,332,986 shares, equal to 5% of the number of shares of common stock outstanding at December 31, 2022, were reserved for issuance following approval by shareholders at the annual shareholder meeting on June 13, 2022.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information on Restricted Stock Units outstanding as of December 31, 2023 under the 2022 Incentive Plan: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shd w:val="clear" w:color="auto" w:fill="CCEEFF"/>
          </w:tcPr>
          <w:p>
            <w:pPr>
              <w:spacing w:after="0"/>
              <w:rPr>
                <w:sz w:val="18"/>
                <w:szCs w:val="18"/>
                <w:color w:val="auto"/>
              </w:rPr>
            </w:pPr>
          </w:p>
        </w:tc>
        <w:tc>
          <w:tcPr>
            <w:tcW w:w="4320" w:type="dxa"/>
            <w:vAlign w:val="bottom"/>
            <w:tcBorders>
              <w:bottom w:val="single" w:sz="8" w:color="auto"/>
            </w:tcBorders>
            <w:gridSpan w:val="5"/>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0"/>
        </w:trPr>
        <w:tc>
          <w:tcPr>
            <w:tcW w:w="6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 Average Fair</w:t>
            </w:r>
          </w:p>
        </w:tc>
        <w:tc>
          <w:tcPr>
            <w:tcW w:w="1280" w:type="dxa"/>
            <w:vAlign w:val="bottom"/>
          </w:tcPr>
          <w:p>
            <w:pPr>
              <w:jc w:val="center"/>
              <w:ind w:left="81"/>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69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RSUs</w:t>
            </w:r>
          </w:p>
        </w:tc>
        <w:tc>
          <w:tcPr>
            <w:tcW w:w="180" w:type="dxa"/>
            <w:vAlign w:val="bottom"/>
          </w:tcPr>
          <w:p>
            <w:pPr>
              <w:spacing w:after="0"/>
              <w:rPr>
                <w:sz w:val="13"/>
                <w:szCs w:val="13"/>
                <w:color w:val="auto"/>
              </w:rPr>
            </w:pPr>
          </w:p>
        </w:tc>
        <w:tc>
          <w:tcPr>
            <w:tcW w:w="126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380" w:type="dxa"/>
            <w:vAlign w:val="bottom"/>
          </w:tcPr>
          <w:p>
            <w:pPr>
              <w:spacing w:after="0"/>
              <w:rPr>
                <w:sz w:val="13"/>
                <w:szCs w:val="13"/>
                <w:color w:val="auto"/>
              </w:rPr>
            </w:pPr>
          </w:p>
        </w:tc>
        <w:tc>
          <w:tcPr>
            <w:tcW w:w="1280" w:type="dxa"/>
            <w:vAlign w:val="bottom"/>
          </w:tcPr>
          <w:p>
            <w:pPr>
              <w:jc w:val="center"/>
              <w:ind w:left="81"/>
              <w:spacing w:after="0" w:line="158" w:lineRule="exact"/>
              <w:rPr>
                <w:sz w:val="20"/>
                <w:szCs w:val="20"/>
                <w:color w:val="auto"/>
              </w:rPr>
            </w:pPr>
            <w:r>
              <w:rPr>
                <w:rFonts w:ascii="Times New Roman" w:cs="Times New Roman" w:eastAsia="Times New Roman" w:hAnsi="Times New Roman"/>
                <w:sz w:val="16"/>
                <w:szCs w:val="16"/>
                <w:b w:val="1"/>
                <w:bCs w:val="1"/>
                <w:color w:val="auto"/>
                <w:w w:val="96"/>
              </w:rPr>
              <w:t>Average Vesting</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6"/>
              </w:rPr>
              <w:t>(Per Share)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CCEEFF"/>
            </w:tcBorders>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19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2022</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granted</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761,500</w:t>
            </w:r>
          </w:p>
        </w:tc>
        <w:tc>
          <w:tcPr>
            <w:tcW w:w="144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forfeited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w:t>
            </w:r>
          </w:p>
        </w:tc>
        <w:tc>
          <w:tcPr>
            <w:tcW w:w="1440" w:type="dxa"/>
            <w:vAlign w:val="bottom"/>
            <w:gridSpan w:val="2"/>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2023</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725,000</w:t>
            </w:r>
          </w:p>
        </w:tc>
        <w:tc>
          <w:tcPr>
            <w:tcW w:w="144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granted</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1,989,000</w:t>
            </w:r>
          </w:p>
        </w:tc>
        <w:tc>
          <w:tcPr>
            <w:tcW w:w="1440" w:type="dxa"/>
            <w:vAlign w:val="bottom"/>
            <w:gridSpan w:val="2"/>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(276,836)</w:t>
            </w:r>
          </w:p>
        </w:tc>
        <w:tc>
          <w:tcPr>
            <w:tcW w:w="144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vested and common stock issued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(225,655)</w:t>
            </w:r>
          </w:p>
        </w:tc>
        <w:tc>
          <w:tcPr>
            <w:tcW w:w="1440" w:type="dxa"/>
            <w:vAlign w:val="bottom"/>
            <w:gridSpan w:val="2"/>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December 31, 2023</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2,211,509</w:t>
            </w:r>
          </w:p>
        </w:tc>
        <w:tc>
          <w:tcPr>
            <w:tcW w:w="144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years ended December 31, 2023 and 2022, compensation expense recorded in connection with the 2022 Incentive Plan was $704,000 and $246,000, respectively. These charges are recorded in administrative expense on the consolidated statements of operations.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remaining expense of approximately $1,336,000 will be recognized in future periods through June 2026. The Restricted Stock Units vest one-third on each of the first, second, and third anniversary after issuance.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Employment Agreements</w:t>
      </w: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has entered into employment agreements with Jeffrey Harris, CEO of SpringBig, and Paul Sykes, CFO of SpringBig, which became effective as of the consummation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evaluates the possible resolution of any legal and other contingencies when losses are possible in accordance with ASC 450, Contingencies (“ASC 450”). Significant judgment is required in both the determination of the probability of an outcome as well as the determination of an estimate of the amount of any potential loss.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the year ended December 31, 2023, the Company settled a dispute concerning the granting in 2017 of a non-exclusive, perpetual license to install and use certain of the Company’s software and derivative works, subject to certain limitations. As a result of the settlement, the Company recorded a liability of approximately $0.8 million. As of December 31, 2023, the Company has settled a portion of this liability through cash payments of $0.2 million and an equity issuance of $0.3 million. The remaining $0.3 million will be paid in equal installments of $40,000 on the last day of each month until the balance is settled in full by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after consulting legal counsel, believes that the outcome of such legal proceedings, legal actions and claims will not have a significant adverse effect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LEASES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As discussed in Note 2, the Financial Accounting Standards Board (“FASB”) issued Accounting Standards Update (“ASU”)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in February 2016 (“Lease Standard”). The amendments are effective for fiscal years beginning after December 15, 2021, for all entities, and interim periods within those fiscal years for public business entities and interim periods within fiscal years beginning after December 15, 2022, for all other entities. The Company adopted this standard on January 1, 2022.</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SpringBig elected to take the cumulative transition approach to accounting for the adoption of the Lease Standard. This approach requires entities to apply the ASC 842 requirements in the period of adoption (i.e., assuming an adoption date of January 1, 2022, SpringBig’s comparative financial statements for the years ended December 31, 2022 and 2021 would need to apply ASC 842 only for the year ended December 31, 2022). As of the adoption date of January 1, 2022, the Company recorded ROU assets of $1.1 million and lease liabilities of $1.1 million. A cumulative effect adjustment to equity of $31,000 was recorded as of the adoption date.</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leases office facilities in Boca Raton, Florida, Seattle, Washington and Ontario, Canada under non-cancelable operating lease agreements. The leases require monthly payments ranging from $4,000 to $7,000 and expire on various dates through February 2027. In addition to minimum rent, the Company is required to pay a proportionate share of operating expenses under these leases.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June of 2022, the Company entered into a lease with the current landlord for the Company’s corporate headquarters under which the current leases will be replaced by the new lease on a single floor in the same building as the Company currently occupies. The new lease commenced during January 2024. The new lease term is for 98 months. Monthly rental payments range from $38,000 to $48,000 over the life of the lease. As of December 31, 2023, the Company’s existing leases were terminated and the associated right of use assets and operating lease liabilities were written off, resulting in an $14,000 gain for the year ended December 31, 2023. The resultant gain is included in general and administrative expenses on the Company’s consolidated statements of operations.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Lease expense was approximately $725,000 and $846,000 for the years ended December 31, 2023 and 2022, respectively, which is recorded in general and administrative expenses on the consolidated statement of operations. Of the $725,000 and $846,000 for the years ended December 31, 2023 and 2022, respectively, $486,000 and $515,000 related to operating leases under ASC 842 with the remainder attributable to common area maintenance, taxes, and other charges,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 following amounts were presented on SpringBig’s consolidated balance sheets in accordance with the Leasing Standard.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7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jc w:val="right"/>
              <w:ind w:right="11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3"/>
        </w:trPr>
        <w:tc>
          <w:tcPr>
            <w:tcW w:w="2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54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 - Operating Lease</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23"/>
        </w:trPr>
        <w:tc>
          <w:tcPr>
            <w:tcW w:w="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Non-current</w:t>
            </w:r>
          </w:p>
        </w:tc>
        <w:tc>
          <w:tcPr>
            <w:tcW w:w="1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9" w:name="page80"/>
    <w:bookmarkEnd w:id="79"/>
    <w:p>
      <w:pPr>
        <w:jc w:val="both"/>
        <w:spacing w:after="0" w:line="268" w:lineRule="auto"/>
        <w:rPr>
          <w:sz w:val="20"/>
          <w:szCs w:val="20"/>
          <w:color w:val="auto"/>
        </w:rPr>
      </w:pPr>
      <w:r>
        <w:rPr>
          <w:rFonts w:ascii="Times New Roman" w:cs="Times New Roman" w:eastAsia="Times New Roman" w:hAnsi="Times New Roman"/>
          <w:sz w:val="17"/>
          <w:szCs w:val="17"/>
          <w:color w:val="auto"/>
        </w:rPr>
        <w:t>For both years ending December 31, 2023 and 2022, the Company’s operating lease cost was $0.5 million and is recorded in general and administrative expenses on the Company’s consolidated statements of operations. Other information pertaining to capitalized assets and liabilities under the leasing standard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0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39"/>
        </w:trPr>
        <w:tc>
          <w:tcPr>
            <w:tcW w:w="1400" w:type="dxa"/>
            <w:vAlign w:val="bottom"/>
            <w:tcBorders>
              <w:left w:val="single" w:sz="8" w:color="CCEEFF"/>
            </w:tcBorders>
            <w:shd w:val="clear" w:color="auto" w:fill="000000"/>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486</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515</w:t>
            </w:r>
          </w:p>
        </w:tc>
      </w:tr>
      <w:tr>
        <w:trPr>
          <w:trHeight w:val="223"/>
        </w:trPr>
        <w:tc>
          <w:tcPr>
            <w:tcW w:w="70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520</w:t>
            </w:r>
          </w:p>
        </w:tc>
        <w:tc>
          <w:tcPr>
            <w:tcW w:w="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318</w:t>
            </w: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Disposal of right-of-use assets</w:t>
            </w:r>
          </w:p>
        </w:tc>
        <w:tc>
          <w:tcPr>
            <w:tcW w:w="2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299</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0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Disposal of operating lease liabilities associated with right-of-use assets</w:t>
            </w:r>
          </w:p>
        </w:tc>
        <w:tc>
          <w:tcPr>
            <w:tcW w:w="2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313</w:t>
            </w:r>
          </w:p>
        </w:tc>
        <w:tc>
          <w:tcPr>
            <w:tcW w:w="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2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412</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150</w:t>
            </w:r>
          </w:p>
        </w:tc>
      </w:tr>
      <w:tr>
        <w:trPr>
          <w:trHeight w:val="223"/>
        </w:trPr>
        <w:tc>
          <w:tcPr>
            <w:tcW w:w="70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(months)</w:t>
            </w:r>
          </w:p>
        </w:tc>
        <w:tc>
          <w:tcPr>
            <w:tcW w:w="20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35.1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20.4</w:t>
            </w:r>
          </w:p>
        </w:tc>
      </w:tr>
      <w:tr>
        <w:trPr>
          <w:trHeight w:val="22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0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w:t>
            </w: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2023, the Company’s lease liabilities mature as follows:</w:t>
            </w:r>
          </w:p>
        </w:tc>
        <w:tc>
          <w:tcPr>
            <w:tcW w:w="4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63"/>
        </w:trPr>
        <w:tc>
          <w:tcPr>
            <w:tcW w:w="8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w:t>
            </w:r>
          </w:p>
        </w:tc>
        <w:tc>
          <w:tcPr>
            <w:tcW w:w="44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4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4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0"/>
        </w:trPr>
        <w:tc>
          <w:tcPr>
            <w:tcW w:w="8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FAIR VALUE MEASUREMENTS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following fair value hierarchy is used to classify assets and liabilities based on the observable inputs and unobservable inputs used in order to value the assets and liabilities: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Valuation is based on unadjusted quoted prices in active markets for identical assets and liabilities that are accessible at the reporting date. Because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valuations are based on quoted prices that are readily and regularly available in an active market, valuation of these products does not entail a significant degree of judgment.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Valuation is determined from pricing inputs that are other than quoted prices in active markets that are either directly or indirectly observable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Valuation is based on inputs that are both significant to the fair value measurement and unobservable. Level 3 inputs include situations where there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little, if any, market activity for the financial instrument. The inputs into the determination of fair value generally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color w:val="auto"/>
        </w:rPr>
        <w:t>Liabilities measured at fair value on a recurring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balances of the Company’s liabilities measured at fair value on a recurring basis as of December 31, 2023 and 2022, are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2022</w:t>
            </w:r>
          </w:p>
        </w:tc>
        <w:tc>
          <w:tcPr>
            <w:tcW w:w="1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Total Fair Value</w:t>
            </w: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r>
      <w:tr>
        <w:trPr>
          <w:trHeight w:val="216"/>
        </w:trPr>
        <w:tc>
          <w:tcPr>
            <w:tcW w:w="48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8"/>
        </w:trPr>
        <w:tc>
          <w:tcPr>
            <w:tcW w:w="4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Total Fair Value</w:t>
            </w:r>
          </w:p>
        </w:tc>
      </w:tr>
      <w:tr>
        <w:trPr>
          <w:trHeight w:val="20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1"/>
        </w:trPr>
        <w:tc>
          <w:tcPr>
            <w:tcW w:w="48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is a description of the methodologies used to estimate the fair values of liabilities measured at fair value on a recurring basis and within the fair value hierarchy.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Warrant liabilities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Company utilizes a fair value approach to account for its warrants based on the quoted price at December 31, 2023, and the calculation is consistent with ASC 820, Fair Value Measurement, with changes in fair value recorded in current earnings.</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At December 31, 2023, the value of the public and private warrants was approximately $3,200 using a closing price of $0.0002. At December 31, 2022, the value of the public and private warrants was approximately $0.3 million using a closing price of $0.0211.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Changes in Fair Value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provides a roll-forward in the changes in fair value for the years ended December 31, 2023 and 2022, for all liabilities for which the</w:t>
      </w:r>
    </w:p>
    <w:p>
      <w:pPr>
        <w:spacing w:after="0"/>
        <w:rPr>
          <w:sz w:val="20"/>
          <w:szCs w:val="20"/>
          <w:color w:val="auto"/>
        </w:rPr>
      </w:pPr>
      <w:r>
        <w:rPr>
          <w:rFonts w:ascii="Times New Roman" w:cs="Times New Roman" w:eastAsia="Times New Roman" w:hAnsi="Times New Roman"/>
          <w:sz w:val="17"/>
          <w:szCs w:val="17"/>
          <w:color w:val="auto"/>
        </w:rPr>
        <w:t>Company determines fair value on a recurring basis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January 1, 2022</w:t>
            </w: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in business combination at fair value</w:t>
            </w: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value</w:t>
            </w: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Changes in fair value included in earnings for the period relating to liabilities held at December 31, 2022</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800" w:type="dxa"/>
            <w:vAlign w:val="bottom"/>
            <w:vMerge w:val="continue"/>
          </w:tcPr>
          <w:p>
            <w:pPr>
              <w:spacing w:after="0"/>
              <w:rPr>
                <w:sz w:val="16"/>
                <w:szCs w:val="16"/>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0" w:type="dxa"/>
            <w:vAlign w:val="bottom"/>
          </w:tcPr>
          <w:p>
            <w:pPr>
              <w:spacing w:after="0"/>
              <w:rPr>
                <w:sz w:val="1"/>
                <w:szCs w:val="1"/>
                <w:color w:val="auto"/>
              </w:rPr>
            </w:pPr>
          </w:p>
        </w:tc>
      </w:tr>
      <w:tr>
        <w:trPr>
          <w:trHeight w:val="262"/>
        </w:trPr>
        <w:tc>
          <w:tcPr>
            <w:tcW w:w="98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January 1, 2023</w:t>
            </w: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included in earnings for the period relating to liabilities held at December 31, 2023</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were no transfers of financial liabilities between levels of the fair value hierarchy during the year ended December 31, 2023.</w:t>
      </w:r>
    </w:p>
    <w:p>
      <w:pPr>
        <w:spacing w:after="0" w:line="20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Fair Value Considerations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Carrying value of accounts receivables, contract assets, prepaid expenses and other assets, accounts payable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accrued expenses approximate fair value due to their short-term maturities and/or low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STOCKHOLDERS’ EQUITY</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Consolidated Statements of Changes in Stockholders' Equity reflect the reverse recapitalization on June 14, 2022, as discussed in Note 9, Business Combinations, </w:t>
      </w:r>
      <w:r>
        <w:rPr>
          <w:rFonts w:ascii="Times New Roman" w:cs="Times New Roman" w:eastAsia="Times New Roman" w:hAnsi="Times New Roman"/>
          <w:sz w:val="17"/>
          <w:szCs w:val="17"/>
          <w:color w:val="222222"/>
        </w:rPr>
        <w:t>to these consolidated financial statements</w:t>
      </w:r>
      <w:r>
        <w:rPr>
          <w:rFonts w:ascii="Times New Roman" w:cs="Times New Roman" w:eastAsia="Times New Roman" w:hAnsi="Times New Roman"/>
          <w:sz w:val="17"/>
          <w:szCs w:val="17"/>
          <w:color w:val="auto"/>
        </w:rPr>
        <w:t>. Because the Company was determined to be the accounting acquirer in the transaction, all periods presented prior to consummation of the transaction reflect the historical activity and balances of Legacy SpringBig, Inc. (other than common stock and potentially issuable shares underlying stock options which have been retroactively restated).</w:t>
      </w:r>
    </w:p>
    <w:p>
      <w:pPr>
        <w:spacing w:after="0" w:line="182" w:lineRule="exact"/>
        <w:rPr>
          <w:sz w:val="20"/>
          <w:szCs w:val="20"/>
          <w:color w:val="auto"/>
        </w:rPr>
      </w:pPr>
    </w:p>
    <w:p>
      <w:pPr>
        <w:jc w:val="both"/>
        <w:ind w:firstLine="352"/>
        <w:spacing w:after="0" w:line="245" w:lineRule="auto"/>
        <w:rPr>
          <w:sz w:val="20"/>
          <w:szCs w:val="20"/>
          <w:color w:val="auto"/>
        </w:rPr>
      </w:pPr>
      <w:r>
        <w:rPr>
          <w:rFonts w:ascii="Times New Roman" w:cs="Times New Roman" w:eastAsia="Times New Roman" w:hAnsi="Times New Roman"/>
          <w:sz w:val="17"/>
          <w:szCs w:val="17"/>
          <w:color w:val="auto"/>
        </w:rPr>
        <w:t>Immediately after giving effect to the business combination, the following equity securities of the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upon conversion of warrants to purchase Tuatara Class A Common Stock, and (v) 1,310,000 shares of SpringBig common stock issued to private investors (the “PIPE Investors”) in the PIPE Financing, plus 31,356 shares paid to certain PIPE Investors pursuant to the Convertible Notes.</w:t>
      </w:r>
    </w:p>
    <w:p>
      <w:pPr>
        <w:spacing w:after="0" w:line="200" w:lineRule="exact"/>
        <w:rPr>
          <w:sz w:val="20"/>
          <w:szCs w:val="20"/>
          <w:color w:val="auto"/>
        </w:rPr>
      </w:pPr>
    </w:p>
    <w:p>
      <w:pPr>
        <w:spacing w:after="0" w:line="204" w:lineRule="exact"/>
        <w:rPr>
          <w:sz w:val="20"/>
          <w:szCs w:val="20"/>
          <w:color w:val="auto"/>
        </w:rPr>
      </w:pPr>
    </w:p>
    <w:p>
      <w:pPr>
        <w:jc w:val="both"/>
        <w:ind w:firstLine="352"/>
        <w:spacing w:after="0" w:line="249" w:lineRule="auto"/>
        <w:rPr>
          <w:sz w:val="20"/>
          <w:szCs w:val="20"/>
          <w:color w:val="auto"/>
        </w:rPr>
      </w:pPr>
      <w:r>
        <w:rPr>
          <w:rFonts w:ascii="Times New Roman" w:cs="Times New Roman" w:eastAsia="Times New Roman" w:hAnsi="Times New Roman"/>
          <w:sz w:val="17"/>
          <w:szCs w:val="17"/>
          <w:color w:val="auto"/>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conversation rate of all preferred stock was at a one to one ratio to common stock. The preferred shares of stock were converted to SpringBig common stock at the Closing Date.</w:t>
      </w:r>
    </w:p>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With the consummation of the business combination, Legacy SpringBig. issued and outstanding shares were converted into shares of SpringBig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3"/>
        </w:trPr>
        <w:tc>
          <w:tcPr>
            <w:tcW w:w="6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Legacy SpringBig</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Conversion Rate</w:t>
            </w:r>
          </w:p>
        </w:tc>
        <w:tc>
          <w:tcPr>
            <w:tcW w:w="1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SpringBig</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4,585,202</w:t>
            </w:r>
          </w:p>
        </w:tc>
        <w:tc>
          <w:tcPr>
            <w:tcW w:w="1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0.59289</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2,718,522</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5,088,944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0.59289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3,017,184</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Seed Preferred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6,911,715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0.59289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4,097,887</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14,105,371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0.59289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8,362,933</w:t>
            </w:r>
          </w:p>
        </w:tc>
      </w:tr>
      <w:tr>
        <w:trPr>
          <w:trHeight w:val="216"/>
        </w:trPr>
        <w:tc>
          <w:tcPr>
            <w:tcW w:w="62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30,691,232</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18,196,526</w:t>
            </w:r>
          </w:p>
        </w:tc>
      </w:tr>
      <w:tr>
        <w:trPr>
          <w:trHeight w:val="20"/>
        </w:trPr>
        <w:tc>
          <w:tcPr>
            <w:tcW w:w="6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Sponsor Escrow Agreement</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Contingent and Earnout Shares</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holders of Legacy SpringBig’s common stock and the “engaged option holders” (employees or engaged consultants of Legacy SpringBig who held Legacy SpringBig options at the effective time of the business combination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208" w:lineRule="exact"/>
        <w:rPr>
          <w:sz w:val="20"/>
          <w:szCs w:val="20"/>
          <w:color w:val="auto"/>
        </w:rPr>
      </w:pPr>
    </w:p>
    <w:p>
      <w:pPr>
        <w:ind w:left="640" w:hanging="320"/>
        <w:spacing w:after="0" w:line="297" w:lineRule="auto"/>
        <w:tabs>
          <w:tab w:leader="none" w:pos="63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3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3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 NET LOSS PER SHARE</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Given the consummation of the business combination,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83" w:name="page84"/>
    <w:bookmarkEnd w:id="83"/>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and 2022, there were 45,339,762 and 26,659,711 shares of common stock issued and outstanding, respectively.</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weighted-average number of shares of common stock outstanding during the period. Diluted net loss per share is computed by giving effect to all potential shares of common stock. Basic and diluted net loss per share was the same for each period presented, given that there are losses during the period, the inclusion of all potential common shares outstanding would have been anti-dilutive.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 reconciles actual basic and diluted earnings per share for the years ended December 31, 2023 and 2022, respectively (in thousands, except share and per share data).</w:t>
      </w:r>
    </w:p>
    <w:p>
      <w:pPr>
        <w:spacing w:after="0" w:line="22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p>
      <w:pPr>
        <w:ind w:left="8500"/>
        <w:spacing w:after="0"/>
        <w:tabs>
          <w:tab w:leader="none" w:pos="10220"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w:t>
            </w:r>
          </w:p>
        </w:tc>
        <w:tc>
          <w:tcPr>
            <w:tcW w:w="4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 and diluted</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36,147,187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22,287,828</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 and diluted</w:t>
            </w: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0"/>
        </w:trPr>
        <w:tc>
          <w:tcPr>
            <w:tcW w:w="7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anti-dilutive securities excluded from the weighted-average shares used to calculate the diluted net loss per common share for the years ended December 31, 2023 and 2022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shd w:val="clear" w:color="auto" w:fill="CCEEFF"/>
          </w:tcPr>
          <w:p>
            <w:pPr>
              <w:spacing w:after="0"/>
              <w:rPr>
                <w:sz w:val="19"/>
                <w:szCs w:val="19"/>
                <w:color w:val="auto"/>
              </w:rPr>
            </w:pPr>
          </w:p>
        </w:tc>
        <w:tc>
          <w:tcPr>
            <w:tcW w:w="3180" w:type="dxa"/>
            <w:vAlign w:val="bottom"/>
            <w:gridSpan w:val="3"/>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3"/>
        </w:trPr>
        <w:tc>
          <w:tcPr>
            <w:tcW w:w="80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unvested and subject to exercise of 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144,517</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subject to outstanding common 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2,244,102</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3,250,236</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subject to convertible notes stock conversion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5,111,929</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816,667</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subject to warrants stock conversion</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16,586,980</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16,586,980</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subject to contingent earn out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10,500,000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10,500,000</w:t>
            </w: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2,211,509</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725,000</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 BENEFIT PLAN</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maintains a safe harbor 401(k) retirement plan for the benefit of its employees. The plan allows participants to make contributions subject to certain limitations. Company matching contributions were $529,000 and $502,000 for the years ended December 31, 2023 and 2022,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INCOME TAXES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and foreign components of loss from operations before income taxes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784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(9,717)</w:t>
            </w:r>
          </w:p>
        </w:tc>
        <w:tc>
          <w:tcPr>
            <w:tcW w:w="10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(13,076)</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provision (benefit) for income taxes consist of the following, (in thousands):</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7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40" w:type="dxa"/>
            <w:vAlign w:val="bottom"/>
          </w:tcPr>
          <w:p>
            <w:pPr>
              <w:spacing w:after="0"/>
              <w:rPr>
                <w:sz w:val="22"/>
                <w:szCs w:val="22"/>
                <w:color w:val="auto"/>
              </w:rPr>
            </w:pPr>
          </w:p>
        </w:tc>
        <w:tc>
          <w:tcPr>
            <w:tcW w:w="27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Provision (benefit) for income taxes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International</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actual provision (benefit) for income taxes from operations differ from the federal expected income tax provision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23"/>
        </w:trPr>
        <w:tc>
          <w:tcPr>
            <w:tcW w:w="5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Rate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Rate</w:t>
            </w: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income tax provision (benefit) at statutory rate</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taxes resulting from:</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income tax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income and losses taxed at different rates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Non-deductible or non-taxable items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income taxes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of income tax rate changes on deferred items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41"/>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In assessing the realizability of deferred tax assets, Management evaluates whether it is more likely than not that some portion or all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Management’s evaluation, the net deferred tax asset was offset by a full valuation allowance as of December 31, 2023 and 2022, respectively. The deferred tax asset valuation allowance will be reversed if and when the Company generates sufficient taxable income in the future to utilize the tax benefits of the related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85" w:name="page86"/>
    <w:bookmarkEnd w:id="85"/>
    <w:p>
      <w:pPr>
        <w:spacing w:after="0" w:line="281" w:lineRule="auto"/>
        <w:rPr>
          <w:sz w:val="20"/>
          <w:szCs w:val="20"/>
          <w:color w:val="auto"/>
        </w:rPr>
      </w:pPr>
      <w:r>
        <w:rPr>
          <w:rFonts w:ascii="Times New Roman" w:cs="Times New Roman" w:eastAsia="Times New Roman" w:hAnsi="Times New Roman"/>
          <w:sz w:val="17"/>
          <w:szCs w:val="17"/>
          <w:color w:val="auto"/>
        </w:rPr>
        <w:t>The tax effects of temporary difference that give rise to a significant portion of deferred tax assets and tax liabilities for the years ended December 31, 2023 and 2022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shd w:val="clear" w:color="auto" w:fill="CCEEFF"/>
          </w:tcPr>
          <w:p>
            <w:pPr>
              <w:spacing w:after="0"/>
              <w:rPr>
                <w:sz w:val="19"/>
                <w:szCs w:val="19"/>
                <w:color w:val="auto"/>
              </w:rPr>
            </w:pPr>
          </w:p>
        </w:tc>
        <w:tc>
          <w:tcPr>
            <w:tcW w:w="280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00" w:type="dxa"/>
            <w:vAlign w:val="bottom"/>
            <w:shd w:val="clear" w:color="auto" w:fill="CCEEFF"/>
          </w:tcPr>
          <w:p>
            <w:pPr>
              <w:spacing w:after="0"/>
              <w:rPr>
                <w:sz w:val="19"/>
                <w:szCs w:val="19"/>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9"/>
                <w:szCs w:val="19"/>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operating loss - US Federal</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w:t>
            </w: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 US State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operating loss - Foreign</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16"/>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tcPr>
          <w:p>
            <w:pPr>
              <w:spacing w:after="0"/>
              <w:rPr>
                <w:sz w:val="18"/>
                <w:szCs w:val="18"/>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8,116</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(7,506)</w:t>
            </w:r>
          </w:p>
        </w:tc>
      </w:tr>
      <w:tr>
        <w:trPr>
          <w:trHeight w:val="216"/>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3"/>
        </w:trPr>
        <w:tc>
          <w:tcPr>
            <w:tcW w:w="7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2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right of use asset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3"/>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29"/>
        </w:trPr>
        <w:tc>
          <w:tcPr>
            <w:tcW w:w="7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deferred income tax asset (liability)</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has incurred significant losses in recent periods. As a result, we maintained valuation allowances against our domestic and foreign deferred tax assets as of December 31, 2023 and 2022, to reduce their carrying values to amounts that are realizable either through future reversals of existing taxable temporary differences or through taxable income in carryback years for the applicable jurisdictions.</w:t>
      </w:r>
    </w:p>
    <w:p>
      <w:pPr>
        <w:spacing w:after="0" w:line="195"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17"/>
          <w:szCs w:val="17"/>
          <w:color w:val="auto"/>
        </w:rPr>
        <w:t>At December 31, 2023, the Company has federal net operating loss available to carryforward of approximately $23.1 million which will be carried forward indefinitely. Pursuant to IRC §382 of the Internal Revenue Code, the utilization of net operating loss carryforwards may be limited as a result of a cumulative change in stock ownership of more than 50% over a three-year period. The Company has not determined whether such a change has occurred and accordingly, the utilization of the net operating loss carryforwards may be subject to certain limitations.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has state and foreign net operating losses available to carryforward of approximately $23.5 million and $2.7 million, respectively, which begin expiring in 2030 and 2037, respectively, as of December 31, 2023.</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2023 and 2022, there are no uncertain tax positions taken, or expected to be taken, that would require recognition of a liability or disclosure in the financial statements.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accrues interest and penalties arising on the underpayment of taxes if the full benefit of a tax position is not recognized in the financial statements. In accordance with ASC 740,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6" w:name="page87"/>
    <w:bookmarkEnd w:id="86"/>
    <w:p>
      <w:pPr>
        <w:jc w:val="both"/>
        <w:spacing w:after="0" w:line="281" w:lineRule="auto"/>
        <w:rPr>
          <w:sz w:val="20"/>
          <w:szCs w:val="20"/>
          <w:color w:val="auto"/>
        </w:rPr>
      </w:pPr>
      <w:r>
        <w:rPr>
          <w:rFonts w:ascii="Times New Roman" w:cs="Times New Roman" w:eastAsia="Times New Roman" w:hAnsi="Times New Roman"/>
          <w:sz w:val="17"/>
          <w:szCs w:val="17"/>
          <w:color w:val="auto"/>
        </w:rPr>
        <w:t>interest and penalties are recorded as income tax expense. There have been no penalties or interest paid or incurred during the twelve months ended December 31, 2023 and 2022, respectively.</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Management is required to analyze all open tax years, as defined by the statute of limitations, for all major jurisdictions, including federal and certain state taxing authorities. As of and for the twelve months ended December 31, 2023 and 2022, the Company did not have a liability for any unrecognized taxes. The Company has no examinations in progress and is not aware of any tax positions for which it is reasonably possible that the total amounts of unrecognized tax liabilities will significantly change in the next twelve months. The Company’s 2019 through 2021 tax years are open for examination for federal and state taxing authorities.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 SUBSEQUENT EVENTS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16, 2024, the Company entered into an agreement with LI Capital Global Opportunities to repurchase the entire outstanding principal of the Secured Convertible Note and cancel the associated warrants. The outstanding principal and accrued interest at the time of repurchase was $5.2 million. SpringBig, using a portion of the proceeds from the 8% Convertible Notes purchased the entire outstanding obligation to LI Capital Global Opportunities for $2.9 million.</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After the end of the fiscal year, on January 23, 2024, the Company raised $6.4 million through the issuance of 8% Convertible Notes and $1.6 million through the issuance of 12% Term Notes. The net cash proceeds, after transaction expenses, were $7.5 million.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8% Convertible Notes accrue interest at 8% per annum which is added to the outstanding principal balance annually. The Notes are convertible into common stock at a conversion price of $0.15 per share at the holder's option any time up to the day prior to maturity in January 2026. The 12% Term Notes, due in January 2026, accrue interest payable at 12% per annum in cash semi-annually. The 8% Convertible Notes and 12% Term Notes rank pari passu and are secured by substantially all the assets of the Company.</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Jeffrey Harris, CEO, Paul Sykes, CFO, and Jon Trauben, Director, agreed to purchase the Convertible Notes and Term Notes for an aggregate amount of $450,000 on the same terms as all other purchasers.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2023. Based on this evaluation, our Chief Executive Officer and Chief Financial Officer have concluded that, as of December 31, 2023, our disclosure controls and procedures were not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Controls Over Financial Reporting</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7" w:name="page88"/>
    <w:bookmarkEnd w:id="87"/>
    <w:p>
      <w:pPr>
        <w:ind w:left="640" w:hanging="320"/>
        <w:spacing w:after="0" w:line="244" w:lineRule="auto"/>
        <w:tabs>
          <w:tab w:leader="none" w:pos="62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378" w:lineRule="exact"/>
        <w:rPr>
          <w:rFonts w:ascii="Times New Roman" w:cs="Times New Roman" w:eastAsia="Times New Roman" w:hAnsi="Times New Roman"/>
          <w:sz w:val="17"/>
          <w:szCs w:val="17"/>
          <w:color w:val="auto"/>
        </w:rPr>
      </w:pPr>
    </w:p>
    <w:p>
      <w:pPr>
        <w:jc w:val="both"/>
        <w:ind w:left="640" w:hanging="320"/>
        <w:spacing w:after="0"/>
        <w:tabs>
          <w:tab w:leader="none" w:pos="6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356" w:lineRule="exact"/>
        <w:rPr>
          <w:rFonts w:ascii="Times New Roman" w:cs="Times New Roman" w:eastAsia="Times New Roman" w:hAnsi="Times New Roman"/>
          <w:sz w:val="17"/>
          <w:szCs w:val="17"/>
          <w:color w:val="auto"/>
        </w:rPr>
      </w:pPr>
    </w:p>
    <w:p>
      <w:pPr>
        <w:ind w:left="640" w:hanging="320"/>
        <w:spacing w:after="0" w:line="248" w:lineRule="auto"/>
        <w:tabs>
          <w:tab w:leader="none" w:pos="63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2023, using the criteria set forth by the Committee of Sponsoring Organizations of the Treadway Commission (“COSO”) in Internal Control – Integrated Framework (2013).</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that evaluation, management concluded that at December 31, 2023, the Company’s internal controls are not effective due to two material weaknesses. A “material weakness” is a deficiency, or combination of deficiencies, in internal control over financial reporting, such that there is more than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concluded that we did not have accounting personnel with adequate expertise in GAAP to ensure that complex material and/or non-routine transactions are properly reflected in our consolidated financial statements, and. We also noted that we did not perform adequate independent reviews and maintain effective controls related to the preparation of consolidated financial statements, related notes thereto, account analyses, account summaries and account reconciliations.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also identified information technology deficiencies in the design and implementation of change management and user access controls over financial IT applications that support the Company’s financial reporting processes and provide the assurance that the data produced by these systems is complete and accurate. The access issues relate to appropriate segregation of duties that would adequately restrict user and privileged access to the financially relevant applications and underlying records to the appropriate personnel. Management has considered these IT deficiencies to be a material weakness in internal controls over financial reporting as of December 31, 2023.</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Remediation efforts have begun; the material weaknesses will not be considered remediated until the applicable controls operate for a sufficient period of time and management has concluded, through testing, that these controls are operating effectively. The Company expects that the remediation of these material weaknesses will be completed during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Attestation Report of the Registered Public Accounting Firm</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registered public accounting firm due to an exemption provided by the JOBS Act for “emerging growth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and 15d-15(f) of the Exchange Act) during the year ended December 31, 2023, that have materially affected, or are reasonably likely to materially affect, our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8" w:name="page89"/>
    <w:bookmarkEnd w:id="88"/>
    <w:p>
      <w:pPr>
        <w:spacing w:after="0" w:line="281" w:lineRule="auto"/>
        <w:rPr>
          <w:sz w:val="20"/>
          <w:szCs w:val="20"/>
          <w:color w:val="auto"/>
        </w:rPr>
      </w:pPr>
      <w:r>
        <w:rPr>
          <w:rFonts w:ascii="Times New Roman" w:cs="Times New Roman" w:eastAsia="Times New Roman" w:hAnsi="Times New Roman"/>
          <w:sz w:val="17"/>
          <w:szCs w:val="17"/>
          <w:color w:val="auto"/>
        </w:rPr>
        <w:t>During the three months ended December 31, 2023, none of our officers or directors adopted or terminated a “Rule 10b5-1 trading arrangement” or “non-Rule 10b5-1 trading arrangement” (each as defined in Item 408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9" w:name="page90"/>
    <w:bookmarkEnd w:id="89"/>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Annual Report on Form 10-K.</w:t>
      </w:r>
    </w:p>
    <w:p>
      <w:pPr>
        <w:sectPr>
          <w:pgSz w:w="11900" w:h="16838" w:orient="portrait"/>
          <w:cols w:equalWidth="0" w:num="1">
            <w:col w:w="10820"/>
          </w:cols>
          <w:pgMar w:left="320" w:top="880" w:right="759" w:bottom="1440" w:gutter="0" w:footer="0" w:header="0"/>
        </w:sectPr>
      </w:pPr>
    </w:p>
    <w:p>
      <w:pPr>
        <w:spacing w:after="0" w:line="26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80" w:type="dxa"/>
            <w:vAlign w:val="bottom"/>
            <w:gridSpan w:val="3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2.1</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Amended and Restated Merger Agreement with Amendment No. 1.</w:t>
              </w:r>
            </w:hyperlink>
          </w:p>
        </w:tc>
        <w:tc>
          <w:tcPr>
            <w:tcW w:w="0" w:type="dxa"/>
            <w:vAlign w:val="bottom"/>
          </w:tcPr>
          <w:p>
            <w:pPr>
              <w:spacing w:after="0"/>
              <w:rPr>
                <w:sz w:val="1"/>
                <w:szCs w:val="1"/>
                <w:color w:val="auto"/>
              </w:rPr>
            </w:pPr>
          </w:p>
        </w:tc>
      </w:tr>
      <w:tr>
        <w:trPr>
          <w:trHeight w:val="190"/>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3.1*</w:t>
            </w:r>
          </w:p>
        </w:tc>
        <w:tc>
          <w:tcPr>
            <w:tcW w:w="37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Certificate of Incorporation of SpringBig Holdings, Inc.</w:t>
            </w:r>
          </w:p>
        </w:tc>
        <w:tc>
          <w:tcPr>
            <w:tcW w:w="1120" w:type="dxa"/>
            <w:vAlign w:val="bottom"/>
            <w:gridSpan w:val="2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3.2*</w:t>
            </w:r>
          </w:p>
        </w:tc>
        <w:tc>
          <w:tcPr>
            <w:tcW w:w="21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By-Laws of SpringBig Holdings, Inc.</w:t>
            </w:r>
          </w:p>
        </w:tc>
        <w:tc>
          <w:tcPr>
            <w:tcW w:w="1000" w:type="dxa"/>
            <w:vAlign w:val="bottom"/>
            <w:tcBorders>
              <w:top w:val="single" w:sz="8" w:color="0000FF"/>
            </w:tcBorders>
            <w:gridSpan w:val="3"/>
          </w:tcPr>
          <w:p>
            <w:pPr>
              <w:spacing w:after="0"/>
              <w:rPr>
                <w:sz w:val="16"/>
                <w:szCs w:val="16"/>
                <w:color w:val="auto"/>
              </w:rPr>
            </w:pPr>
          </w:p>
        </w:tc>
        <w:tc>
          <w:tcPr>
            <w:tcW w:w="1780" w:type="dxa"/>
            <w:vAlign w:val="bottom"/>
            <w:gridSpan w:val="3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4.1</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Senior Secured Original Issue Discount Convertible Promissory Note dated June 14,</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3840" w:type="dxa"/>
            <w:vAlign w:val="bottom"/>
            <w:tcBorders>
              <w:top w:val="single" w:sz="8" w:color="0000FF"/>
              <w:bottom w:val="single" w:sz="8" w:color="0000FF"/>
            </w:tcBorders>
            <w:gridSpan w:val="19"/>
          </w:tcPr>
          <w:p>
            <w:pPr>
              <w:spacing w:after="0" w:line="111"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2022 between SpringBig Holdings, Inc. and the holder party thereto.</w:t>
              </w:r>
            </w:hyperlink>
          </w:p>
        </w:tc>
        <w:tc>
          <w:tcPr>
            <w:tcW w:w="90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4.2</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Common Stock Purchase Warrant SpringBig Holdings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4.3</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Amendment to Secured Original Issue Discount Convertible Promissory Note dated</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700" w:type="dxa"/>
            <w:vAlign w:val="bottom"/>
            <w:tcBorders>
              <w:top w:val="single" w:sz="8" w:color="0000FF"/>
            </w:tcBorders>
            <w:gridSpan w:val="34"/>
          </w:tcPr>
          <w:p>
            <w:pPr>
              <w:spacing w:after="0" w:line="111" w:lineRule="exact"/>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December 1, 2022 between SpringBig Holdings, Inc. and the holder party thereto.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4.4*</w:t>
            </w:r>
          </w:p>
        </w:tc>
        <w:tc>
          <w:tcPr>
            <w:tcW w:w="45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Description of Securities of SpringBig Holdings Inc.</w:t>
            </w:r>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tcPr>
          <w:p>
            <w:pPr>
              <w:spacing w:after="0"/>
              <w:rPr>
                <w:sz w:val="16"/>
                <w:szCs w:val="16"/>
                <w:color w:val="auto"/>
              </w:rPr>
            </w:pPr>
          </w:p>
        </w:tc>
        <w:tc>
          <w:tcPr>
            <w:tcW w:w="468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w w:val="98"/>
              </w:rPr>
            </w:pPr>
            <w:hyperlink r:id="rId116">
              <w:r>
                <w:rPr>
                  <w:rFonts w:ascii="Times New Roman" w:cs="Times New Roman" w:eastAsia="Times New Roman" w:hAnsi="Times New Roman"/>
                  <w:sz w:val="14"/>
                  <w:szCs w:val="14"/>
                  <w:color w:val="0000FF"/>
                  <w:w w:val="98"/>
                </w:rPr>
                <w:t>Warrant Agreement, dated as of February 11, 2021, by and between Tuatara Capital</w:t>
              </w:r>
            </w:hyperlink>
          </w:p>
        </w:tc>
        <w:tc>
          <w:tcPr>
            <w:tcW w:w="22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4.5</w:t>
            </w:r>
          </w:p>
        </w:tc>
        <w:tc>
          <w:tcPr>
            <w:tcW w:w="4900" w:type="dxa"/>
            <w:vAlign w:val="bottom"/>
            <w:gridSpan w:val="43"/>
          </w:tcPr>
          <w:p>
            <w:pPr>
              <w:spacing w:after="0" w:line="125"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Acquisition Corporation and Continental Stock Transfer &amp; Trust Company, as warrant</w:t>
              </w:r>
            </w:hyperlink>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340" w:type="dxa"/>
            <w:vAlign w:val="bottom"/>
            <w:tcBorders>
              <w:top w:val="single" w:sz="8" w:color="0000FF"/>
              <w:bottom w:val="single" w:sz="8" w:color="0000FF"/>
            </w:tcBorders>
          </w:tcPr>
          <w:p>
            <w:pPr>
              <w:spacing w:after="0" w:line="125" w:lineRule="exact"/>
              <w:rPr>
                <w:rFonts w:ascii="Times New Roman" w:cs="Times New Roman" w:eastAsia="Times New Roman" w:hAnsi="Times New Roman"/>
                <w:sz w:val="14"/>
                <w:szCs w:val="14"/>
                <w:color w:val="0000FF"/>
                <w:w w:val="94"/>
              </w:rPr>
            </w:pPr>
            <w:hyperlink r:id="rId116">
              <w:r>
                <w:rPr>
                  <w:rFonts w:ascii="Times New Roman" w:cs="Times New Roman" w:eastAsia="Times New Roman" w:hAnsi="Times New Roman"/>
                  <w:sz w:val="14"/>
                  <w:szCs w:val="14"/>
                  <w:color w:val="0000FF"/>
                  <w:w w:val="94"/>
                </w:rPr>
                <w:t>agent.</w:t>
              </w:r>
            </w:hyperlink>
          </w:p>
        </w:tc>
        <w:tc>
          <w:tcPr>
            <w:tcW w:w="4520" w:type="dxa"/>
            <w:vAlign w:val="bottom"/>
            <w:tcBorders>
              <w:top w:val="single" w:sz="8" w:color="0000FF"/>
            </w:tcBorders>
            <w:gridSpan w:val="4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4.6</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Senior Secured Convertible Promissory Note of SpringBig Holdings, Inc., dated as of</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1000" w:type="dxa"/>
            <w:vAlign w:val="bottom"/>
            <w:tcBorders>
              <w:top w:val="single" w:sz="8" w:color="0000FF"/>
              <w:bottom w:val="single" w:sz="8" w:color="0000FF"/>
            </w:tcBorders>
            <w:gridSpan w:val="2"/>
          </w:tcPr>
          <w:p>
            <w:pPr>
              <w:spacing w:after="0" w:line="111" w:lineRule="exact"/>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January 23, 2024.</w:t>
              </w:r>
            </w:hyperlink>
          </w:p>
        </w:tc>
        <w:tc>
          <w:tcPr>
            <w:tcW w:w="3800" w:type="dxa"/>
            <w:vAlign w:val="bottom"/>
            <w:tcBorders>
              <w:top w:val="single" w:sz="8" w:color="0000FF"/>
            </w:tcBorders>
            <w:gridSpan w:val="3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4.7</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Senior Secured Term Promissory Note of SpringBig Holdings, Inc., dated as of</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1000" w:type="dxa"/>
            <w:vAlign w:val="bottom"/>
            <w:tcBorders>
              <w:top w:val="single" w:sz="8" w:color="0000FF"/>
              <w:bottom w:val="single" w:sz="8" w:color="0000FF"/>
            </w:tcBorders>
            <w:gridSpan w:val="2"/>
          </w:tcPr>
          <w:p>
            <w:pPr>
              <w:spacing w:after="0" w:line="111" w:lineRule="exact"/>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January 23, 2024.</w:t>
              </w:r>
            </w:hyperlink>
          </w:p>
        </w:tc>
        <w:tc>
          <w:tcPr>
            <w:tcW w:w="344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210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9"/>
              </w:rPr>
            </w:pPr>
            <w:hyperlink r:id="rId114">
              <w:r>
                <w:rPr>
                  <w:rFonts w:ascii="Times New Roman" w:cs="Times New Roman" w:eastAsia="Times New Roman" w:hAnsi="Times New Roman"/>
                  <w:sz w:val="14"/>
                  <w:szCs w:val="14"/>
                  <w:color w:val="0000FF"/>
                  <w:w w:val="99"/>
                </w:rPr>
                <w:t>Form of Sponsor Escrow Agreement.</w:t>
              </w:r>
            </w:hyperlink>
          </w:p>
        </w:tc>
        <w:tc>
          <w:tcPr>
            <w:tcW w:w="28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Amended and Restated Registration Rights Agreement, dated June 14, 2022, by and</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720" w:type="dxa"/>
            <w:vAlign w:val="bottom"/>
            <w:tcBorders>
              <w:top w:val="single" w:sz="8" w:color="0000FF"/>
            </w:tcBorders>
            <w:gridSpan w:val="35"/>
          </w:tcPr>
          <w:p>
            <w:pPr>
              <w:spacing w:after="0" w:line="111"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among New SpringBig, the Sponsor and other holders party thereto.</w:t>
              </w:r>
            </w:hyperlink>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10.3</w:t>
            </w:r>
          </w:p>
        </w:tc>
        <w:tc>
          <w:tcPr>
            <w:tcW w:w="3800" w:type="dxa"/>
            <w:vAlign w:val="bottom"/>
            <w:tcBorders>
              <w:top w:val="single" w:sz="8" w:color="0000FF"/>
            </w:tcBorders>
            <w:gridSpan w:val="18"/>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Form of Subscription Agreement.</w:t>
              </w:r>
            </w:hyperlink>
          </w:p>
        </w:tc>
        <w:tc>
          <w:tcPr>
            <w:tcW w:w="1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10.4</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Securities Purchase Agreement, dated April 29, 2022, among Tuatara Capital</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320" w:type="dxa"/>
            <w:vAlign w:val="bottom"/>
            <w:tcBorders>
              <w:top w:val="single" w:sz="8" w:color="0000FF"/>
            </w:tcBorders>
            <w:gridSpan w:val="22"/>
          </w:tcPr>
          <w:p>
            <w:pPr>
              <w:spacing w:after="0" w:line="111" w:lineRule="exact"/>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Acquisition Corporation, and L1 Capital Global Opportunities Master Fund.</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10.5</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Registration Rights Agreement, dated June 14, 2022, among SpringBig Holdings, Inc.</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820" w:type="dxa"/>
            <w:vAlign w:val="bottom"/>
            <w:tcBorders>
              <w:top w:val="single" w:sz="8" w:color="0000FF"/>
            </w:tcBorders>
            <w:gridSpan w:val="39"/>
          </w:tcPr>
          <w:p>
            <w:pPr>
              <w:spacing w:after="0" w:line="111"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and the investors party thereto.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10.6#</w:t>
            </w: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vMerge w:val="continue"/>
          </w:tcPr>
          <w:p>
            <w:pPr>
              <w:spacing w:after="0"/>
              <w:rPr>
                <w:sz w:val="17"/>
                <w:szCs w:val="17"/>
                <w:color w:val="auto"/>
              </w:rPr>
            </w:pP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SpringBig Holdings, Inc. 2022 Long-Term Incentive Plan.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10.7#</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Executive Employment Agreement, dated November 8, 2021 by and between</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1720" w:type="dxa"/>
            <w:vAlign w:val="bottom"/>
            <w:tcBorders>
              <w:top w:val="single" w:sz="8" w:color="0000FF"/>
              <w:bottom w:val="single" w:sz="8" w:color="0000FF"/>
            </w:tcBorders>
            <w:gridSpan w:val="5"/>
          </w:tcPr>
          <w:p>
            <w:pPr>
              <w:spacing w:after="0" w:line="111"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SpringBig and Jeffrey Harris.</w:t>
              </w:r>
            </w:hyperlink>
          </w:p>
        </w:tc>
        <w:tc>
          <w:tcPr>
            <w:tcW w:w="2620" w:type="dxa"/>
            <w:vAlign w:val="bottom"/>
            <w:tcBorders>
              <w:top w:val="single" w:sz="8" w:color="0000FF"/>
            </w:tcBorders>
            <w:gridSpan w:val="18"/>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10.8#</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Executive Employment Agreement, dated November 8, 2021 by and between</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1500" w:type="dxa"/>
            <w:vAlign w:val="bottom"/>
            <w:tcBorders>
              <w:top w:val="single" w:sz="8" w:color="0000FF"/>
              <w:bottom w:val="single" w:sz="8" w:color="0000FF"/>
            </w:tcBorders>
            <w:gridSpan w:val="4"/>
          </w:tcPr>
          <w:p>
            <w:pPr>
              <w:spacing w:after="0" w:line="111"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SpringBig and Paul Sykes.</w:t>
              </w:r>
            </w:hyperlink>
          </w:p>
        </w:tc>
        <w:tc>
          <w:tcPr>
            <w:tcW w:w="2840" w:type="dxa"/>
            <w:vAlign w:val="bottom"/>
            <w:tcBorders>
              <w:top w:val="single" w:sz="8" w:color="0000FF"/>
            </w:tcBorders>
            <w:gridSpan w:val="19"/>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10.9†</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Purchase Agreement, dated April 29, 2022, between Tuatara Capital Acquisition</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520" w:type="dxa"/>
            <w:vAlign w:val="bottom"/>
            <w:tcBorders>
              <w:top w:val="single" w:sz="8" w:color="0000FF"/>
            </w:tcBorders>
            <w:gridSpan w:val="30"/>
          </w:tcPr>
          <w:p>
            <w:pPr>
              <w:spacing w:after="0" w:line="125"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Corporation and CF Principal Investments LLC.</w:t>
              </w:r>
            </w:hyperlink>
          </w:p>
        </w:tc>
        <w:tc>
          <w:tcPr>
            <w:tcW w:w="1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10.10</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Registration Rights Agreement, dated April 29, 2022, between Tuatara Capital</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3400" w:type="dxa"/>
            <w:vAlign w:val="bottom"/>
            <w:tcBorders>
              <w:top w:val="single" w:sz="8" w:color="0000FF"/>
              <w:bottom w:val="single" w:sz="8" w:color="0000FF"/>
            </w:tcBorders>
            <w:gridSpan w:val="14"/>
          </w:tcPr>
          <w:p>
            <w:pPr>
              <w:spacing w:after="0" w:line="125" w:lineRule="exact"/>
              <w:rPr>
                <w:rFonts w:ascii="Times New Roman" w:cs="Times New Roman" w:eastAsia="Times New Roman" w:hAnsi="Times New Roman"/>
                <w:sz w:val="14"/>
                <w:szCs w:val="14"/>
                <w:color w:val="0000FF"/>
                <w:w w:val="99"/>
              </w:rPr>
            </w:pPr>
            <w:hyperlink r:id="rId119">
              <w:r>
                <w:rPr>
                  <w:rFonts w:ascii="Times New Roman" w:cs="Times New Roman" w:eastAsia="Times New Roman" w:hAnsi="Times New Roman"/>
                  <w:sz w:val="14"/>
                  <w:szCs w:val="14"/>
                  <w:color w:val="0000FF"/>
                  <w:w w:val="99"/>
                </w:rPr>
                <w:t>Acquisition Corporation and CF Principal Investments LLC.</w:t>
              </w:r>
            </w:hyperlink>
          </w:p>
        </w:tc>
        <w:tc>
          <w:tcPr>
            <w:tcW w:w="100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8"/>
              </w:rPr>
              <w:t>10.11†</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Amendment No. 1 to Purchase Agreement, dated July 20, 2022, by and between</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3440" w:type="dxa"/>
            <w:vAlign w:val="bottom"/>
            <w:tcBorders>
              <w:top w:val="single" w:sz="8" w:color="0000FF"/>
              <w:bottom w:val="single" w:sz="8" w:color="0000FF"/>
            </w:tcBorders>
            <w:gridSpan w:val="15"/>
          </w:tcPr>
          <w:p>
            <w:pPr>
              <w:spacing w:after="0" w:line="125" w:lineRule="exact"/>
              <w:rPr>
                <w:rFonts w:ascii="Times New Roman" w:cs="Times New Roman" w:eastAsia="Times New Roman" w:hAnsi="Times New Roman"/>
                <w:sz w:val="14"/>
                <w:szCs w:val="14"/>
                <w:color w:val="0000FF"/>
                <w:w w:val="99"/>
              </w:rPr>
            </w:pPr>
            <w:hyperlink r:id="rId120">
              <w:r>
                <w:rPr>
                  <w:rFonts w:ascii="Times New Roman" w:cs="Times New Roman" w:eastAsia="Times New Roman" w:hAnsi="Times New Roman"/>
                  <w:sz w:val="14"/>
                  <w:szCs w:val="14"/>
                  <w:color w:val="0000FF"/>
                  <w:w w:val="99"/>
                </w:rPr>
                <w:t>SpringBig Holdings, Inc. and CF Principal Investments LLC.</w:t>
              </w:r>
            </w:hyperlink>
          </w:p>
        </w:tc>
        <w:tc>
          <w:tcPr>
            <w:tcW w:w="1060" w:type="dxa"/>
            <w:vAlign w:val="bottom"/>
            <w:tcBorders>
              <w:top w:val="single" w:sz="8" w:color="0000FF"/>
            </w:tcBorders>
            <w:gridSpan w:val="14"/>
          </w:tcPr>
          <w:p>
            <w:pPr>
              <w:spacing w:after="0"/>
              <w:rPr>
                <w:sz w:val="10"/>
                <w:szCs w:val="10"/>
                <w:color w:val="auto"/>
              </w:rPr>
            </w:pPr>
          </w:p>
        </w:tc>
        <w:tc>
          <w:tcPr>
            <w:tcW w:w="1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10.12</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Amendment to Purchase Agreement, dated December 1, 2022, by and between</w:t>
              </w:r>
            </w:hyperlink>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4280" w:type="dxa"/>
            <w:vAlign w:val="bottom"/>
            <w:tcBorders>
              <w:top w:val="single" w:sz="8" w:color="0000FF"/>
              <w:bottom w:val="single" w:sz="8" w:color="0000FF"/>
            </w:tcBorders>
            <w:gridSpan w:val="21"/>
          </w:tcPr>
          <w:p>
            <w:pPr>
              <w:spacing w:after="0" w:line="125" w:lineRule="exact"/>
              <w:rPr>
                <w:rFonts w:ascii="Times New Roman" w:cs="Times New Roman" w:eastAsia="Times New Roman" w:hAnsi="Times New Roman"/>
                <w:sz w:val="14"/>
                <w:szCs w:val="14"/>
                <w:color w:val="0000FF"/>
                <w:w w:val="99"/>
              </w:rPr>
            </w:pPr>
            <w:hyperlink r:id="rId115">
              <w:r>
                <w:rPr>
                  <w:rFonts w:ascii="Times New Roman" w:cs="Times New Roman" w:eastAsia="Times New Roman" w:hAnsi="Times New Roman"/>
                  <w:sz w:val="14"/>
                  <w:szCs w:val="14"/>
                  <w:color w:val="0000FF"/>
                  <w:w w:val="99"/>
                </w:rPr>
                <w:t>SpringBig Holdings, Inc. and L1 Capital Global Opportunities Master Fund.</w:t>
              </w:r>
            </w:hyperlink>
          </w:p>
        </w:tc>
        <w:tc>
          <w:tcPr>
            <w:tcW w:w="140" w:type="dxa"/>
            <w:vAlign w:val="bottom"/>
            <w:tcBorders>
              <w:top w:val="single" w:sz="8" w:color="0000FF"/>
            </w:tcBorders>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10.13</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Amendment No. 2 to Purchase Agreement, dated December 28, 2022, by and between</w:t>
              </w:r>
            </w:hyperlink>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4280" w:type="dxa"/>
            <w:vAlign w:val="bottom"/>
            <w:tcBorders>
              <w:top w:val="single" w:sz="8" w:color="0000FF"/>
              <w:bottom w:val="single" w:sz="8" w:color="0000FF"/>
            </w:tcBorders>
            <w:gridSpan w:val="21"/>
          </w:tcPr>
          <w:p>
            <w:pPr>
              <w:spacing w:after="0" w:line="98" w:lineRule="exact"/>
              <w:rPr>
                <w:rFonts w:ascii="Times New Roman" w:cs="Times New Roman" w:eastAsia="Times New Roman" w:hAnsi="Times New Roman"/>
                <w:sz w:val="10"/>
                <w:szCs w:val="10"/>
                <w:color w:val="0000FF"/>
              </w:rPr>
            </w:pPr>
            <w:hyperlink r:id="rId121">
              <w:r>
                <w:rPr>
                  <w:rFonts w:ascii="Times New Roman" w:cs="Times New Roman" w:eastAsia="Times New Roman" w:hAnsi="Times New Roman"/>
                  <w:sz w:val="10"/>
                  <w:szCs w:val="10"/>
                  <w:color w:val="0000FF"/>
                </w:rPr>
                <w:t>SpringBig Holdings, Inc. and L1 Capital Global Opportunities Master Fund.</w:t>
              </w:r>
            </w:hyperlink>
          </w:p>
        </w:tc>
        <w:tc>
          <w:tcPr>
            <w:tcW w:w="560" w:type="dxa"/>
            <w:vAlign w:val="bottom"/>
            <w:tcBorders>
              <w:top w:val="single" w:sz="8" w:color="0000FF"/>
            </w:tcBorders>
            <w:gridSpan w:val="19"/>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4900" w:type="dxa"/>
            <w:vAlign w:val="bottom"/>
            <w:gridSpan w:val="4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Settlement Agreement, dated September 7, 2023, by and between Yuzz Buzz, LLC,</w:t>
              </w:r>
            </w:hyperlink>
          </w:p>
        </w:tc>
        <w:tc>
          <w:tcPr>
            <w:tcW w:w="0" w:type="dxa"/>
            <w:vAlign w:val="bottom"/>
          </w:tcPr>
          <w:p>
            <w:pPr>
              <w:spacing w:after="0"/>
              <w:rPr>
                <w:sz w:val="1"/>
                <w:szCs w:val="1"/>
                <w:color w:val="auto"/>
              </w:rPr>
            </w:pPr>
          </w:p>
        </w:tc>
      </w:tr>
      <w:tr>
        <w:trPr>
          <w:trHeight w:val="91"/>
        </w:trPr>
        <w:tc>
          <w:tcPr>
            <w:tcW w:w="740" w:type="dxa"/>
            <w:vAlign w:val="bottom"/>
          </w:tcPr>
          <w:p>
            <w:pPr>
              <w:spacing w:after="0"/>
              <w:rPr>
                <w:sz w:val="7"/>
                <w:szCs w:val="7"/>
                <w:color w:val="auto"/>
              </w:rPr>
            </w:pPr>
          </w:p>
        </w:tc>
        <w:tc>
          <w:tcPr>
            <w:tcW w:w="4660" w:type="dxa"/>
            <w:vAlign w:val="bottom"/>
            <w:tcBorders>
              <w:top w:val="single" w:sz="8" w:color="0000FF"/>
            </w:tcBorders>
            <w:gridSpan w:val="32"/>
          </w:tcPr>
          <w:p>
            <w:pPr>
              <w:spacing w:after="0" w:line="85" w:lineRule="exact"/>
              <w:rPr>
                <w:rFonts w:ascii="Times New Roman" w:cs="Times New Roman" w:eastAsia="Times New Roman" w:hAnsi="Times New Roman"/>
                <w:sz w:val="9"/>
                <w:szCs w:val="9"/>
                <w:color w:val="0000FF"/>
              </w:rPr>
            </w:pPr>
            <w:hyperlink r:id="rId122">
              <w:r>
                <w:rPr>
                  <w:rFonts w:ascii="Times New Roman" w:cs="Times New Roman" w:eastAsia="Times New Roman" w:hAnsi="Times New Roman"/>
                  <w:sz w:val="9"/>
                  <w:szCs w:val="9"/>
                  <w:color w:val="0000FF"/>
                </w:rPr>
                <w:t>Jason Wright, and Michael Gross, on the one hand, and SpringBig, Inc., Medici</w:t>
              </w:r>
            </w:hyperlink>
          </w:p>
        </w:tc>
        <w:tc>
          <w:tcPr>
            <w:tcW w:w="100" w:type="dxa"/>
            <w:vAlign w:val="bottom"/>
            <w:gridSpan w:val="5"/>
          </w:tcPr>
          <w:p>
            <w:pPr>
              <w:spacing w:after="0"/>
              <w:rPr>
                <w:sz w:val="7"/>
                <w:szCs w:val="7"/>
                <w:color w:val="auto"/>
              </w:rPr>
            </w:pPr>
          </w:p>
        </w:tc>
        <w:tc>
          <w:tcPr>
            <w:tcW w:w="12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10.14</w:t>
            </w:r>
          </w:p>
        </w:tc>
        <w:tc>
          <w:tcPr>
            <w:tcW w:w="4460" w:type="dxa"/>
            <w:vAlign w:val="bottom"/>
            <w:tcBorders>
              <w:top w:val="single" w:sz="8" w:color="0000FF"/>
            </w:tcBorders>
            <w:gridSpan w:val="27"/>
          </w:tcPr>
          <w:p>
            <w:pPr>
              <w:spacing w:after="0" w:line="105"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Holdings V, Inc. (f/k/a SpringBig, Inc.), SpringBig Holdings, Inc. and Jeffrey</w:t>
              </w:r>
            </w:hyperlink>
          </w:p>
        </w:tc>
        <w:tc>
          <w:tcPr>
            <w:tcW w:w="440" w:type="dxa"/>
            <w:vAlign w:val="bottom"/>
            <w:gridSpan w:val="16"/>
          </w:tcPr>
          <w:p>
            <w:pPr>
              <w:spacing w:after="0" w:line="105"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Harris,</w:t>
              </w:r>
            </w:hyperlink>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020" w:type="dxa"/>
            <w:vAlign w:val="bottom"/>
            <w:tcBorders>
              <w:top w:val="single" w:sz="8" w:color="0000FF"/>
              <w:bottom w:val="single" w:sz="8" w:color="0000FF"/>
            </w:tcBorders>
            <w:gridSpan w:val="3"/>
          </w:tcPr>
          <w:p>
            <w:pPr>
              <w:spacing w:after="0" w:line="98" w:lineRule="exact"/>
              <w:rPr>
                <w:rFonts w:ascii="Times New Roman" w:cs="Times New Roman" w:eastAsia="Times New Roman" w:hAnsi="Times New Roman"/>
                <w:sz w:val="10"/>
                <w:szCs w:val="10"/>
                <w:color w:val="0000FF"/>
              </w:rPr>
            </w:pPr>
            <w:hyperlink r:id="rId122">
              <w:r>
                <w:rPr>
                  <w:rFonts w:ascii="Times New Roman" w:cs="Times New Roman" w:eastAsia="Times New Roman" w:hAnsi="Times New Roman"/>
                  <w:sz w:val="10"/>
                  <w:szCs w:val="10"/>
                  <w:color w:val="0000FF"/>
                </w:rPr>
                <w:t>on the other hand.</w:t>
              </w:r>
            </w:hyperlink>
          </w:p>
        </w:tc>
        <w:tc>
          <w:tcPr>
            <w:tcW w:w="3740" w:type="dxa"/>
            <w:vAlign w:val="bottom"/>
            <w:tcBorders>
              <w:top w:val="single" w:sz="8" w:color="0000FF"/>
            </w:tcBorders>
            <w:gridSpan w:val="34"/>
          </w:tcPr>
          <w:p>
            <w:pPr>
              <w:spacing w:after="0"/>
              <w:rPr>
                <w:sz w:val="8"/>
                <w:szCs w:val="8"/>
                <w:color w:val="auto"/>
              </w:rPr>
            </w:pPr>
          </w:p>
        </w:tc>
        <w:tc>
          <w:tcPr>
            <w:tcW w:w="12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10.15</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Standard Merchant Cash Advance Agreement, dated as of July 25, 2023, by and</w:t>
              </w:r>
            </w:hyperlink>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3380" w:type="dxa"/>
            <w:vAlign w:val="bottom"/>
            <w:tcBorders>
              <w:top w:val="single" w:sz="8" w:color="0000FF"/>
              <w:bottom w:val="single" w:sz="8" w:color="0000FF"/>
            </w:tcBorders>
            <w:gridSpan w:val="13"/>
          </w:tcPr>
          <w:p>
            <w:pPr>
              <w:spacing w:after="0" w:line="98" w:lineRule="exact"/>
              <w:rPr>
                <w:rFonts w:ascii="Times New Roman" w:cs="Times New Roman" w:eastAsia="Times New Roman" w:hAnsi="Times New Roman"/>
                <w:sz w:val="10"/>
                <w:szCs w:val="10"/>
                <w:color w:val="0000FF"/>
              </w:rPr>
            </w:pPr>
            <w:hyperlink r:id="rId123">
              <w:r>
                <w:rPr>
                  <w:rFonts w:ascii="Times New Roman" w:cs="Times New Roman" w:eastAsia="Times New Roman" w:hAnsi="Times New Roman"/>
                  <w:sz w:val="10"/>
                  <w:szCs w:val="10"/>
                  <w:color w:val="0000FF"/>
                </w:rPr>
                <w:t>between SpringBig Holdings, Inc. and Cedar Advance LLC.</w:t>
              </w:r>
            </w:hyperlink>
          </w:p>
        </w:tc>
        <w:tc>
          <w:tcPr>
            <w:tcW w:w="1100" w:type="dxa"/>
            <w:vAlign w:val="bottom"/>
            <w:tcBorders>
              <w:top w:val="single" w:sz="8" w:color="0000FF"/>
            </w:tcBorders>
            <w:gridSpan w:val="15"/>
          </w:tcPr>
          <w:p>
            <w:pPr>
              <w:spacing w:after="0"/>
              <w:rPr>
                <w:sz w:val="8"/>
                <w:szCs w:val="8"/>
                <w:color w:val="auto"/>
              </w:rPr>
            </w:pPr>
          </w:p>
        </w:tc>
        <w:tc>
          <w:tcPr>
            <w:tcW w:w="400" w:type="dxa"/>
            <w:vAlign w:val="bottom"/>
            <w:gridSpan w:val="1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10.16</w:t>
            </w:r>
          </w:p>
        </w:tc>
        <w:tc>
          <w:tcPr>
            <w:tcW w:w="4900" w:type="dxa"/>
            <w:vAlign w:val="bottom"/>
            <w:gridSpan w:val="4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Agreement for the Purchase and Sale of Future Receipts, dated as of October 13, 2023,</w:t>
              </w:r>
            </w:hyperlink>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4880" w:type="dxa"/>
            <w:vAlign w:val="bottom"/>
            <w:tcBorders>
              <w:top w:val="single" w:sz="8" w:color="0000FF"/>
            </w:tcBorders>
            <w:gridSpan w:val="42"/>
          </w:tcPr>
          <w:p>
            <w:pPr>
              <w:spacing w:after="0" w:line="98" w:lineRule="exact"/>
              <w:rPr>
                <w:rFonts w:ascii="Times New Roman" w:cs="Times New Roman" w:eastAsia="Times New Roman" w:hAnsi="Times New Roman"/>
                <w:sz w:val="10"/>
                <w:szCs w:val="10"/>
                <w:color w:val="0000FF"/>
              </w:rPr>
            </w:pPr>
            <w:hyperlink r:id="rId123">
              <w:r>
                <w:rPr>
                  <w:rFonts w:ascii="Times New Roman" w:cs="Times New Roman" w:eastAsia="Times New Roman" w:hAnsi="Times New Roman"/>
                  <w:sz w:val="10"/>
                  <w:szCs w:val="10"/>
                  <w:color w:val="0000FF"/>
                </w:rPr>
                <w:t>by and between SpringBig, Inc. and Agile Capital Funding LLC.</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-5611495</wp:posOffset>
            </wp:positionV>
            <wp:extent cx="6777990" cy="2082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6777990" cy="20828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-5195570</wp:posOffset>
            </wp:positionV>
            <wp:extent cx="6777990" cy="133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777990" cy="13335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-4928870</wp:posOffset>
            </wp:positionV>
            <wp:extent cx="6777990" cy="233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-4562475</wp:posOffset>
            </wp:positionV>
            <wp:extent cx="6777990" cy="2330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-4196080</wp:posOffset>
            </wp:positionV>
            <wp:extent cx="6777990" cy="333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6777990" cy="33337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-3629660</wp:posOffset>
            </wp:positionV>
            <wp:extent cx="6777990" cy="2330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-3263265</wp:posOffset>
            </wp:positionV>
            <wp:extent cx="6777990" cy="233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-2896870</wp:posOffset>
            </wp:positionV>
            <wp:extent cx="6777990" cy="233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-2430780</wp:posOffset>
            </wp:positionV>
            <wp:extent cx="6777990" cy="133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6777990" cy="13335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-2064385</wp:posOffset>
            </wp:positionV>
            <wp:extent cx="6777990" cy="233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-1598295</wp:posOffset>
            </wp:positionV>
            <wp:extent cx="6777990" cy="233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-1131570</wp:posOffset>
            </wp:positionV>
            <wp:extent cx="6777990" cy="233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777990" cy="23304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-707390</wp:posOffset>
            </wp:positionV>
            <wp:extent cx="6777990" cy="341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777990" cy="34163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-173990</wp:posOffset>
            </wp:positionV>
            <wp:extent cx="6777990" cy="191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55"/>
        </w:trPr>
        <w:tc>
          <w:tcPr>
            <w:tcW w:w="1220" w:type="dxa"/>
            <w:vAlign w:val="bottom"/>
          </w:tcPr>
          <w:p>
            <w:pPr>
              <w:jc w:val="center"/>
              <w:ind w:right="90"/>
              <w:spacing w:after="0" w:line="155" w:lineRule="exact"/>
              <w:rPr>
                <w:sz w:val="20"/>
                <w:szCs w:val="20"/>
                <w:color w:val="auto"/>
              </w:rPr>
            </w:pPr>
            <w:r>
              <w:rPr>
                <w:rFonts w:ascii="Times New Roman" w:cs="Times New Roman" w:eastAsia="Times New Roman" w:hAnsi="Times New Roman"/>
                <w:sz w:val="14"/>
                <w:szCs w:val="14"/>
                <w:b w:val="1"/>
                <w:bCs w:val="1"/>
                <w:color w:val="auto"/>
                <w:w w:val="98"/>
              </w:rPr>
              <w:t>Proxy Statement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Annex A</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May 17, 2022</w:t>
            </w:r>
          </w:p>
        </w:tc>
        <w:tc>
          <w:tcPr>
            <w:tcW w:w="860" w:type="dxa"/>
            <w:vAlign w:val="bottom"/>
            <w:vMerge w:val="restart"/>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333-262628</w:t>
            </w:r>
          </w:p>
        </w:tc>
        <w:tc>
          <w:tcPr>
            <w:tcW w:w="0" w:type="dxa"/>
            <w:vAlign w:val="bottom"/>
          </w:tcPr>
          <w:p>
            <w:pPr>
              <w:spacing w:after="0"/>
              <w:rPr>
                <w:sz w:val="1"/>
                <w:szCs w:val="1"/>
                <w:color w:val="auto"/>
              </w:rPr>
            </w:pPr>
          </w:p>
        </w:tc>
      </w:tr>
      <w:tr>
        <w:trPr>
          <w:trHeight w:val="185"/>
        </w:trPr>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94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28, 2023</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210"/>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3.2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28, 2023</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4.1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210"/>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4.2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8-K/A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01,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734"/>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4.1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February 17, 2021</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4.1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4.2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210"/>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210"/>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November 09, 2021</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02,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10.5</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210"/>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10.6</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10.7</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10.7</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02,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02,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67"/>
        </w:trPr>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10.11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22,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333-266293</w:t>
            </w:r>
          </w:p>
        </w:tc>
        <w:tc>
          <w:tcPr>
            <w:tcW w:w="0" w:type="dxa"/>
            <w:vAlign w:val="bottom"/>
          </w:tcPr>
          <w:p>
            <w:pPr>
              <w:spacing w:after="0"/>
              <w:rPr>
                <w:sz w:val="1"/>
                <w:szCs w:val="1"/>
                <w:color w:val="auto"/>
              </w:rPr>
            </w:pPr>
          </w:p>
        </w:tc>
      </w:tr>
      <w:tr>
        <w:trPr>
          <w:trHeight w:val="367"/>
        </w:trPr>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8-K/A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01,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02"/>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538"/>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13, 2023</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02"/>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November 13, 2023</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r>
        <w:trPr>
          <w:trHeight w:val="302"/>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November 13, 2023</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001-40049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20" w:space="120"/>
            <w:col w:w="4580"/>
          </w:cols>
          <w:pgMar w:left="320" w:top="880" w:right="7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320" w:top="880" w:right="759" w:bottom="1440" w:gutter="0" w:footer="0" w:header="0"/>
          <w:type w:val="continuous"/>
        </w:sectPr>
      </w:pPr>
    </w:p>
    <w:bookmarkStart w:id="91" w:name="page92"/>
    <w:bookmarkEnd w:id="91"/>
    <w:p>
      <w:pPr>
        <w:spacing w:after="0" w:line="1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10.17</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10.18</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10.19</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10.20</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21.1*</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23.1*</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24.1*</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31.1*</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31.2*</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32.1**</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32.2**</w:t>
      </w:r>
    </w:p>
    <w:p>
      <w:pPr>
        <w:spacing w:after="0" w:line="2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99.1</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99.2</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101.INS*</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101.SCH*</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101.CAL*</w:t>
      </w:r>
    </w:p>
    <w:p>
      <w:pPr>
        <w:spacing w:after="0" w:line="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101.DEF*</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101.LAB*</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101.PRE*</w:t>
      </w:r>
    </w:p>
    <w:p>
      <w:pPr>
        <w:spacing w:after="0" w:line="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ind w:right="140"/>
        <w:spacing w:after="0" w:line="242" w:lineRule="auto"/>
        <w:rPr>
          <w:rFonts w:ascii="Times New Roman" w:cs="Times New Roman" w:eastAsia="Times New Roman" w:hAnsi="Times New Roman"/>
          <w:sz w:val="13"/>
          <w:szCs w:val="13"/>
          <w:u w:val="single" w:color="auto"/>
          <w:color w:val="0000FF"/>
        </w:rPr>
      </w:pPr>
      <w:hyperlink r:id="rId117">
        <w:r>
          <w:rPr>
            <w:rFonts w:ascii="Times New Roman" w:cs="Times New Roman" w:eastAsia="Times New Roman" w:hAnsi="Times New Roman"/>
            <w:sz w:val="13"/>
            <w:szCs w:val="13"/>
            <w:u w:val="single" w:color="auto"/>
            <w:color w:val="0000FF"/>
          </w:rPr>
          <w:t>Debt Settlement Agreement, dated as of January 16, 2024, by and among SpringBig</w:t>
        </w:r>
      </w:hyperlink>
      <w:r>
        <w:rPr>
          <w:rFonts w:ascii="Times New Roman" w:cs="Times New Roman" w:eastAsia="Times New Roman" w:hAnsi="Times New Roman"/>
          <w:sz w:val="13"/>
          <w:szCs w:val="13"/>
          <w:u w:val="single" w:color="auto"/>
          <w:color w:val="0000FF"/>
        </w:rPr>
        <w:t xml:space="preserve"> </w:t>
      </w:r>
      <w:hyperlink r:id="rId117">
        <w:r>
          <w:rPr>
            <w:rFonts w:ascii="Times New Roman" w:cs="Times New Roman" w:eastAsia="Times New Roman" w:hAnsi="Times New Roman"/>
            <w:sz w:val="13"/>
            <w:szCs w:val="13"/>
            <w:u w:val="single" w:color="auto"/>
            <w:color w:val="0000FF"/>
          </w:rPr>
          <w:t>Holdings, Inc., SpringBig, Inc. and L1 Capital Global Opportunities Master Fund.</w:t>
        </w:r>
      </w:hyperlink>
    </w:p>
    <w:p>
      <w:pPr>
        <w:ind w:right="540"/>
        <w:spacing w:after="0" w:line="224" w:lineRule="auto"/>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Note Purchase Agreement, dated January 23, 2024, by and among SpringBig</w:t>
        </w:r>
      </w:hyperlink>
      <w:r>
        <w:rPr>
          <w:rFonts w:ascii="Times New Roman" w:cs="Times New Roman" w:eastAsia="Times New Roman" w:hAnsi="Times New Roman"/>
          <w:sz w:val="14"/>
          <w:szCs w:val="14"/>
          <w:u w:val="single" w:color="auto"/>
          <w:color w:val="0000FF"/>
        </w:rPr>
        <w:t xml:space="preserve"> </w:t>
      </w:r>
      <w:hyperlink r:id="rId117">
        <w:r>
          <w:rPr>
            <w:rFonts w:ascii="Times New Roman" w:cs="Times New Roman" w:eastAsia="Times New Roman" w:hAnsi="Times New Roman"/>
            <w:sz w:val="14"/>
            <w:szCs w:val="14"/>
            <w:u w:val="single" w:color="auto"/>
            <w:color w:val="0000FF"/>
          </w:rPr>
          <w:t>Holdings, Inc. and the purchasers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-184150</wp:posOffset>
            </wp:positionV>
            <wp:extent cx="6777990" cy="191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ind w:right="260"/>
        <w:spacing w:after="0" w:line="224" w:lineRule="auto"/>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Registration Rights Agreement, dated January 23, 2024, by and among SpringBig</w:t>
        </w:r>
      </w:hyperlink>
      <w:r>
        <w:rPr>
          <w:rFonts w:ascii="Times New Roman" w:cs="Times New Roman" w:eastAsia="Times New Roman" w:hAnsi="Times New Roman"/>
          <w:sz w:val="14"/>
          <w:szCs w:val="14"/>
          <w:u w:val="single" w:color="auto"/>
          <w:color w:val="0000FF"/>
        </w:rPr>
        <w:t xml:space="preserve"> </w:t>
      </w:r>
      <w:hyperlink r:id="rId117">
        <w:r>
          <w:rPr>
            <w:rFonts w:ascii="Times New Roman" w:cs="Times New Roman" w:eastAsia="Times New Roman" w:hAnsi="Times New Roman"/>
            <w:sz w:val="14"/>
            <w:szCs w:val="14"/>
            <w:u w:val="single" w:color="auto"/>
            <w:color w:val="0000FF"/>
          </w:rPr>
          <w:t>Holdings, Inc. and the investors party thereto.</w:t>
        </w:r>
      </w:hyperlink>
    </w:p>
    <w:p>
      <w:pPr>
        <w:spacing w:after="0" w:line="1" w:lineRule="exact"/>
        <w:rPr>
          <w:sz w:val="20"/>
          <w:szCs w:val="20"/>
          <w:color w:val="auto"/>
        </w:rPr>
      </w:pPr>
    </w:p>
    <w:p>
      <w:pPr>
        <w:ind w:right="180"/>
        <w:spacing w:after="0" w:line="224"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Director Nomination Agreement, dated January 23, 2024, by and among SpringBig</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Holdings, Inc., Shalcor Management, Inc. and Lightbank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-184150</wp:posOffset>
            </wp:positionV>
            <wp:extent cx="6777990" cy="1917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Subsidiaries of SpringBig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12065</wp:posOffset>
            </wp:positionV>
            <wp:extent cx="6777990" cy="191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spacing w:after="0" w:line="2" w:lineRule="exact"/>
        <w:rPr>
          <w:sz w:val="20"/>
          <w:szCs w:val="20"/>
          <w:color w:val="auto"/>
        </w:rPr>
      </w:pPr>
    </w:p>
    <w:p>
      <w:pPr>
        <w:ind w:right="520"/>
        <w:spacing w:after="0" w:line="215" w:lineRule="auto"/>
        <w:rPr>
          <w:sz w:val="20"/>
          <w:szCs w:val="20"/>
          <w:color w:val="auto"/>
        </w:rPr>
      </w:pPr>
      <w:r>
        <w:rPr>
          <w:rFonts w:ascii="Times New Roman" w:cs="Times New Roman" w:eastAsia="Times New Roman" w:hAnsi="Times New Roman"/>
          <w:sz w:val="14"/>
          <w:szCs w:val="14"/>
          <w:u w:val="single" w:color="auto"/>
          <w:color w:val="0000FF"/>
        </w:rPr>
        <w:t>Consent of Marcum LLP, Independent Registered Public Accounting Firm of SpringBig Holdings, Inc.</w:t>
      </w:r>
    </w:p>
    <w:p>
      <w:pPr>
        <w:spacing w:after="0" w:line="1" w:lineRule="exact"/>
        <w:rPr>
          <w:sz w:val="20"/>
          <w:szCs w:val="20"/>
          <w:color w:val="auto"/>
        </w:rPr>
      </w:pPr>
    </w:p>
    <w:p>
      <w:pPr>
        <w:ind w:right="260"/>
        <w:spacing w:after="0" w:line="224" w:lineRule="auto"/>
        <w:rPr>
          <w:sz w:val="20"/>
          <w:szCs w:val="20"/>
          <w:color w:val="auto"/>
        </w:rPr>
      </w:pPr>
      <w:r>
        <w:rPr>
          <w:rFonts w:ascii="Times New Roman" w:cs="Times New Roman" w:eastAsia="Times New Roman" w:hAnsi="Times New Roman"/>
          <w:sz w:val="14"/>
          <w:szCs w:val="14"/>
          <w:u w:val="single" w:color="auto"/>
          <w:color w:val="0000FF"/>
        </w:rPr>
        <w:t>Power of Attorney (incorporated by reference to the signature page of this Annual Report on Form 10-K).</w:t>
      </w:r>
    </w:p>
    <w:p>
      <w:pPr>
        <w:spacing w:after="0" w:line="1"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-184150</wp:posOffset>
            </wp:positionV>
            <wp:extent cx="6777990" cy="1917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spacing w:after="0" w:line="224" w:lineRule="auto"/>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Section 302 of the Sarbanes-Oxley Act of 2002.</w:t>
      </w:r>
    </w:p>
    <w:p>
      <w:pPr>
        <w:spacing w:after="0" w:line="1"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-184150</wp:posOffset>
            </wp:positionV>
            <wp:extent cx="6777990" cy="191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777990" cy="191770"/>
                    </a:xfrm>
                    <a:prstGeom prst="rect">
                      <a:avLst/>
                    </a:prstGeom>
                    <a:noFill/>
                  </pic:spPr>
                </pic:pic>
              </a:graphicData>
            </a:graphic>
          </wp:anchor>
        </w:drawing>
      </w:r>
    </w:p>
    <w:p>
      <w:pPr>
        <w:spacing w:after="0" w:line="224" w:lineRule="auto"/>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Section 906 of the Sarbanes-Oxley Act of 2002.</w:t>
      </w:r>
    </w:p>
    <w:p>
      <w:pPr>
        <w:spacing w:after="0" w:line="1" w:lineRule="exact"/>
        <w:rPr>
          <w:sz w:val="20"/>
          <w:szCs w:val="20"/>
          <w:color w:val="auto"/>
        </w:rPr>
      </w:pPr>
    </w:p>
    <w:p>
      <w:pPr>
        <w:ind w:right="280"/>
        <w:spacing w:after="0" w:line="224" w:lineRule="auto"/>
        <w:rPr>
          <w:rFonts w:ascii="Times New Roman" w:cs="Times New Roman" w:eastAsia="Times New Roman" w:hAnsi="Times New Roman"/>
          <w:sz w:val="13"/>
          <w:szCs w:val="13"/>
          <w:u w:val="single" w:color="auto"/>
          <w:color w:val="0000FF"/>
        </w:rPr>
      </w:pPr>
      <w:hyperlink r:id="rId145">
        <w:r>
          <w:rPr>
            <w:rFonts w:ascii="Times New Roman" w:cs="Times New Roman" w:eastAsia="Times New Roman" w:hAnsi="Times New Roman"/>
            <w:sz w:val="13"/>
            <w:szCs w:val="13"/>
            <w:u w:val="single" w:color="auto"/>
            <w:color w:val="0000FF"/>
          </w:rPr>
          <w:t>SpringBig Holdings, Inc. 2022 Amended and Restated Long-Term Incentive Plan</w:t>
        </w:r>
      </w:hyperlink>
      <w:r>
        <w:rPr>
          <w:rFonts w:ascii="Times New Roman" w:cs="Times New Roman" w:eastAsia="Times New Roman" w:hAnsi="Times New Roman"/>
          <w:sz w:val="13"/>
          <w:szCs w:val="13"/>
          <w:u w:val="single" w:color="auto"/>
          <w:color w:val="0000FF"/>
        </w:rPr>
        <w:t xml:space="preserve"> </w:t>
      </w:r>
      <w:hyperlink r:id="rId145">
        <w:r>
          <w:rPr>
            <w:rFonts w:ascii="Times New Roman" w:cs="Times New Roman" w:eastAsia="Times New Roman" w:hAnsi="Times New Roman"/>
            <w:sz w:val="13"/>
            <w:szCs w:val="13"/>
            <w:u w:val="single" w:color="auto"/>
            <w:color w:val="0000FF"/>
          </w:rPr>
          <w:t>(incorporated by reference to Appendix B to the Registrant's Definitive Proxy</w:t>
        </w:r>
      </w:hyperlink>
      <w:r>
        <w:rPr>
          <w:rFonts w:ascii="Times New Roman" w:cs="Times New Roman" w:eastAsia="Times New Roman" w:hAnsi="Times New Roman"/>
          <w:sz w:val="13"/>
          <w:szCs w:val="13"/>
          <w:u w:val="single" w:color="auto"/>
          <w:color w:val="0000FF"/>
        </w:rPr>
        <w:t xml:space="preserve"> </w:t>
      </w:r>
      <w:hyperlink r:id="rId145">
        <w:r>
          <w:rPr>
            <w:rFonts w:ascii="Times New Roman" w:cs="Times New Roman" w:eastAsia="Times New Roman" w:hAnsi="Times New Roman"/>
            <w:sz w:val="13"/>
            <w:szCs w:val="13"/>
            <w:u w:val="single" w:color="auto"/>
            <w:color w:val="0000FF"/>
          </w:rPr>
          <w:t>Statement on Schedule 14A, filed with the Commission on April 28, 2023).</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-259080</wp:posOffset>
            </wp:positionV>
            <wp:extent cx="6777990" cy="266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777990" cy="266700"/>
                    </a:xfrm>
                    <a:prstGeom prst="rect">
                      <a:avLst/>
                    </a:prstGeom>
                    <a:noFill/>
                  </pic:spPr>
                </pic:pic>
              </a:graphicData>
            </a:graphic>
          </wp:anchor>
        </w:drawing>
      </w:r>
    </w:p>
    <w:p>
      <w:pPr>
        <w:spacing w:after="0" w:line="7" w:lineRule="exact"/>
        <w:rPr>
          <w:rFonts w:ascii="Times New Roman" w:cs="Times New Roman" w:eastAsia="Times New Roman" w:hAnsi="Times New Roman"/>
          <w:sz w:val="13"/>
          <w:szCs w:val="13"/>
          <w:u w:val="single" w:color="auto"/>
          <w:color w:val="0000FF"/>
        </w:rPr>
      </w:pPr>
    </w:p>
    <w:p>
      <w:pPr>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Form of Restricted Stock Unit Agreement.</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12065</wp:posOffset>
            </wp:positionV>
            <wp:extent cx="6777990" cy="1250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777990" cy="125095"/>
                    </a:xfrm>
                    <a:prstGeom prst="rect">
                      <a:avLst/>
                    </a:prstGeom>
                    <a:noFill/>
                  </pic:spPr>
                </pic:pic>
              </a:graphicData>
            </a:graphic>
          </wp:anchor>
        </w:drawing>
      </w:r>
    </w:p>
    <w:p>
      <w:pPr>
        <w:spacing w:after="0" w:line="16"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XBRL Instance Document[2]</w:t>
      </w:r>
    </w:p>
    <w:p>
      <w:pPr>
        <w:spacing w:after="0" w:line="36"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12065</wp:posOffset>
            </wp:positionV>
            <wp:extent cx="6777990" cy="1250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6777990" cy="125095"/>
                    </a:xfrm>
                    <a:prstGeom prst="rect">
                      <a:avLst/>
                    </a:prstGeom>
                    <a:noFill/>
                  </pic:spPr>
                </pic:pic>
              </a:graphicData>
            </a:graphic>
          </wp:anchor>
        </w:drawing>
      </w:r>
    </w:p>
    <w:p>
      <w:pPr>
        <w:spacing w:after="0" w:line="16"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p>
      <w:pPr>
        <w:spacing w:after="0" w:line="22" w:lineRule="exact"/>
        <w:rPr>
          <w:rFonts w:ascii="Times New Roman" w:cs="Times New Roman" w:eastAsia="Times New Roman" w:hAnsi="Times New Roman"/>
          <w:sz w:val="13"/>
          <w:szCs w:val="13"/>
          <w:u w:val="single" w:color="auto"/>
          <w:color w:val="0000FF"/>
        </w:rPr>
      </w:pPr>
    </w:p>
    <w:p>
      <w:pPr>
        <w:ind w:right="1360"/>
        <w:spacing w:after="0" w:line="309" w:lineRule="auto"/>
        <w:rPr>
          <w:sz w:val="20"/>
          <w:szCs w:val="20"/>
          <w:color w:val="auto"/>
        </w:rPr>
      </w:pPr>
      <w:r>
        <w:rPr>
          <w:rFonts w:ascii="Times New Roman" w:cs="Times New Roman" w:eastAsia="Times New Roman" w:hAnsi="Times New Roman"/>
          <w:sz w:val="13"/>
          <w:szCs w:val="13"/>
          <w:color w:val="auto"/>
        </w:rPr>
        <w:t>XBRL Taxonomy Extension Definition Linkbase Document XBRL Taxonomy Extension Labels Linkbase Document XBRL Taxonomy Extension Presentation Linkbase Document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-242570</wp:posOffset>
            </wp:positionV>
            <wp:extent cx="6777990" cy="125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777990" cy="125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-95885</wp:posOffset>
            </wp:positionV>
            <wp:extent cx="6777990" cy="125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777990" cy="125095"/>
                    </a:xfrm>
                    <a:prstGeom prst="rect">
                      <a:avLst/>
                    </a:prstGeom>
                    <a:noFill/>
                  </pic:spPr>
                </pic:pic>
              </a:graphicData>
            </a:graphic>
          </wp:anchor>
        </w:drawing>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83" w:lineRule="exact"/>
        <w:rPr>
          <w:rFonts w:ascii="Times New Roman" w:cs="Times New Roman" w:eastAsia="Times New Roman" w:hAnsi="Times New Roman"/>
          <w:sz w:val="13"/>
          <w:szCs w:val="13"/>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180" w:type="dxa"/>
        <w:tblCellMar>
          <w:top w:w="0" w:type="dxa"/>
          <w:left w:w="0" w:type="dxa"/>
          <w:bottom w:w="0" w:type="dxa"/>
          <w:right w:w="0" w:type="dxa"/>
        </w:tblCellMar>
      </w:tblPr>
      <w:tr>
        <w:trPr>
          <w:trHeight w:val="185"/>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8-K</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10.1</w:t>
            </w:r>
          </w:p>
        </w:tc>
        <w:tc>
          <w:tcPr>
            <w:tcW w:w="15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January 24,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001-40049</w:t>
            </w:r>
          </w:p>
        </w:tc>
      </w:tr>
      <w:tr>
        <w:trPr>
          <w:trHeight w:val="302"/>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8-K</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10.2</w:t>
            </w:r>
          </w:p>
        </w:tc>
        <w:tc>
          <w:tcPr>
            <w:tcW w:w="15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January 24,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001-40049</w:t>
            </w:r>
          </w:p>
        </w:tc>
      </w:tr>
      <w:tr>
        <w:trPr>
          <w:trHeight w:val="302"/>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8-K</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10.3</w:t>
            </w:r>
          </w:p>
        </w:tc>
        <w:tc>
          <w:tcPr>
            <w:tcW w:w="15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January 24,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001-40049</w:t>
            </w:r>
          </w:p>
        </w:tc>
      </w:tr>
      <w:tr>
        <w:trPr>
          <w:trHeight w:val="302"/>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8-K</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10.1</w:t>
            </w:r>
          </w:p>
        </w:tc>
        <w:tc>
          <w:tcPr>
            <w:tcW w:w="15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001-40049</w:t>
            </w:r>
          </w:p>
        </w:tc>
      </w:tr>
    </w:tbl>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41" w:lineRule="exact"/>
        <w:rPr>
          <w:rFonts w:ascii="Times New Roman" w:cs="Times New Roman" w:eastAsia="Times New Roman" w:hAnsi="Times New Roman"/>
          <w:sz w:val="13"/>
          <w:szCs w:val="13"/>
          <w:u w:val="single" w:color="auto"/>
          <w:color w:val="0000FF"/>
        </w:rPr>
      </w:pPr>
    </w:p>
    <w:tbl>
      <w:tblPr>
        <w:tblLayout w:type="fixed"/>
        <w:tblInd w:w="0" w:type="dxa"/>
        <w:tblCellMar>
          <w:top w:w="0" w:type="dxa"/>
          <w:left w:w="0" w:type="dxa"/>
          <w:bottom w:w="0" w:type="dxa"/>
          <w:right w:w="0" w:type="dxa"/>
        </w:tblCellMar>
      </w:tblPr>
      <w:tr>
        <w:trPr>
          <w:trHeight w:val="185"/>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DEF 14A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Appendix B</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April 28,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001-40049</w:t>
            </w:r>
          </w:p>
        </w:tc>
      </w:tr>
      <w:tr>
        <w:trPr>
          <w:trHeight w:val="197"/>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S-8</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99.2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22,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333-267011</w:t>
            </w:r>
          </w:p>
        </w:tc>
      </w:tr>
    </w:tbl>
    <w:p>
      <w:pPr>
        <w:spacing w:after="0" w:line="1555"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1080" w:space="180"/>
            <w:col w:w="4840" w:space="380"/>
            <w:col w:w="4420"/>
          </w:cols>
          <w:pgMar w:left="320" w:top="904" w:right="679" w:bottom="1440" w:gutter="0" w:footer="0" w:header="0"/>
        </w:sectPr>
      </w:pPr>
    </w:p>
    <w:p>
      <w:pPr>
        <w:spacing w:after="0" w:line="155"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29" w:lineRule="auto"/>
        <w:rPr>
          <w:sz w:val="20"/>
          <w:szCs w:val="20"/>
          <w:color w:val="auto"/>
        </w:rPr>
      </w:pPr>
      <w:r>
        <w:rPr>
          <w:rFonts w:ascii="Times New Roman" w:cs="Times New Roman" w:eastAsia="Times New Roman" w:hAnsi="Times New Roman"/>
          <w:sz w:val="17"/>
          <w:szCs w:val="17"/>
          <w:color w:val="auto"/>
        </w:rPr>
        <w:t># Indicates a management or compensatory plan.</w:t>
      </w:r>
    </w:p>
    <w:p>
      <w:pPr>
        <w:ind w:firstLine="5"/>
        <w:spacing w:after="0" w:line="232" w:lineRule="auto"/>
        <w:tabs>
          <w:tab w:leader="none" w:pos="13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to this exhibit have been omitted pursuant to Item 601(b)(2) of Registration S-K. The Registrant hereby agrees to furnish a copy of any omitted schedules to the Commission upon request.</w:t>
      </w:r>
    </w:p>
    <w:p>
      <w:pPr>
        <w:spacing w:after="0" w:line="190"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3"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375" w:lineRule="exact"/>
        <w:rPr>
          <w:rFonts w:ascii="Times New Roman" w:cs="Times New Roman" w:eastAsia="Times New Roman" w:hAnsi="Times New Roman"/>
          <w:sz w:val="13"/>
          <w:szCs w:val="13"/>
          <w:u w:val="single" w:color="auto"/>
          <w:color w:val="0000FF"/>
        </w:rPr>
      </w:pPr>
    </w:p>
    <w:p>
      <w:pPr>
        <w:jc w:val="center"/>
        <w:ind w:right="-3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type w:val="continuous"/>
        </w:sectPr>
      </w:pPr>
    </w:p>
    <w:bookmarkStart w:id="92" w:name="page93"/>
    <w:bookmarkEnd w:id="92"/>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60" w:firstLine="433"/>
        <w:spacing w:after="0" w:line="24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Harris</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Harris</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49"/>
        </w:trPr>
        <w:tc>
          <w:tcPr>
            <w:tcW w:w="96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49"/>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01, 2024</w:t>
            </w:r>
          </w:p>
        </w:tc>
      </w:tr>
    </w:tbl>
    <w:p>
      <w:pPr>
        <w:spacing w:after="0" w:line="200" w:lineRule="exact"/>
        <w:rPr>
          <w:sz w:val="20"/>
          <w:szCs w:val="20"/>
          <w:color w:val="auto"/>
        </w:rPr>
      </w:pPr>
    </w:p>
    <w:p>
      <w:pPr>
        <w:spacing w:after="0" w:line="3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Jeffrey Harris and Paul</w:t>
      </w:r>
    </w:p>
    <w:p>
      <w:pPr>
        <w:spacing w:after="0" w:line="8"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7"/>
          <w:szCs w:val="17"/>
          <w:color w:val="auto"/>
        </w:rPr>
        <w:t>Sykes,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 hereby ratifying and confirming all that each of said attorneys-in-fact, or his or her substitute or substitutes, may do or cause to be done by virtue hereof.</w:t>
      </w:r>
    </w:p>
    <w:p>
      <w:pPr>
        <w:sectPr>
          <w:pgSz w:w="11900" w:h="16838" w:orient="portrait"/>
          <w:cols w:equalWidth="0" w:num="1">
            <w:col w:w="11100"/>
          </w:cols>
          <w:pgMar w:left="320" w:top="1365" w:right="479"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365" w:right="479" w:bottom="653" w:gutter="0" w:footer="0" w:header="0"/>
          <w:type w:val="continuous"/>
        </w:sectPr>
      </w:pPr>
    </w:p>
    <w:bookmarkStart w:id="93" w:name="page94"/>
    <w:bookmarkEnd w:id="93"/>
    <w:p>
      <w:pPr>
        <w:ind w:right="80"/>
        <w:spacing w:after="0" w:line="26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spacing w:after="0"/>
              <w:rPr>
                <w:sz w:val="16"/>
                <w:szCs w:val="16"/>
                <w:color w:val="auto"/>
              </w:rPr>
            </w:pPr>
          </w:p>
        </w:tc>
        <w:tc>
          <w:tcPr>
            <w:tcW w:w="3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
        </w:trPr>
        <w:tc>
          <w:tcPr>
            <w:tcW w:w="3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1"/>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Jeffrey Harris</w:t>
            </w:r>
          </w:p>
        </w:tc>
        <w:tc>
          <w:tcPr>
            <w:tcW w:w="460" w:type="dxa"/>
            <w:vAlign w:val="bottom"/>
          </w:tcPr>
          <w:p>
            <w:pPr>
              <w:spacing w:after="0"/>
              <w:rPr>
                <w:sz w:val="24"/>
                <w:szCs w:val="24"/>
                <w:color w:val="auto"/>
              </w:rPr>
            </w:pPr>
          </w:p>
        </w:tc>
        <w:tc>
          <w:tcPr>
            <w:tcW w:w="38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2024</w:t>
            </w:r>
          </w:p>
        </w:tc>
        <w:tc>
          <w:tcPr>
            <w:tcW w:w="0" w:type="dxa"/>
            <w:vAlign w:val="bottom"/>
          </w:tcPr>
          <w:p>
            <w:pPr>
              <w:spacing w:after="0"/>
              <w:rPr>
                <w:sz w:val="1"/>
                <w:szCs w:val="1"/>
                <w:color w:val="auto"/>
              </w:rPr>
            </w:pPr>
          </w:p>
        </w:tc>
      </w:tr>
      <w:tr>
        <w:trPr>
          <w:trHeight w:val="58"/>
        </w:trPr>
        <w:tc>
          <w:tcPr>
            <w:tcW w:w="3420" w:type="dxa"/>
            <w:vAlign w:val="bottom"/>
            <w:tcBorders>
              <w:bottom w:val="single" w:sz="8" w:color="auto"/>
            </w:tcBorders>
          </w:tcPr>
          <w:p>
            <w:pPr>
              <w:spacing w:after="0"/>
              <w:rPr>
                <w:sz w:val="5"/>
                <w:szCs w:val="5"/>
                <w:color w:val="auto"/>
              </w:rPr>
            </w:pPr>
          </w:p>
        </w:tc>
        <w:tc>
          <w:tcPr>
            <w:tcW w:w="460" w:type="dxa"/>
            <w:vAlign w:val="bottom"/>
            <w:vMerge w:val="restart"/>
          </w:tcPr>
          <w:p>
            <w:pPr>
              <w:spacing w:after="0"/>
              <w:rPr>
                <w:sz w:val="5"/>
                <w:szCs w:val="5"/>
                <w:color w:val="auto"/>
              </w:rPr>
            </w:pPr>
          </w:p>
        </w:tc>
        <w:tc>
          <w:tcPr>
            <w:tcW w:w="38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Jeffrey Harris</w:t>
            </w:r>
          </w:p>
        </w:tc>
        <w:tc>
          <w:tcPr>
            <w:tcW w:w="460" w:type="dxa"/>
            <w:vAlign w:val="bottom"/>
            <w:vMerge w:val="continue"/>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4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2"/>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Paul Sykes</w:t>
            </w:r>
          </w:p>
        </w:tc>
        <w:tc>
          <w:tcPr>
            <w:tcW w:w="460" w:type="dxa"/>
            <w:vAlign w:val="bottom"/>
          </w:tcPr>
          <w:p>
            <w:pPr>
              <w:spacing w:after="0"/>
              <w:rPr>
                <w:sz w:val="24"/>
                <w:szCs w:val="24"/>
                <w:color w:val="auto"/>
              </w:rPr>
            </w:pPr>
          </w:p>
        </w:tc>
        <w:tc>
          <w:tcPr>
            <w:tcW w:w="38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Chief Financial Officer</w:t>
            </w:r>
          </w:p>
        </w:tc>
        <w:tc>
          <w:tcPr>
            <w:tcW w:w="3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2024</w:t>
            </w:r>
          </w:p>
        </w:tc>
        <w:tc>
          <w:tcPr>
            <w:tcW w:w="0" w:type="dxa"/>
            <w:vAlign w:val="bottom"/>
          </w:tcPr>
          <w:p>
            <w:pPr>
              <w:spacing w:after="0"/>
              <w:rPr>
                <w:sz w:val="1"/>
                <w:szCs w:val="1"/>
                <w:color w:val="auto"/>
              </w:rPr>
            </w:pPr>
          </w:p>
        </w:tc>
      </w:tr>
      <w:tr>
        <w:trPr>
          <w:trHeight w:val="58"/>
        </w:trPr>
        <w:tc>
          <w:tcPr>
            <w:tcW w:w="3420" w:type="dxa"/>
            <w:vAlign w:val="bottom"/>
            <w:tcBorders>
              <w:bottom w:val="single" w:sz="8" w:color="auto"/>
            </w:tcBorders>
          </w:tcPr>
          <w:p>
            <w:pPr>
              <w:spacing w:after="0"/>
              <w:rPr>
                <w:sz w:val="5"/>
                <w:szCs w:val="5"/>
                <w:color w:val="auto"/>
              </w:rPr>
            </w:pPr>
          </w:p>
        </w:tc>
        <w:tc>
          <w:tcPr>
            <w:tcW w:w="460" w:type="dxa"/>
            <w:vAlign w:val="bottom"/>
            <w:vMerge w:val="restart"/>
          </w:tcPr>
          <w:p>
            <w:pPr>
              <w:spacing w:after="0"/>
              <w:rPr>
                <w:sz w:val="5"/>
                <w:szCs w:val="5"/>
                <w:color w:val="auto"/>
              </w:rPr>
            </w:pPr>
          </w:p>
        </w:tc>
        <w:tc>
          <w:tcPr>
            <w:tcW w:w="38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7"/>
                <w:szCs w:val="17"/>
                <w:color w:val="auto"/>
              </w:rPr>
              <w:t>(principal financial officer and</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Paul Sykes</w:t>
            </w:r>
          </w:p>
        </w:tc>
        <w:tc>
          <w:tcPr>
            <w:tcW w:w="460" w:type="dxa"/>
            <w:vAlign w:val="bottom"/>
            <w:vMerge w:val="continue"/>
          </w:tcPr>
          <w:p>
            <w:pPr>
              <w:spacing w:after="0"/>
              <w:rPr>
                <w:sz w:val="10"/>
                <w:szCs w:val="10"/>
                <w:color w:val="auto"/>
              </w:rPr>
            </w:pPr>
          </w:p>
        </w:tc>
        <w:tc>
          <w:tcPr>
            <w:tcW w:w="3880" w:type="dxa"/>
            <w:vAlign w:val="bottom"/>
            <w:gridSpan w:val="2"/>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4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38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80" w:type="dxa"/>
            <w:vAlign w:val="bottom"/>
            <w:gridSpan w:val="2"/>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8"/>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Shawn Dym</w:t>
            </w:r>
          </w:p>
        </w:tc>
        <w:tc>
          <w:tcPr>
            <w:tcW w:w="460" w:type="dxa"/>
            <w:vAlign w:val="bottom"/>
          </w:tcPr>
          <w:p>
            <w:pPr>
              <w:spacing w:after="0"/>
              <w:rPr>
                <w:sz w:val="24"/>
                <w:szCs w:val="24"/>
                <w:color w:val="auto"/>
              </w:rPr>
            </w:pPr>
          </w:p>
        </w:tc>
        <w:tc>
          <w:tcPr>
            <w:tcW w:w="38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Shawn Dym</w:t>
            </w:r>
          </w:p>
        </w:tc>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Matthew Sacks</w:t>
            </w:r>
          </w:p>
        </w:tc>
        <w:tc>
          <w:tcPr>
            <w:tcW w:w="460" w:type="dxa"/>
            <w:vAlign w:val="bottom"/>
          </w:tcPr>
          <w:p>
            <w:pPr>
              <w:spacing w:after="0"/>
              <w:rPr>
                <w:sz w:val="24"/>
                <w:szCs w:val="24"/>
                <w:color w:val="auto"/>
              </w:rPr>
            </w:pPr>
          </w:p>
        </w:tc>
        <w:tc>
          <w:tcPr>
            <w:tcW w:w="38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Matthew Sacks</w:t>
            </w:r>
          </w:p>
        </w:tc>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Sergey Sherman</w:t>
            </w:r>
          </w:p>
        </w:tc>
        <w:tc>
          <w:tcPr>
            <w:tcW w:w="460" w:type="dxa"/>
            <w:vAlign w:val="bottom"/>
          </w:tcPr>
          <w:p>
            <w:pPr>
              <w:spacing w:after="0"/>
              <w:rPr>
                <w:sz w:val="24"/>
                <w:szCs w:val="24"/>
                <w:color w:val="auto"/>
              </w:rPr>
            </w:pPr>
          </w:p>
        </w:tc>
        <w:tc>
          <w:tcPr>
            <w:tcW w:w="38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Sergey Sherman</w:t>
            </w:r>
          </w:p>
        </w:tc>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20"/>
          </w:cols>
          <w:pgMar w:left="320" w:top="136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OFFICES</w:t>
      </w:r>
    </w:p>
    <w:p>
      <w:pPr>
        <w:spacing w:after="0" w:line="263" w:lineRule="exact"/>
        <w:rPr>
          <w:sz w:val="20"/>
          <w:szCs w:val="20"/>
          <w:color w:val="auto"/>
        </w:rPr>
      </w:pPr>
    </w:p>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b w:val="1"/>
          <w:bCs w:val="1"/>
          <w:color w:val="auto"/>
        </w:rPr>
        <w:t>Registered Office</w:t>
      </w:r>
      <w:r>
        <w:rPr>
          <w:rFonts w:ascii="Times New Roman" w:cs="Times New Roman" w:eastAsia="Times New Roman" w:hAnsi="Times New Roman"/>
          <w:sz w:val="17"/>
          <w:szCs w:val="17"/>
          <w:color w:val="auto"/>
        </w:rPr>
        <w:t>. The registered office of SpringBig Holdings,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within the State of Delaware shall be 1209 Orange Street, in the City of Wilmington, County of New Castle, State of Delaware, 19801.</w:t>
      </w:r>
    </w:p>
    <w:p>
      <w:pPr>
        <w:spacing w:after="0" w:line="168" w:lineRule="exact"/>
        <w:rPr>
          <w:sz w:val="20"/>
          <w:szCs w:val="20"/>
          <w:color w:val="auto"/>
        </w:rPr>
      </w:pPr>
    </w:p>
    <w:p>
      <w:pPr>
        <w:jc w:val="both"/>
        <w:ind w:firstLine="531"/>
        <w:spacing w:after="0" w:line="26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b w:val="1"/>
          <w:bCs w:val="1"/>
          <w:color w:val="auto"/>
        </w:rPr>
        <w:t>Additional Offices</w:t>
      </w:r>
      <w:r>
        <w:rPr>
          <w:rFonts w:ascii="Times New Roman" w:cs="Times New Roman" w:eastAsia="Times New Roman" w:hAnsi="Times New Roman"/>
          <w:sz w:val="17"/>
          <w:szCs w:val="17"/>
          <w:color w:val="auto"/>
        </w:rPr>
        <w:t>. The Corporation may, in addition to its registered office in the State of Delaware, have such other offices and places of business, both within and outside the State of Delaware, as the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may from time to time determine or as the business and affairs of the Corporation may require.</w:t>
      </w:r>
    </w:p>
    <w:p>
      <w:pPr>
        <w:spacing w:after="0" w:line="200" w:lineRule="exact"/>
        <w:rPr>
          <w:sz w:val="20"/>
          <w:szCs w:val="20"/>
          <w:color w:val="auto"/>
        </w:rPr>
      </w:pPr>
    </w:p>
    <w:p>
      <w:pPr>
        <w:spacing w:after="0" w:line="261"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67"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7"/>
          <w:szCs w:val="17"/>
          <w:b w:val="1"/>
          <w:bCs w:val="1"/>
          <w:color w:val="auto"/>
        </w:rPr>
        <w:t>STOCKHOLDERS MEETINGS</w:t>
      </w:r>
    </w:p>
    <w:p>
      <w:pPr>
        <w:spacing w:after="0" w:line="263" w:lineRule="exact"/>
        <w:rPr>
          <w:sz w:val="20"/>
          <w:szCs w:val="20"/>
          <w:color w:val="auto"/>
        </w:rPr>
      </w:pPr>
    </w:p>
    <w:p>
      <w:pPr>
        <w:jc w:val="both"/>
        <w:ind w:firstLine="531"/>
        <w:spacing w:after="0" w:line="252"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b w:val="1"/>
          <w:bCs w:val="1"/>
          <w:color w:val="auto"/>
        </w:rPr>
        <w:t>Annual Meetings</w:t>
      </w:r>
      <w:r>
        <w:rPr>
          <w:rFonts w:ascii="Times New Roman" w:cs="Times New Roman" w:eastAsia="Times New Roman" w:hAnsi="Times New Roman"/>
          <w:sz w:val="17"/>
          <w:szCs w:val="17"/>
          <w:color w:val="auto"/>
        </w:rPr>
        <w:t xml:space="preserve">. The annual meeting of stockholders shall be held at such place, either within or without the State of Delaware, and time and on such date as shall be determined by the Board and stated in the notice of the meeting,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7"/>
          <w:szCs w:val="17"/>
          <w:u w:val="single" w:color="auto"/>
          <w:color w:val="auto"/>
        </w:rPr>
        <w:t>Section 9.5(a)</w:t>
      </w:r>
      <w:r>
        <w:rPr>
          <w:rFonts w:ascii="Times New Roman" w:cs="Times New Roman" w:eastAsia="Times New Roman" w:hAnsi="Times New Roman"/>
          <w:sz w:val="17"/>
          <w:szCs w:val="17"/>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93" w:lineRule="exact"/>
        <w:rPr>
          <w:sz w:val="20"/>
          <w:szCs w:val="20"/>
          <w:color w:val="auto"/>
        </w:rPr>
      </w:pPr>
    </w:p>
    <w:p>
      <w:pPr>
        <w:jc w:val="both"/>
        <w:ind w:firstLine="531"/>
        <w:spacing w:after="0" w:line="246"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b w:val="1"/>
          <w:bCs w:val="1"/>
          <w:color w:val="auto"/>
        </w:rPr>
        <w:t>Special Meetings</w:t>
      </w:r>
      <w:r>
        <w:rPr>
          <w:rFonts w:ascii="Times New Roman" w:cs="Times New Roman" w:eastAsia="Times New Roman" w:hAnsi="Times New Roman"/>
          <w:sz w:val="17"/>
          <w:szCs w:val="17"/>
          <w:color w:val="auto"/>
        </w:rPr>
        <w:t xml:space="preserve">. Subject to the rights of the holders of any outstanding series of the Preferred Stock and to the requirements of applicable law, special meetings of stockholders, for any purpose or purposes, may be called only by the Chairman 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7"/>
          <w:szCs w:val="17"/>
          <w:u w:val="single" w:color="auto"/>
          <w:color w:val="auto"/>
        </w:rPr>
        <w:t>Section 9.5(a)</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both"/>
        <w:ind w:firstLine="532"/>
        <w:spacing w:after="0" w:line="244"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xml:space="preserve">.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Times New Roman" w:cs="Times New Roman" w:eastAsia="Times New Roman" w:hAnsi="Times New Roman"/>
          <w:sz w:val="17"/>
          <w:szCs w:val="17"/>
          <w:u w:val="single" w:color="auto"/>
          <w:color w:val="auto"/>
        </w:rPr>
        <w:t>Section 2.7(c)</w:t>
      </w:r>
      <w:r>
        <w:rPr>
          <w:rFonts w:ascii="Times New Roman" w:cs="Times New Roman" w:eastAsia="Times New Roman" w:hAnsi="Times New Roman"/>
          <w:sz w:val="17"/>
          <w:szCs w:val="17"/>
          <w:color w:val="auto"/>
        </w:rPr>
        <w:t>) given before the date previously scheduled for such meeting.</w:t>
      </w:r>
    </w:p>
    <w:p>
      <w:pPr>
        <w:spacing w:after="0" w:line="200" w:lineRule="exact"/>
        <w:rPr>
          <w:sz w:val="20"/>
          <w:szCs w:val="20"/>
          <w:color w:val="auto"/>
        </w:rPr>
      </w:pPr>
    </w:p>
    <w:p>
      <w:pPr>
        <w:spacing w:after="0" w:line="201" w:lineRule="exact"/>
        <w:rPr>
          <w:sz w:val="20"/>
          <w:szCs w:val="20"/>
          <w:color w:val="auto"/>
        </w:rPr>
      </w:pPr>
    </w:p>
    <w:p>
      <w:pPr>
        <w:jc w:val="both"/>
        <w:ind w:firstLine="532"/>
        <w:spacing w:after="0" w:line="262"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b w:val="1"/>
          <w:bCs w:val="1"/>
          <w:color w:val="auto"/>
        </w:rPr>
        <w:t>Quorum</w:t>
      </w:r>
      <w:r>
        <w:rPr>
          <w:rFonts w:ascii="Times New Roman" w:cs="Times New Roman" w:eastAsia="Times New Roman" w:hAnsi="Times New Roman"/>
          <w:sz w:val="17"/>
          <w:szCs w:val="17"/>
          <w:color w:val="auto"/>
        </w:rPr>
        <w:t>. Except as otherwise provided by applicable law, the Corporation's Certificate of Incorporation, as the same may be amended or restated from time to time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or these Bylaws, the presence, in person or by proxy, at a stockholders meeting of the holders of shares of outstanding</w:t>
      </w:r>
    </w:p>
    <w:p>
      <w:pPr>
        <w:sectPr>
          <w:pgSz w:w="11900" w:h="16838" w:orient="portrait"/>
          <w:cols w:equalWidth="0" w:num="1">
            <w:col w:w="11240"/>
          </w:cols>
          <w:pgMar w:left="320" w:top="1365" w:right="339" w:bottom="1440" w:gutter="0" w:footer="0" w:header="0"/>
        </w:sectPr>
      </w:pPr>
    </w:p>
    <w:bookmarkStart w:id="95" w:name="page96"/>
    <w:bookmarkEnd w:id="95"/>
    <w:p>
      <w:pPr>
        <w:jc w:val="both"/>
        <w:ind w:firstLine="105"/>
        <w:spacing w:after="0" w:line="244" w:lineRule="auto"/>
        <w:rPr>
          <w:sz w:val="20"/>
          <w:szCs w:val="20"/>
          <w:color w:val="auto"/>
        </w:rPr>
      </w:pPr>
      <w:r>
        <w:rPr>
          <w:rFonts w:ascii="Times New Roman" w:cs="Times New Roman" w:eastAsia="Times New Roman" w:hAnsi="Times New Roman"/>
          <w:sz w:val="17"/>
          <w:szCs w:val="17"/>
          <w:color w:val="auto"/>
        </w:rPr>
        <w:t xml:space="preserve">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limit the right of the Corporation or any such other corporation to vote shares held by it in a fiduciary capacity.</w:t>
      </w: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b w:val="1"/>
          <w:bCs w:val="1"/>
          <w:color w:val="auto"/>
        </w:rPr>
        <w:t>Voting of Shares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40" w:hanging="320"/>
        <w:spacing w:after="0" w:line="243" w:lineRule="auto"/>
        <w:tabs>
          <w:tab w:leader="none" w:pos="63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Lists</w:t>
      </w:r>
      <w:r>
        <w:rPr>
          <w:rFonts w:ascii="Times New Roman" w:cs="Times New Roman" w:eastAsia="Times New Roman" w:hAnsi="Times New Roman"/>
          <w:sz w:val="17"/>
          <w:szCs w:val="17"/>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such meeting and showing the address and the number of shares registered in the name of each stockholder. Nothing contained in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cs="Times New Roman" w:eastAsia="Times New Roman" w:hAnsi="Times New Roman"/>
          <w:sz w:val="17"/>
          <w:szCs w:val="17"/>
          <w:u w:val="single" w:color="auto"/>
          <w:color w:val="auto"/>
        </w:rPr>
        <w:t>Section 9.5(a)</w:t>
      </w:r>
      <w:r>
        <w:rPr>
          <w:rFonts w:ascii="Times New Roman" w:cs="Times New Roman" w:eastAsia="Times New Roman" w:hAnsi="Times New Roman"/>
          <w:sz w:val="17"/>
          <w:szCs w:val="17"/>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or to vote in person or by proxy at any meeting of stockholders.</w:t>
      </w:r>
    </w:p>
    <w:p>
      <w:pPr>
        <w:spacing w:after="0" w:line="206" w:lineRule="exact"/>
        <w:rPr>
          <w:rFonts w:ascii="Times New Roman" w:cs="Times New Roman" w:eastAsia="Times New Roman" w:hAnsi="Times New Roman"/>
          <w:sz w:val="17"/>
          <w:szCs w:val="17"/>
          <w:color w:val="auto"/>
        </w:rPr>
      </w:pPr>
    </w:p>
    <w:p>
      <w:pPr>
        <w:jc w:val="both"/>
        <w:ind w:left="640" w:hanging="320"/>
        <w:spacing w:after="0" w:line="251"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Manner of Voting</w:t>
      </w:r>
      <w:r>
        <w:rPr>
          <w:rFonts w:ascii="Times New Roman" w:cs="Times New Roman" w:eastAsia="Times New Roman" w:hAnsi="Times New Roman"/>
          <w:sz w:val="17"/>
          <w:szCs w:val="17"/>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97" w:lineRule="exact"/>
        <w:rPr>
          <w:rFonts w:ascii="Times New Roman" w:cs="Times New Roman" w:eastAsia="Times New Roman" w:hAnsi="Times New Roman"/>
          <w:sz w:val="17"/>
          <w:szCs w:val="17"/>
          <w:color w:val="auto"/>
        </w:rPr>
      </w:pPr>
    </w:p>
    <w:p>
      <w:pPr>
        <w:jc w:val="both"/>
        <w:ind w:left="640" w:hanging="320"/>
        <w:spacing w:after="0" w:line="247" w:lineRule="auto"/>
        <w:tabs>
          <w:tab w:leader="none" w:pos="63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200" w:lineRule="exact"/>
        <w:rPr>
          <w:rFonts w:ascii="Times New Roman" w:cs="Times New Roman" w:eastAsia="Times New Roman" w:hAnsi="Times New Roman"/>
          <w:sz w:val="17"/>
          <w:szCs w:val="17"/>
          <w:color w:val="auto"/>
        </w:rPr>
      </w:pPr>
    </w:p>
    <w:p>
      <w:pPr>
        <w:jc w:val="both"/>
        <w:ind w:left="1260" w:hanging="403"/>
        <w:spacing w:after="0" w:line="268"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w:t>
      </w:r>
    </w:p>
    <w:p>
      <w:pPr>
        <w:sectPr>
          <w:pgSz w:w="11900" w:h="16838" w:orient="portrait"/>
          <w:cols w:equalWidth="0" w:num="1">
            <w:col w:w="11240"/>
          </w:cols>
          <w:pgMar w:left="320" w:top="1367" w:right="339" w:bottom="1440" w:gutter="0" w:footer="0" w:header="0"/>
        </w:sectPr>
      </w:pPr>
    </w:p>
    <w:bookmarkStart w:id="96" w:name="page97"/>
    <w:bookmarkEnd w:id="96"/>
    <w:p>
      <w:pPr>
        <w:ind w:left="1260"/>
        <w:spacing w:after="0"/>
        <w:rPr>
          <w:sz w:val="20"/>
          <w:szCs w:val="20"/>
          <w:color w:val="auto"/>
        </w:rPr>
      </w:pPr>
      <w:r>
        <w:rPr>
          <w:rFonts w:ascii="Times New Roman" w:cs="Times New Roman" w:eastAsia="Times New Roman" w:hAnsi="Times New Roman"/>
          <w:sz w:val="17"/>
          <w:szCs w:val="17"/>
          <w:color w:val="auto"/>
        </w:rPr>
        <w:t>signature to be affixed to such writing by any reasonable means, including, but not limited to, by facsimile signature.</w:t>
      </w:r>
    </w:p>
    <w:p>
      <w:pPr>
        <w:spacing w:after="0" w:line="237" w:lineRule="exact"/>
        <w:rPr>
          <w:sz w:val="20"/>
          <w:szCs w:val="20"/>
          <w:color w:val="auto"/>
        </w:rPr>
      </w:pPr>
    </w:p>
    <w:p>
      <w:pPr>
        <w:jc w:val="both"/>
        <w:ind w:left="1260" w:hanging="451"/>
        <w:spacing w:after="0" w:line="244" w:lineRule="auto"/>
        <w:tabs>
          <w:tab w:leader="none" w:pos="12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copy, facsimile telecommunication or other reproduction shall be a complete reproduction of the entire original writing or transmission.</w:t>
      </w:r>
    </w:p>
    <w:p>
      <w:pPr>
        <w:spacing w:after="0" w:line="204" w:lineRule="exact"/>
        <w:rPr>
          <w:rFonts w:ascii="Times New Roman" w:cs="Times New Roman" w:eastAsia="Times New Roman" w:hAnsi="Times New Roman"/>
          <w:sz w:val="17"/>
          <w:szCs w:val="17"/>
          <w:color w:val="auto"/>
        </w:rPr>
      </w:pPr>
    </w:p>
    <w:p>
      <w:pPr>
        <w:jc w:val="both"/>
        <w:ind w:left="640" w:hanging="320"/>
        <w:spacing w:after="0" w:line="248"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Vote</w:t>
      </w:r>
      <w:r>
        <w:rPr>
          <w:rFonts w:ascii="Times New Roman" w:cs="Times New Roman" w:eastAsia="Times New Roman" w:hAnsi="Times New Roman"/>
          <w:sz w:val="17"/>
          <w:szCs w:val="17"/>
          <w:color w:val="auto"/>
        </w:rPr>
        <w:t>. Subject to the rights of the holders of one or more series of preferred stock of the Corporation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200" w:lineRule="exact"/>
        <w:rPr>
          <w:rFonts w:ascii="Times New Roman" w:cs="Times New Roman" w:eastAsia="Times New Roman" w:hAnsi="Times New Roman"/>
          <w:sz w:val="17"/>
          <w:szCs w:val="17"/>
          <w:color w:val="auto"/>
        </w:rPr>
      </w:pPr>
    </w:p>
    <w:p>
      <w:pPr>
        <w:jc w:val="both"/>
        <w:ind w:left="640" w:hanging="320"/>
        <w:spacing w:after="0" w:line="243" w:lineRule="auto"/>
        <w:tabs>
          <w:tab w:leader="none" w:pos="63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designate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206" w:lineRule="exact"/>
        <w:rPr>
          <w:sz w:val="20"/>
          <w:szCs w:val="20"/>
          <w:color w:val="auto"/>
        </w:rPr>
      </w:pPr>
    </w:p>
    <w:p>
      <w:pPr>
        <w:jc w:val="both"/>
        <w:ind w:firstLine="532"/>
        <w:spacing w:after="0" w:line="244"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b w:val="1"/>
          <w:bCs w:val="1"/>
          <w:color w:val="auto"/>
        </w:rPr>
        <w:t>Adjournments</w:t>
      </w:r>
      <w:r>
        <w:rPr>
          <w:rFonts w:ascii="Times New Roman" w:cs="Times New Roman" w:eastAsia="Times New Roman" w:hAnsi="Times New Roman"/>
          <w:sz w:val="17"/>
          <w:szCs w:val="17"/>
          <w:color w:val="auto"/>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and shall give notice of the adjourned meeting to each stockholder of record entitled to vote at such adjourned meeting as of the record date fixed for notice of such adjourned meeting.</w:t>
      </w:r>
    </w:p>
    <w:p>
      <w:pPr>
        <w:sectPr>
          <w:pgSz w:w="11900" w:h="16838" w:orient="portrait"/>
          <w:cols w:equalWidth="0" w:num="1">
            <w:col w:w="11240"/>
          </w:cols>
          <w:pgMar w:left="320" w:top="1367" w:right="339" w:bottom="1440" w:gutter="0" w:footer="0" w:header="0"/>
        </w:sectPr>
      </w:pPr>
    </w:p>
    <w:bookmarkStart w:id="97" w:name="page98"/>
    <w:bookmarkEnd w:id="97"/>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b w:val="1"/>
          <w:bCs w:val="1"/>
          <w:color w:val="auto"/>
        </w:rPr>
        <w:t>Advance Notice for Business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320" w:hanging="320"/>
        <w:spacing w:after="0" w:line="249" w:lineRule="auto"/>
        <w:tabs>
          <w:tab w:leader="none" w:pos="31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Meetings of Stockholders</w:t>
      </w:r>
      <w:r>
        <w:rPr>
          <w:rFonts w:ascii="Times New Roman" w:cs="Times New Roman" w:eastAsia="Times New Roman" w:hAnsi="Times New Roman"/>
          <w:sz w:val="17"/>
          <w:szCs w:val="17"/>
          <w:color w:val="auto"/>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w:t>
      </w:r>
    </w:p>
    <w:p>
      <w:pPr>
        <w:spacing w:after="0" w:line="1" w:lineRule="exact"/>
        <w:rPr>
          <w:rFonts w:ascii="Times New Roman" w:cs="Times New Roman" w:eastAsia="Times New Roman" w:hAnsi="Times New Roman"/>
          <w:sz w:val="17"/>
          <w:szCs w:val="17"/>
          <w:color w:val="auto"/>
        </w:rPr>
      </w:pPr>
    </w:p>
    <w:p>
      <w:pPr>
        <w:jc w:val="both"/>
        <w:ind w:left="320" w:hanging="6"/>
        <w:spacing w:after="0" w:line="241" w:lineRule="auto"/>
        <w:tabs>
          <w:tab w:leader="none" w:pos="57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who is a stockholder of record entitled to vote at such annual meeting on the date of the giving of the notice provided for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and on the record date for the determination of stockholders entitled to vote at such annual meeting and (y) who complies with the notice procedures set forth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to the contrary, only persons nominated for election as a director to fill any term of a directorship that expires on the date of the annual meeting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will be considered for election at such meeting.</w:t>
      </w:r>
    </w:p>
    <w:p>
      <w:pPr>
        <w:spacing w:after="0" w:line="204" w:lineRule="exact"/>
        <w:rPr>
          <w:rFonts w:ascii="Times New Roman" w:cs="Times New Roman" w:eastAsia="Times New Roman" w:hAnsi="Times New Roman"/>
          <w:sz w:val="17"/>
          <w:szCs w:val="17"/>
          <w:color w:val="auto"/>
        </w:rPr>
      </w:pPr>
    </w:p>
    <w:p>
      <w:pPr>
        <w:jc w:val="both"/>
        <w:ind w:left="940" w:hanging="403"/>
        <w:spacing w:after="0" w:line="245" w:lineRule="auto"/>
        <w:tabs>
          <w:tab w:leader="none" w:pos="941"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 w:cs="Times New Roman" w:eastAsia="Times New Roman" w:hAnsi="Times New Roman"/>
          <w:sz w:val="17"/>
          <w:szCs w:val="17"/>
          <w:u w:val="single" w:color="auto"/>
          <w:color w:val="auto"/>
        </w:rPr>
        <w:t>Section 2.7(a)(iii)</w:t>
      </w:r>
      <w:r>
        <w:rPr>
          <w:rFonts w:ascii="Times New Roman" w:cs="Times New Roman" w:eastAsia="Times New Roman" w:hAnsi="Times New Roman"/>
          <w:sz w:val="17"/>
          <w:szCs w:val="17"/>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(A) the close of business on the 90th day before the meeting and (B)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jc w:val="both"/>
        <w:ind w:left="940" w:hanging="451"/>
        <w:spacing w:after="0" w:line="243" w:lineRule="auto"/>
        <w:tabs>
          <w:tab w:leader="none" w:pos="941"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jc w:val="both"/>
        <w:ind w:left="940" w:hanging="500"/>
        <w:spacing w:after="0" w:line="246" w:lineRule="auto"/>
        <w:tabs>
          <w:tab w:leader="none" w:pos="941"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2.7pr(a)</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w:t>
      </w:r>
    </w:p>
    <w:p>
      <w:pPr>
        <w:sectPr>
          <w:pgSz w:w="11900" w:h="16838" w:orient="portrait"/>
          <w:cols w:equalWidth="0" w:num="1">
            <w:col w:w="10920"/>
          </w:cols>
          <w:pgMar w:left="640" w:top="1440" w:right="339" w:bottom="1440" w:gutter="0" w:footer="0" w:header="0"/>
        </w:sectPr>
      </w:pPr>
    </w:p>
    <w:bookmarkStart w:id="98" w:name="page99"/>
    <w:bookmarkEnd w:id="98"/>
    <w:p>
      <w:pPr>
        <w:jc w:val="both"/>
        <w:ind w:left="1260"/>
        <w:spacing w:after="0" w:line="244" w:lineRule="auto"/>
        <w:rPr>
          <w:sz w:val="20"/>
          <w:szCs w:val="20"/>
          <w:color w:val="auto"/>
        </w:rPr>
      </w:pPr>
      <w:r>
        <w:rPr>
          <w:rFonts w:ascii="Times New Roman" w:cs="Times New Roman" w:eastAsia="Times New Roman" w:hAnsi="Times New Roman"/>
          <w:sz w:val="17"/>
          <w:szCs w:val="17"/>
          <w:color w:val="auto"/>
        </w:rPr>
        <w:t xml:space="preserve">set forth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once business has been properly brought before the annual meeting in accordance with such procedures,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200" w:lineRule="exact"/>
        <w:rPr>
          <w:sz w:val="20"/>
          <w:szCs w:val="20"/>
          <w:color w:val="auto"/>
        </w:rPr>
      </w:pPr>
    </w:p>
    <w:p>
      <w:pPr>
        <w:spacing w:after="0" w:line="205" w:lineRule="exact"/>
        <w:rPr>
          <w:sz w:val="20"/>
          <w:szCs w:val="20"/>
          <w:color w:val="auto"/>
        </w:rPr>
      </w:pPr>
    </w:p>
    <w:p>
      <w:pPr>
        <w:jc w:val="both"/>
        <w:ind w:left="1260" w:hanging="490"/>
        <w:spacing w:after="0" w:line="261" w:lineRule="auto"/>
        <w:tabs>
          <w:tab w:leader="none" w:pos="124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188"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 of Stockholder</w:t>
      </w:r>
      <w:r>
        <w:rPr>
          <w:rFonts w:ascii="Times New Roman" w:cs="Times New Roman" w:eastAsia="Times New Roman" w:hAnsi="Times New Roman"/>
          <w:sz w:val="17"/>
          <w:szCs w:val="17"/>
          <w:color w:val="auto"/>
        </w:rPr>
        <w:t xml:space="preserve">s.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188"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Announcement</w:t>
      </w:r>
      <w:r>
        <w:rPr>
          <w:rFonts w:ascii="Times New Roman" w:cs="Times New Roman" w:eastAsia="Times New Roman" w:hAnsi="Times New Roman"/>
          <w:sz w:val="17"/>
          <w:szCs w:val="17"/>
          <w:color w:val="auto"/>
        </w:rPr>
        <w:t>. 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86"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b w:val="1"/>
          <w:bCs w:val="1"/>
          <w:color w:val="auto"/>
        </w:rPr>
        <w:t>Conduct of Meetings.</w:t>
      </w:r>
      <w:r>
        <w:rPr>
          <w:rFonts w:ascii="Times New Roman" w:cs="Times New Roman" w:eastAsia="Times New Roman" w:hAnsi="Times New Roman"/>
          <w:sz w:val="17"/>
          <w:szCs w:val="17"/>
          <w:color w:val="auto"/>
        </w:rPr>
        <w:t xml:space="preserve">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spacing w:after="0" w:line="5" w:lineRule="exact"/>
        <w:rPr>
          <w:sz w:val="20"/>
          <w:szCs w:val="20"/>
          <w:color w:val="auto"/>
        </w:rPr>
      </w:pPr>
    </w:p>
    <w:p>
      <w:pPr>
        <w:jc w:val="both"/>
        <w:ind w:firstLine="110"/>
        <w:spacing w:after="0" w:line="241" w:lineRule="auto"/>
        <w:tabs>
          <w:tab w:leader="none" w:pos="35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204" w:lineRule="exact"/>
        <w:rPr>
          <w:sz w:val="20"/>
          <w:szCs w:val="20"/>
          <w:color w:val="auto"/>
        </w:rPr>
      </w:pPr>
    </w:p>
    <w:p>
      <w:pPr>
        <w:ind w:firstLine="532"/>
        <w:spacing w:after="0" w:line="283"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b w:val="1"/>
          <w:bCs w:val="1"/>
          <w:color w:val="auto"/>
        </w:rPr>
        <w:t>Consents in Lieu of Meeting.</w:t>
      </w:r>
      <w:r>
        <w:rPr>
          <w:rFonts w:ascii="Times New Roman" w:cs="Times New Roman" w:eastAsia="Times New Roman" w:hAnsi="Times New Roman"/>
          <w:sz w:val="17"/>
          <w:szCs w:val="17"/>
          <w:color w:val="auto"/>
        </w:rPr>
        <w:t xml:space="preserve"> Any action required or permitted to be taken by the stockholders of the Corporation must be effected by a duly called annual or special meeting of such stockholders and may not be effected by written consent of the stockholders.</w:t>
      </w:r>
    </w:p>
    <w:p>
      <w:pPr>
        <w:sectPr>
          <w:pgSz w:w="11900" w:h="16838" w:orient="portrait"/>
          <w:cols w:equalWidth="0" w:num="1">
            <w:col w:w="11240"/>
          </w:cols>
          <w:pgMar w:left="320" w:top="1367" w:right="339" w:bottom="1440" w:gutter="0" w:footer="0" w:header="0"/>
        </w:sectPr>
      </w:pPr>
    </w:p>
    <w:bookmarkStart w:id="99" w:name="page100"/>
    <w:bookmarkEnd w:id="99"/>
    <w:p>
      <w:pPr>
        <w:spacing w:after="0" w:line="20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6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34"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b w:val="1"/>
          <w:bCs w:val="1"/>
          <w:color w:val="auto"/>
        </w:rPr>
        <w:t>Powers; Number</w:t>
      </w:r>
      <w:r>
        <w:rPr>
          <w:rFonts w:ascii="Times New Roman" w:cs="Times New Roman" w:eastAsia="Times New Roman" w:hAnsi="Times New Roman"/>
          <w:sz w:val="17"/>
          <w:szCs w:val="17"/>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b w:val="1"/>
          <w:bCs w:val="1"/>
          <w:color w:val="auto"/>
        </w:rPr>
        <w:t>Advance Notice for Nomination of Directors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40" w:hanging="320"/>
        <w:spacing w:after="0" w:line="245" w:lineRule="auto"/>
        <w:tabs>
          <w:tab w:leader="none" w:pos="63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(A) who is a stockholder of record entitled to vote in the election of directors on the date of the giving of the notice provided for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and on the record date for the determination of stockholders entitled to vote at such meeting and (B) who complies with the notice procedures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202" w:lineRule="exact"/>
        <w:rPr>
          <w:rFonts w:ascii="Times New Roman" w:cs="Times New Roman" w:eastAsia="Times New Roman" w:hAnsi="Times New Roman"/>
          <w:sz w:val="17"/>
          <w:szCs w:val="17"/>
          <w:color w:val="auto"/>
        </w:rPr>
      </w:pPr>
    </w:p>
    <w:p>
      <w:pPr>
        <w:jc w:val="both"/>
        <w:ind w:left="640" w:hanging="320"/>
        <w:spacing w:after="0" w:line="24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applicable requirements, for a nomination to be made by a stockholder, such stockholder must have given timely notice thereof in proper written form to the Secretary of the Corporation.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that the annual meeting is called for a date that is not within 45 days before or after such anniversary date, notice by the stockholder to be timely must be so received no earlier than the opening of business on the 120th day before the meeting and not later than the later of (A) the close of business on the 90th day before the meeting and (B)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left="640" w:hanging="320"/>
        <w:spacing w:after="0" w:line="248" w:lineRule="auto"/>
        <w:tabs>
          <w:tab w:leader="none" w:pos="63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98" w:lineRule="exact"/>
        <w:rPr>
          <w:rFonts w:ascii="Times New Roman" w:cs="Times New Roman" w:eastAsia="Times New Roman" w:hAnsi="Times New Roman"/>
          <w:sz w:val="17"/>
          <w:szCs w:val="17"/>
          <w:color w:val="auto"/>
        </w:rPr>
      </w:pPr>
    </w:p>
    <w:p>
      <w:pPr>
        <w:jc w:val="both"/>
        <w:ind w:left="640" w:hanging="320"/>
        <w:spacing w:after="0" w:line="251"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if any,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w:t>
      </w:r>
    </w:p>
    <w:p>
      <w:pPr>
        <w:sectPr>
          <w:pgSz w:w="11900" w:h="16838" w:orient="portrait"/>
          <w:cols w:equalWidth="0" w:num="1">
            <w:col w:w="11240"/>
          </w:cols>
          <w:pgMar w:left="320" w:top="1440" w:right="339" w:bottom="1440" w:gutter="0" w:footer="0" w:header="0"/>
        </w:sectPr>
      </w:pPr>
    </w:p>
    <w:bookmarkStart w:id="100" w:name="page101"/>
    <w:bookmarkEnd w:id="100"/>
    <w:p>
      <w:pPr>
        <w:jc w:val="both"/>
        <w:ind w:left="640"/>
        <w:spacing w:after="0" w:line="243" w:lineRule="auto"/>
        <w:rPr>
          <w:sz w:val="20"/>
          <w:szCs w:val="20"/>
          <w:color w:val="auto"/>
        </w:rPr>
      </w:pPr>
      <w:r>
        <w:rPr>
          <w:rFonts w:ascii="Times New Roman" w:cs="Times New Roman" w:eastAsia="Times New Roman" w:hAnsi="Times New Roman"/>
          <w:sz w:val="17"/>
          <w:szCs w:val="17"/>
          <w:color w:val="auto"/>
        </w:rPr>
        <w:t>promulgated thereunder, without regard to the application of the Exchange Act to either the nomination or the Corporation;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209" w:lineRule="exact"/>
        <w:rPr>
          <w:sz w:val="20"/>
          <w:szCs w:val="20"/>
          <w:color w:val="auto"/>
        </w:rPr>
      </w:pPr>
    </w:p>
    <w:p>
      <w:pPr>
        <w:jc w:val="both"/>
        <w:ind w:left="640" w:hanging="320"/>
        <w:spacing w:after="0" w:line="251" w:lineRule="auto"/>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Board or the chairman of the meeting of stockholders determines that any nomination was not made in accordance with the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then such nomination shall not be considered at the meeting in question. Notwithstanding the foregoing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97"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be deemed to affect any rights of the holders of Preferred Stock to elect directors pursuant to the Certificate of Incorporation.</w:t>
      </w:r>
    </w:p>
    <w:p>
      <w:pPr>
        <w:spacing w:after="0" w:line="186" w:lineRule="exact"/>
        <w:rPr>
          <w:sz w:val="20"/>
          <w:szCs w:val="20"/>
          <w:color w:val="auto"/>
        </w:rPr>
      </w:pPr>
    </w:p>
    <w:p>
      <w:pPr>
        <w:jc w:val="both"/>
        <w:ind w:firstLine="531"/>
        <w:spacing w:after="0" w:line="247"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Unless otherwise restricted by the Certificate of Incorporation or these Bylaws,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201" w:lineRule="exact"/>
        <w:rPr>
          <w:sz w:val="20"/>
          <w:szCs w:val="20"/>
          <w:color w:val="auto"/>
        </w:rPr>
      </w:pPr>
    </w:p>
    <w:p>
      <w:pPr>
        <w:jc w:val="both"/>
        <w:ind w:firstLine="532"/>
        <w:spacing w:after="0" w:line="249"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b w:val="1"/>
          <w:bCs w:val="1"/>
          <w:color w:val="auto"/>
        </w:rPr>
        <w:t>Newly Created Directorships and Vacancies</w:t>
      </w:r>
      <w:r>
        <w:rPr>
          <w:rFonts w:ascii="Times New Roman" w:cs="Times New Roman" w:eastAsia="Times New Roman" w:hAnsi="Times New Roman"/>
          <w:sz w:val="17"/>
          <w:szCs w:val="17"/>
          <w:color w:val="auto"/>
        </w:rPr>
        <w:t>. Unless otherwise provided by the Certificate of Incorporation, newly created directorships resulting from an increase in the number of directors and any vacancies on the Board resulting from death, resignation, retirement, disqualification, removal or other cause shall be filled solely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239"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67"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7"/>
          <w:szCs w:val="17"/>
          <w:b w:val="1"/>
          <w:bCs w:val="1"/>
          <w:color w:val="auto"/>
        </w:rPr>
        <w:t>BOARD MEETINGS</w:t>
      </w:r>
    </w:p>
    <w:p>
      <w:pPr>
        <w:spacing w:after="0" w:line="263" w:lineRule="exact"/>
        <w:rPr>
          <w:sz w:val="20"/>
          <w:szCs w:val="20"/>
          <w:color w:val="auto"/>
        </w:rPr>
      </w:pPr>
    </w:p>
    <w:p>
      <w:pPr>
        <w:jc w:val="both"/>
        <w:ind w:firstLine="531"/>
        <w:spacing w:after="0" w:line="26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b w:val="1"/>
          <w:bCs w:val="1"/>
          <w:color w:val="auto"/>
        </w:rPr>
        <w:t>Annual Meetings</w:t>
      </w:r>
      <w:r>
        <w:rPr>
          <w:rFonts w:ascii="Times New Roman" w:cs="Times New Roman" w:eastAsia="Times New Roman" w:hAnsi="Times New Roman"/>
          <w:sz w:val="17"/>
          <w:szCs w:val="17"/>
          <w:color w:val="auto"/>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367" w:right="339" w:bottom="1440" w:gutter="0" w:footer="0" w:header="0"/>
        </w:sectPr>
      </w:pPr>
    </w:p>
    <w:bookmarkStart w:id="101" w:name="page102"/>
    <w:bookmarkEnd w:id="101"/>
    <w:p>
      <w:pPr>
        <w:jc w:val="both"/>
        <w:ind w:firstLine="532"/>
        <w:spacing w:after="0" w:line="283"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b w:val="1"/>
          <w:bCs w:val="1"/>
          <w:color w:val="auto"/>
        </w:rPr>
        <w:t>Regular Meetings</w:t>
      </w:r>
      <w:r>
        <w:rPr>
          <w:rFonts w:ascii="Times New Roman" w:cs="Times New Roman" w:eastAsia="Times New Roman" w:hAnsi="Times New Roman"/>
          <w:sz w:val="17"/>
          <w:szCs w:val="17"/>
          <w:color w:val="auto"/>
        </w:rPr>
        <w:t>. Regularly scheduled, periodic meetings of the Board may be held without notice at such times, dates and places (within or without the State of Delaware) as shall from time to time be determined by the Board.</w:t>
      </w:r>
    </w:p>
    <w:p>
      <w:pPr>
        <w:spacing w:after="0" w:line="16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b w:val="1"/>
          <w:bCs w:val="1"/>
          <w:color w:val="auto"/>
        </w:rPr>
        <w:t>Special Meetings</w:t>
      </w:r>
      <w:r>
        <w:rPr>
          <w:rFonts w:ascii="Times New Roman" w:cs="Times New Roman" w:eastAsia="Times New Roman" w:hAnsi="Times New Roman"/>
          <w:sz w:val="17"/>
          <w:szCs w:val="17"/>
          <w:color w:val="auto"/>
        </w:rPr>
        <w:t xml:space="preserve">. Special meetings of the Board (a) may be called by the Chairman of the Board or Chief Executive Officer and (b) shall be called by the Chairman of the Board, Chief Executive Officer or Secretary on the written request of at least a majority of directors then in office, as the case may be, and shall be held at such time, date and place (within or without the State of Delaware) as may be determined by the person calling the meeting or, if called upon the request of directors, as specified in such written request. Notice of each special meeting of the Board shall be given, as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w:t>
      </w:r>
    </w:p>
    <w:p>
      <w:pPr>
        <w:spacing w:after="0" w:line="200" w:lineRule="exact"/>
        <w:rPr>
          <w:sz w:val="20"/>
          <w:szCs w:val="20"/>
          <w:color w:val="auto"/>
        </w:rPr>
      </w:pPr>
    </w:p>
    <w:p>
      <w:pPr>
        <w:spacing w:after="0" w:line="202" w:lineRule="exact"/>
        <w:rPr>
          <w:sz w:val="20"/>
          <w:szCs w:val="20"/>
          <w:color w:val="auto"/>
        </w:rPr>
      </w:pPr>
    </w:p>
    <w:p>
      <w:pPr>
        <w:jc w:val="both"/>
        <w:ind w:firstLine="104"/>
        <w:spacing w:after="0" w:line="251" w:lineRule="auto"/>
        <w:rPr>
          <w:sz w:val="20"/>
          <w:szCs w:val="20"/>
          <w:color w:val="auto"/>
        </w:rPr>
      </w:pPr>
      <w:r>
        <w:rPr>
          <w:rFonts w:ascii="Times New Roman" w:cs="Times New Roman" w:eastAsia="Times New Roman" w:hAnsi="Times New Roman"/>
          <w:sz w:val="17"/>
          <w:szCs w:val="17"/>
          <w:color w:val="auto"/>
        </w:rPr>
        <w:t xml:space="preserve">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b w:val="1"/>
          <w:bCs w:val="1"/>
          <w:color w:val="auto"/>
        </w:rPr>
        <w:t>Quorum; Required Vote</w:t>
      </w:r>
      <w:r>
        <w:rPr>
          <w:rFonts w:ascii="Times New Roman" w:cs="Times New Roman" w:eastAsia="Times New Roman" w:hAnsi="Times New Roman"/>
          <w:sz w:val="17"/>
          <w:szCs w:val="17"/>
          <w:color w:val="auto"/>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b w:val="1"/>
          <w:bCs w:val="1"/>
          <w:color w:val="auto"/>
        </w:rPr>
        <w:t>Consent In Lieu of Meeting</w:t>
      </w:r>
      <w:r>
        <w:rPr>
          <w:rFonts w:ascii="Times New Roman" w:cs="Times New Roman" w:eastAsia="Times New Roman" w:hAnsi="Times New Roman"/>
          <w:sz w:val="17"/>
          <w:szCs w:val="17"/>
          <w:color w:val="auto"/>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201" w:lineRule="exact"/>
        <w:rPr>
          <w:sz w:val="20"/>
          <w:szCs w:val="20"/>
          <w:color w:val="auto"/>
        </w:rPr>
      </w:pPr>
    </w:p>
    <w:p>
      <w:pPr>
        <w:jc w:val="both"/>
        <w:ind w:firstLine="532"/>
        <w:spacing w:after="0" w:line="248"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b w:val="1"/>
          <w:bCs w:val="1"/>
          <w:color w:val="auto"/>
        </w:rPr>
        <w:t>Organization</w:t>
      </w:r>
      <w:r>
        <w:rPr>
          <w:rFonts w:ascii="Times New Roman" w:cs="Times New Roman" w:eastAsia="Times New Roman" w:hAnsi="Times New Roman"/>
          <w:sz w:val="17"/>
          <w:szCs w:val="17"/>
          <w:color w:val="auto"/>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67"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7"/>
          <w:szCs w:val="17"/>
          <w:b w:val="1"/>
          <w:bCs w:val="1"/>
          <w:color w:val="auto"/>
        </w:rPr>
        <w:t>COMMITTEES OF DIRECTORS</w:t>
      </w:r>
    </w:p>
    <w:p>
      <w:pPr>
        <w:spacing w:after="0" w:line="263" w:lineRule="exact"/>
        <w:rPr>
          <w:sz w:val="20"/>
          <w:szCs w:val="20"/>
          <w:color w:val="auto"/>
        </w:rPr>
      </w:pPr>
    </w:p>
    <w:p>
      <w:pPr>
        <w:jc w:val="both"/>
        <w:ind w:firstLine="532"/>
        <w:spacing w:after="0" w:line="262"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b w:val="1"/>
          <w:bCs w:val="1"/>
          <w:color w:val="auto"/>
        </w:rPr>
        <w:t>Establishment</w:t>
      </w:r>
      <w:r>
        <w:rPr>
          <w:rFonts w:ascii="Times New Roman" w:cs="Times New Roman" w:eastAsia="Times New Roman" w:hAnsi="Times New Roman"/>
          <w:sz w:val="17"/>
          <w:szCs w:val="17"/>
          <w:color w:val="auto"/>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ectPr>
          <w:pgSz w:w="11900" w:h="16838" w:orient="portrait"/>
          <w:cols w:equalWidth="0" w:num="1">
            <w:col w:w="11240"/>
          </w:cols>
          <w:pgMar w:left="320" w:top="1365" w:right="339" w:bottom="1440" w:gutter="0" w:footer="0" w:header="0"/>
        </w:sectPr>
      </w:pPr>
    </w:p>
    <w:bookmarkStart w:id="102" w:name="page103"/>
    <w:bookmarkEnd w:id="102"/>
    <w:p>
      <w:pPr>
        <w:spacing w:after="0" w:line="161" w:lineRule="exact"/>
        <w:rPr>
          <w:sz w:val="20"/>
          <w:szCs w:val="20"/>
          <w:color w:val="auto"/>
        </w:rPr>
      </w:pPr>
    </w:p>
    <w:p>
      <w:pPr>
        <w:jc w:val="both"/>
        <w:ind w:firstLine="531"/>
        <w:spacing w:after="0" w:line="262"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b w:val="1"/>
          <w:bCs w:val="1"/>
          <w:color w:val="auto"/>
        </w:rPr>
        <w:t>Available Powers</w:t>
      </w:r>
      <w:r>
        <w:rPr>
          <w:rFonts w:ascii="Times New Roman" w:cs="Times New Roman" w:eastAsia="Times New Roman" w:hAnsi="Times New Roman"/>
          <w:sz w:val="17"/>
          <w:szCs w:val="17"/>
          <w:color w:val="auto"/>
        </w:rPr>
        <w:t xml:space="preserve">. Any committee established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86" w:lineRule="exact"/>
        <w:rPr>
          <w:sz w:val="20"/>
          <w:szCs w:val="20"/>
          <w:color w:val="auto"/>
        </w:rPr>
      </w:pPr>
    </w:p>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b w:val="1"/>
          <w:bCs w:val="1"/>
          <w:color w:val="auto"/>
        </w:rPr>
        <w:t>Alternate Members</w:t>
      </w:r>
      <w:r>
        <w:rPr>
          <w:rFonts w:ascii="Times New Roman" w:cs="Times New Roman" w:eastAsia="Times New Roman" w:hAnsi="Times New Roman"/>
          <w:sz w:val="17"/>
          <w:szCs w:val="17"/>
          <w:color w:val="auto"/>
        </w:rPr>
        <w:t>. The Board may designate one or more directors as alternate members of any committee, who may replace any absent or disqualified member at any meeting of such committee.</w:t>
      </w:r>
    </w:p>
    <w:p>
      <w:pPr>
        <w:spacing w:after="0" w:line="168" w:lineRule="exact"/>
        <w:rPr>
          <w:sz w:val="20"/>
          <w:szCs w:val="20"/>
          <w:color w:val="auto"/>
        </w:rPr>
      </w:pPr>
    </w:p>
    <w:p>
      <w:pPr>
        <w:jc w:val="both"/>
        <w:ind w:firstLine="531"/>
        <w:spacing w:after="0" w:line="244"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b w:val="1"/>
          <w:bCs w:val="1"/>
          <w:color w:val="auto"/>
        </w:rPr>
        <w:t>Procedures</w:t>
      </w:r>
      <w:r>
        <w:rPr>
          <w:rFonts w:ascii="Times New Roman" w:cs="Times New Roman" w:eastAsia="Times New Roman" w:hAnsi="Times New Roman"/>
          <w:sz w:val="17"/>
          <w:szCs w:val="17"/>
          <w:color w:val="auto"/>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these Bylaws.</w:t>
      </w:r>
    </w:p>
    <w:p>
      <w:pPr>
        <w:spacing w:after="0" w:line="200" w:lineRule="exact"/>
        <w:rPr>
          <w:sz w:val="20"/>
          <w:szCs w:val="20"/>
          <w:color w:val="auto"/>
        </w:rPr>
      </w:pPr>
    </w:p>
    <w:p>
      <w:pPr>
        <w:spacing w:after="0" w:line="33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59"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67" w:lineRule="exact"/>
        <w:rPr>
          <w:sz w:val="20"/>
          <w:szCs w:val="20"/>
          <w:color w:val="auto"/>
        </w:rPr>
      </w:pPr>
    </w:p>
    <w:p>
      <w:pPr>
        <w:jc w:val="both"/>
        <w:ind w:firstLine="531"/>
        <w:spacing w:after="0" w:line="247"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xml:space="preserve">. The officers of the Corporation elected by the Board shall be a Chief Executive Officer, a Chief Financial Officer, a Secretary and such other officers (including without limitation, a Chairman, President,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if any, as may be prescribed by the appointing officer.</w:t>
      </w:r>
    </w:p>
    <w:p>
      <w:pPr>
        <w:spacing w:after="0" w:line="202" w:lineRule="exact"/>
        <w:rPr>
          <w:sz w:val="20"/>
          <w:szCs w:val="20"/>
          <w:color w:val="auto"/>
        </w:rPr>
      </w:pPr>
    </w:p>
    <w:p>
      <w:pPr>
        <w:jc w:val="both"/>
        <w:ind w:left="640" w:hanging="320"/>
        <w:spacing w:after="0" w:line="245" w:lineRule="auto"/>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202" w:lineRule="exact"/>
        <w:rPr>
          <w:rFonts w:ascii="Times New Roman" w:cs="Times New Roman" w:eastAsia="Times New Roman" w:hAnsi="Times New Roman"/>
          <w:sz w:val="17"/>
          <w:szCs w:val="17"/>
          <w:color w:val="auto"/>
        </w:rPr>
      </w:pPr>
    </w:p>
    <w:p>
      <w:pPr>
        <w:jc w:val="both"/>
        <w:ind w:left="640" w:hanging="320"/>
        <w:spacing w:after="0" w:line="249"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ectPr>
          <w:pgSz w:w="11900" w:h="16838" w:orient="portrait"/>
          <w:cols w:equalWidth="0" w:num="1">
            <w:col w:w="11240"/>
          </w:cols>
          <w:pgMar w:left="320" w:top="1440" w:right="339" w:bottom="1440" w:gutter="0" w:footer="0" w:header="0"/>
        </w:sectPr>
      </w:pPr>
    </w:p>
    <w:bookmarkStart w:id="103" w:name="page104"/>
    <w:bookmarkEnd w:id="103"/>
    <w:p>
      <w:pPr>
        <w:jc w:val="both"/>
        <w:ind w:left="640" w:hanging="320"/>
        <w:spacing w:after="0" w:line="251"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97" w:lineRule="exact"/>
        <w:rPr>
          <w:rFonts w:ascii="Times New Roman" w:cs="Times New Roman" w:eastAsia="Times New Roman" w:hAnsi="Times New Roman"/>
          <w:sz w:val="17"/>
          <w:szCs w:val="17"/>
          <w:color w:val="auto"/>
        </w:rPr>
      </w:pPr>
    </w:p>
    <w:p>
      <w:pPr>
        <w:jc w:val="both"/>
        <w:ind w:left="640" w:hanging="320"/>
        <w:spacing w:after="0" w:line="253" w:lineRule="auto"/>
        <w:tabs>
          <w:tab w:leader="none" w:pos="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9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w:t>
      </w:r>
    </w:p>
    <w:p>
      <w:pPr>
        <w:spacing w:after="0" w:line="237" w:lineRule="exact"/>
        <w:rPr>
          <w:rFonts w:ascii="Times New Roman" w:cs="Times New Roman" w:eastAsia="Times New Roman" w:hAnsi="Times New Roman"/>
          <w:sz w:val="17"/>
          <w:szCs w:val="17"/>
          <w:color w:val="auto"/>
        </w:rPr>
      </w:pPr>
    </w:p>
    <w:p>
      <w:pPr>
        <w:jc w:val="both"/>
        <w:ind w:left="1260" w:hanging="403"/>
        <w:spacing w:after="0" w:line="248" w:lineRule="auto"/>
        <w:tabs>
          <w:tab w:leader="none" w:pos="12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8" w:lineRule="exact"/>
        <w:rPr>
          <w:rFonts w:ascii="Times New Roman" w:cs="Times New Roman" w:eastAsia="Times New Roman" w:hAnsi="Times New Roman"/>
          <w:sz w:val="17"/>
          <w:szCs w:val="17"/>
          <w:color w:val="auto"/>
        </w:rPr>
      </w:pPr>
    </w:p>
    <w:p>
      <w:pPr>
        <w:jc w:val="both"/>
        <w:ind w:left="1260" w:hanging="451"/>
        <w:spacing w:after="0" w:line="254" w:lineRule="auto"/>
        <w:tabs>
          <w:tab w:leader="none" w:pos="12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2" w:lineRule="exact"/>
        <w:rPr>
          <w:rFonts w:ascii="Times New Roman" w:cs="Times New Roman" w:eastAsia="Times New Roman" w:hAnsi="Times New Roman"/>
          <w:sz w:val="17"/>
          <w:szCs w:val="17"/>
          <w:color w:val="auto"/>
        </w:rPr>
      </w:pPr>
    </w:p>
    <w:p>
      <w:pPr>
        <w:ind w:left="640" w:hanging="320"/>
        <w:spacing w:after="0" w:line="281" w:lineRule="auto"/>
        <w:tabs>
          <w:tab w:leader="none" w:pos="63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Assistant Secretaries</w:t>
      </w:r>
      <w:r>
        <w:rPr>
          <w:rFonts w:ascii="Times New Roman" w:cs="Times New Roman" w:eastAsia="Times New Roman" w:hAnsi="Times New Roman"/>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71"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w:t>
      </w:r>
      <w:r>
        <w:rPr>
          <w:rFonts w:ascii="Times New Roman" w:cs="Times New Roman" w:eastAsia="Times New Roman" w:hAnsi="Times New Roman"/>
          <w:sz w:val="17"/>
          <w:szCs w:val="17"/>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88" w:lineRule="exact"/>
        <w:rPr>
          <w:rFonts w:ascii="Times New Roman" w:cs="Times New Roman" w:eastAsia="Times New Roman" w:hAnsi="Times New Roman"/>
          <w:sz w:val="17"/>
          <w:szCs w:val="17"/>
          <w:color w:val="auto"/>
        </w:rPr>
      </w:pPr>
    </w:p>
    <w:p>
      <w:pPr>
        <w:ind w:left="640" w:hanging="320"/>
        <w:spacing w:after="0" w:line="281" w:lineRule="auto"/>
        <w:tabs>
          <w:tab w:leader="none" w:pos="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Treasurer shall, in the absence (or inability or refusal to act) of the Chief Financial Officer, perform the duties and exercise the powers of the Chief Financial Officer.</w:t>
      </w:r>
    </w:p>
    <w:p>
      <w:pPr>
        <w:spacing w:after="0" w:line="17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b w:val="1"/>
          <w:bCs w:val="1"/>
          <w:color w:val="auto"/>
        </w:rPr>
        <w:t>Term of Office; Removal; Vacancies</w:t>
      </w:r>
      <w:r>
        <w:rPr>
          <w:rFonts w:ascii="Times New Roman" w:cs="Times New Roman" w:eastAsia="Times New Roman" w:hAnsi="Times New Roman"/>
          <w:sz w:val="17"/>
          <w:szCs w:val="17"/>
          <w:color w:val="auto"/>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ectPr>
          <w:pgSz w:w="11900" w:h="16838" w:orient="portrait"/>
          <w:cols w:equalWidth="0" w:num="1">
            <w:col w:w="11240"/>
          </w:cols>
          <w:pgMar w:left="320" w:top="1367" w:right="339" w:bottom="1440" w:gutter="0" w:footer="0" w:header="0"/>
        </w:sectPr>
      </w:pPr>
    </w:p>
    <w:bookmarkStart w:id="104" w:name="page105"/>
    <w:bookmarkEnd w:id="104"/>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b w:val="1"/>
          <w:bCs w:val="1"/>
          <w:color w:val="auto"/>
        </w:rPr>
        <w:t>Other Officers</w:t>
      </w:r>
      <w:r>
        <w:rPr>
          <w:rFonts w:ascii="Times New Roman" w:cs="Times New Roman" w:eastAsia="Times New Roman" w:hAnsi="Times New Roman"/>
          <w:sz w:val="17"/>
          <w:szCs w:val="17"/>
          <w:color w:val="auto"/>
        </w:rPr>
        <w:t>. The Board may delegate the power to appoint such other officers and agents, and may also remove such officers and agents or delegate the power to remove same, as it shall from time to time deem necessary or desirable.</w:t>
      </w:r>
    </w:p>
    <w:p>
      <w:pPr>
        <w:spacing w:after="0" w:line="168" w:lineRule="exact"/>
        <w:rPr>
          <w:sz w:val="20"/>
          <w:szCs w:val="20"/>
          <w:color w:val="auto"/>
        </w:rPr>
      </w:pPr>
    </w:p>
    <w:p>
      <w:pPr>
        <w:jc w:val="both"/>
        <w:ind w:firstLine="531"/>
        <w:spacing w:after="0" w:line="255"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b w:val="1"/>
          <w:bCs w:val="1"/>
          <w:color w:val="auto"/>
        </w:rPr>
        <w:t>Multiple Officeholders; Stockholder and Director Officers</w:t>
      </w:r>
      <w:r>
        <w:rPr>
          <w:rFonts w:ascii="Times New Roman" w:cs="Times New Roman" w:eastAsia="Times New Roman" w:hAnsi="Times New Roman"/>
          <w:sz w:val="17"/>
          <w:szCs w:val="17"/>
          <w:color w:val="auto"/>
        </w:rPr>
        <w:t>. Any number of offices may be held by the same person unless the Certificate of Incorporation or these Bylaws otherwise provide; provided, however, that no officer shall execute, acknowledge or verify any instrument in more than one capacity if such instrument is required by law, the Certificate of Incorporation or these Bylaws to be executed, acknowledged or verified by two or more parties. Officers need not be stockholders or residents of the State of Delaware.</w:t>
      </w:r>
    </w:p>
    <w:p>
      <w:pPr>
        <w:spacing w:after="0" w:line="200" w:lineRule="exact"/>
        <w:rPr>
          <w:sz w:val="20"/>
          <w:szCs w:val="20"/>
          <w:color w:val="auto"/>
        </w:rPr>
      </w:pPr>
    </w:p>
    <w:p>
      <w:pPr>
        <w:spacing w:after="0" w:line="320"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59"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303" w:lineRule="exact"/>
        <w:rPr>
          <w:sz w:val="20"/>
          <w:szCs w:val="20"/>
          <w:color w:val="auto"/>
        </w:rPr>
      </w:pPr>
    </w:p>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b w:val="1"/>
          <w:bCs w:val="1"/>
          <w:color w:val="auto"/>
        </w:rPr>
        <w:t>Certificated and Uncertificated Shares</w:t>
      </w:r>
      <w:r>
        <w:rPr>
          <w:rFonts w:ascii="Times New Roman" w:cs="Times New Roman" w:eastAsia="Times New Roman" w:hAnsi="Times New Roman"/>
          <w:sz w:val="17"/>
          <w:szCs w:val="17"/>
          <w:color w:val="auto"/>
        </w:rPr>
        <w:t>. The shares of the Corporation may be certificated or uncertificated, subject to the sole discretion of the Board and the requirements of the DGCL.</w:t>
      </w:r>
    </w:p>
    <w:p>
      <w:pPr>
        <w:spacing w:after="0" w:line="168" w:lineRule="exact"/>
        <w:rPr>
          <w:sz w:val="20"/>
          <w:szCs w:val="20"/>
          <w:color w:val="auto"/>
        </w:rPr>
      </w:pPr>
    </w:p>
    <w:p>
      <w:pPr>
        <w:jc w:val="both"/>
        <w:ind w:firstLine="531"/>
        <w:spacing w:after="0" w:line="244"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b w:val="1"/>
          <w:bCs w:val="1"/>
          <w:color w:val="auto"/>
        </w:rPr>
        <w:t>Multiple Classes of Stock</w:t>
      </w:r>
      <w:r>
        <w:rPr>
          <w:rFonts w:ascii="Times New Roman" w:cs="Times New Roman" w:eastAsia="Times New Roman" w:hAnsi="Times New Roman"/>
          <w:sz w:val="17"/>
          <w:szCs w:val="17"/>
          <w:color w:val="auto"/>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205" w:lineRule="exact"/>
        <w:rPr>
          <w:sz w:val="20"/>
          <w:szCs w:val="20"/>
          <w:color w:val="auto"/>
        </w:rPr>
      </w:pPr>
    </w:p>
    <w:p>
      <w:pPr>
        <w:jc w:val="both"/>
        <w:ind w:firstLine="531"/>
        <w:spacing w:after="0" w:line="252"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b w:val="1"/>
          <w:bCs w:val="1"/>
          <w:color w:val="auto"/>
        </w:rPr>
        <w:t>Signatures</w:t>
      </w:r>
      <w:r>
        <w:rPr>
          <w:rFonts w:ascii="Times New Roman" w:cs="Times New Roman" w:eastAsia="Times New Roman" w:hAnsi="Times New Roman"/>
          <w:sz w:val="17"/>
          <w:szCs w:val="17"/>
          <w:color w:val="auto"/>
        </w:rPr>
        <w:t>. Each certificate representing capital stock of the Corporation shall be signed by or in the name of the Corporation by (a) the Chairman of the Board, the Chief Executive Officer, the President or a Vice President and (b) the Treasurer, an Assistant Treasurer, the Secretary or an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b w:val="1"/>
          <w:bCs w:val="1"/>
          <w:color w:val="auto"/>
        </w:rPr>
        <w:t>Consideration and Payment for Shares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1260" w:hanging="311"/>
        <w:spacing w:after="0" w:line="249" w:lineRule="auto"/>
        <w:tabs>
          <w:tab w:leader="none" w:pos="12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98" w:lineRule="exact"/>
        <w:rPr>
          <w:rFonts w:ascii="Times New Roman" w:cs="Times New Roman" w:eastAsia="Times New Roman" w:hAnsi="Times New Roman"/>
          <w:sz w:val="17"/>
          <w:szCs w:val="17"/>
          <w:color w:val="auto"/>
        </w:rPr>
      </w:pPr>
    </w:p>
    <w:p>
      <w:pPr>
        <w:jc w:val="both"/>
        <w:ind w:left="1260" w:hanging="403"/>
        <w:spacing w:after="0" w:line="252" w:lineRule="auto"/>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b w:val="1"/>
          <w:bCs w:val="1"/>
          <w:color w:val="auto"/>
        </w:rPr>
        <w:t>Lost, Destroyed or Wrongfully Taken Certificates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365" w:right="339" w:bottom="1440" w:gutter="0" w:footer="0" w:header="0"/>
        </w:sectPr>
      </w:pPr>
    </w:p>
    <w:bookmarkStart w:id="105" w:name="page106"/>
    <w:bookmarkEnd w:id="105"/>
    <w:p>
      <w:pPr>
        <w:jc w:val="both"/>
        <w:ind w:left="1260" w:hanging="311"/>
        <w:spacing w:after="0" w:line="249" w:lineRule="auto"/>
        <w:tabs>
          <w:tab w:leader="none" w:pos="125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9" w:lineRule="exact"/>
        <w:rPr>
          <w:rFonts w:ascii="Times New Roman" w:cs="Times New Roman" w:eastAsia="Times New Roman" w:hAnsi="Times New Roman"/>
          <w:sz w:val="17"/>
          <w:szCs w:val="17"/>
          <w:color w:val="auto"/>
        </w:rPr>
      </w:pPr>
    </w:p>
    <w:p>
      <w:pPr>
        <w:jc w:val="both"/>
        <w:ind w:left="1260" w:hanging="311"/>
        <w:spacing w:after="0" w:line="249" w:lineRule="auto"/>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b w:val="1"/>
          <w:bCs w:val="1"/>
          <w:color w:val="auto"/>
        </w:rPr>
        <w:t>Transfer of Stock</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1260" w:hanging="311"/>
        <w:spacing w:after="0" w:line="261" w:lineRule="auto"/>
        <w:tabs>
          <w:tab w:leader="none" w:pos="125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8" w:lineRule="exact"/>
        <w:rPr>
          <w:rFonts w:ascii="Times New Roman" w:cs="Times New Roman" w:eastAsia="Times New Roman" w:hAnsi="Times New Roman"/>
          <w:sz w:val="17"/>
          <w:szCs w:val="17"/>
          <w:color w:val="auto"/>
        </w:rPr>
      </w:pPr>
    </w:p>
    <w:p>
      <w:pPr>
        <w:ind w:left="1900" w:hanging="413"/>
        <w:spacing w:after="0"/>
        <w:tabs>
          <w:tab w:leader="none" w:pos="1900"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certificated shares, the certificate representing such shares has been surrendered;</w:t>
      </w:r>
    </w:p>
    <w:p>
      <w:pPr>
        <w:spacing w:after="0" w:line="237" w:lineRule="exact"/>
        <w:rPr>
          <w:rFonts w:ascii="Times New Roman" w:cs="Times New Roman" w:eastAsia="Times New Roman" w:hAnsi="Times New Roman"/>
          <w:sz w:val="17"/>
          <w:szCs w:val="17"/>
          <w:color w:val="auto"/>
        </w:rPr>
      </w:pPr>
    </w:p>
    <w:p>
      <w:pPr>
        <w:ind w:left="1900" w:hanging="462"/>
        <w:spacing w:after="0"/>
        <w:tabs>
          <w:tab w:leader="none" w:pos="1900"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with respect to certificated shares, the endorsement is made by the person specified by the certificate as entitled to such shares;</w:t>
      </w:r>
    </w:p>
    <w:p>
      <w:pPr>
        <w:spacing w:after="0" w:line="21" w:lineRule="exact"/>
        <w:rPr>
          <w:rFonts w:ascii="Times New Roman" w:cs="Times New Roman" w:eastAsia="Times New Roman" w:hAnsi="Times New Roman"/>
          <w:sz w:val="17"/>
          <w:szCs w:val="17"/>
          <w:color w:val="auto"/>
        </w:rPr>
      </w:pPr>
    </w:p>
    <w:p>
      <w:pPr>
        <w:jc w:val="both"/>
        <w:ind w:left="1900" w:hanging="7"/>
        <w:spacing w:after="0" w:line="249" w:lineRule="auto"/>
        <w:tabs>
          <w:tab w:leader="none" w:pos="2193" w:val="left"/>
        </w:tabs>
        <w:numPr>
          <w:ilvl w:val="3"/>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97" w:lineRule="exact"/>
        <w:rPr>
          <w:rFonts w:ascii="Times New Roman" w:cs="Times New Roman" w:eastAsia="Times New Roman" w:hAnsi="Times New Roman"/>
          <w:sz w:val="17"/>
          <w:szCs w:val="17"/>
          <w:color w:val="auto"/>
        </w:rPr>
      </w:pPr>
    </w:p>
    <w:p>
      <w:pPr>
        <w:ind w:left="1900" w:hanging="510"/>
        <w:spacing w:after="0" w:line="265" w:lineRule="auto"/>
        <w:tabs>
          <w:tab w:leader="none" w:pos="1900"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84" w:lineRule="exact"/>
        <w:rPr>
          <w:rFonts w:ascii="Times New Roman" w:cs="Times New Roman" w:eastAsia="Times New Roman" w:hAnsi="Times New Roman"/>
          <w:sz w:val="17"/>
          <w:szCs w:val="17"/>
          <w:color w:val="auto"/>
        </w:rPr>
      </w:pPr>
    </w:p>
    <w:p>
      <w:pPr>
        <w:ind w:left="1900" w:hanging="501"/>
        <w:spacing w:after="0" w:line="281" w:lineRule="auto"/>
        <w:tabs>
          <w:tab w:leader="none" w:pos="188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does not violate any restriction on transfer imposed by the Corporation that is enforceable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7.8(a)</w:t>
      </w:r>
      <w:r>
        <w:rPr>
          <w:rFonts w:ascii="Times New Roman" w:cs="Times New Roman" w:eastAsia="Times New Roman" w:hAnsi="Times New Roman"/>
          <w:sz w:val="17"/>
          <w:szCs w:val="17"/>
          <w:color w:val="auto"/>
        </w:rPr>
        <w:t>; and</w:t>
      </w:r>
    </w:p>
    <w:p>
      <w:pPr>
        <w:spacing w:after="0" w:line="171" w:lineRule="exact"/>
        <w:rPr>
          <w:rFonts w:ascii="Times New Roman" w:cs="Times New Roman" w:eastAsia="Times New Roman" w:hAnsi="Times New Roman"/>
          <w:sz w:val="17"/>
          <w:szCs w:val="17"/>
          <w:color w:val="auto"/>
        </w:rPr>
      </w:pPr>
    </w:p>
    <w:p>
      <w:pPr>
        <w:ind w:left="1880" w:hanging="433"/>
        <w:spacing w:after="0"/>
        <w:tabs>
          <w:tab w:leader="none" w:pos="18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conditions for such transfer as shall be provided for under applicable law have been satisfied.</w:t>
      </w:r>
    </w:p>
    <w:p>
      <w:pPr>
        <w:spacing w:after="0" w:line="237" w:lineRule="exact"/>
        <w:rPr>
          <w:rFonts w:ascii="Times New Roman" w:cs="Times New Roman" w:eastAsia="Times New Roman" w:hAnsi="Times New Roman"/>
          <w:sz w:val="17"/>
          <w:szCs w:val="17"/>
          <w:color w:val="auto"/>
        </w:rPr>
      </w:pPr>
    </w:p>
    <w:p>
      <w:pPr>
        <w:ind w:left="1900" w:right="120" w:hanging="501"/>
        <w:spacing w:after="0" w:line="254" w:lineRule="auto"/>
        <w:tabs>
          <w:tab w:leader="none" w:pos="19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93"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b w:val="1"/>
          <w:bCs w:val="1"/>
          <w:color w:val="auto"/>
        </w:rPr>
        <w:t>Registered Stockholders</w:t>
      </w:r>
      <w:r>
        <w:rPr>
          <w:rFonts w:ascii="Times New Roman" w:cs="Times New Roman" w:eastAsia="Times New Roman" w:hAnsi="Times New Roman"/>
          <w:sz w:val="17"/>
          <w:szCs w:val="17"/>
          <w:color w:val="auto"/>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w:t>
      </w:r>
    </w:p>
    <w:p>
      <w:pPr>
        <w:sectPr>
          <w:pgSz w:w="11900" w:h="16838" w:orient="portrait"/>
          <w:cols w:equalWidth="0" w:num="1">
            <w:col w:w="11240"/>
          </w:cols>
          <w:pgMar w:left="320" w:top="136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satisfying such other conditions as are provided under applicable law, may also so inspect the books and records of the Corporation.</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b w:val="1"/>
          <w:bCs w:val="1"/>
          <w:color w:val="auto"/>
        </w:rPr>
        <w:t>Effect of the Corporation's Restriction on Transfer</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1260" w:hanging="311"/>
        <w:spacing w:after="0" w:line="246" w:lineRule="auto"/>
        <w:tabs>
          <w:tab w:leader="none" w:pos="12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200" w:lineRule="exact"/>
        <w:rPr>
          <w:rFonts w:ascii="Times New Roman" w:cs="Times New Roman" w:eastAsia="Times New Roman" w:hAnsi="Times New Roman"/>
          <w:sz w:val="17"/>
          <w:szCs w:val="17"/>
          <w:color w:val="auto"/>
        </w:rPr>
      </w:pPr>
    </w:p>
    <w:p>
      <w:pPr>
        <w:jc w:val="both"/>
        <w:ind w:left="1260" w:hanging="311"/>
        <w:spacing w:after="0" w:line="251" w:lineRule="auto"/>
        <w:tabs>
          <w:tab w:leader="none" w:pos="1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w:t>
      </w:r>
    </w:p>
    <w:p>
      <w:pPr>
        <w:spacing w:after="0" w:line="195" w:lineRule="exact"/>
        <w:rPr>
          <w:sz w:val="20"/>
          <w:szCs w:val="20"/>
          <w:color w:val="auto"/>
        </w:rPr>
      </w:pPr>
    </w:p>
    <w:p>
      <w:pPr>
        <w:jc w:val="both"/>
        <w:ind w:firstLine="531"/>
        <w:spacing w:after="0" w:line="255" w:lineRule="auto"/>
        <w:rPr>
          <w:sz w:val="20"/>
          <w:szCs w:val="20"/>
          <w:color w:val="auto"/>
        </w:rPr>
      </w:pPr>
      <w:r>
        <w:rPr>
          <w:rFonts w:ascii="Times New Roman" w:cs="Times New Roman" w:eastAsia="Times New Roman" w:hAnsi="Times New Roman"/>
          <w:sz w:val="17"/>
          <w:szCs w:val="17"/>
          <w:color w:val="auto"/>
        </w:rPr>
        <w:t xml:space="preserve">Section 7.9. </w:t>
      </w:r>
      <w:r>
        <w:rPr>
          <w:rFonts w:ascii="Times New Roman" w:cs="Times New Roman" w:eastAsia="Times New Roman" w:hAnsi="Times New Roman"/>
          <w:sz w:val="17"/>
          <w:szCs w:val="17"/>
          <w:b w:val="1"/>
          <w:bCs w:val="1"/>
          <w:color w:val="auto"/>
        </w:rPr>
        <w:t>Regulations</w:t>
      </w:r>
      <w:r>
        <w:rPr>
          <w:rFonts w:ascii="Times New Roman" w:cs="Times New Roman" w:eastAsia="Times New Roman" w:hAnsi="Times New Roman"/>
          <w:sz w:val="17"/>
          <w:szCs w:val="17"/>
          <w:color w:val="auto"/>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200" w:lineRule="exact"/>
        <w:rPr>
          <w:sz w:val="20"/>
          <w:szCs w:val="20"/>
          <w:color w:val="auto"/>
        </w:rPr>
      </w:pPr>
    </w:p>
    <w:p>
      <w:pPr>
        <w:spacing w:after="0" w:line="320"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59"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67" w:lineRule="exact"/>
        <w:rPr>
          <w:sz w:val="20"/>
          <w:szCs w:val="20"/>
          <w:color w:val="auto"/>
        </w:rPr>
      </w:pPr>
    </w:p>
    <w:p>
      <w:pPr>
        <w:jc w:val="both"/>
        <w:ind w:firstLine="531"/>
        <w:spacing w:after="0" w:line="244"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b w:val="1"/>
          <w:bCs w:val="1"/>
          <w:color w:val="auto"/>
        </w:rPr>
        <w:t>Right to Indemnification</w:t>
      </w:r>
      <w:r>
        <w:rPr>
          <w:rFonts w:ascii="Times New Roman" w:cs="Times New Roman" w:eastAsia="Times New Roman" w:hAnsi="Times New Roman"/>
          <w:sz w:val="17"/>
          <w:szCs w:val="17"/>
          <w:color w:val="auto"/>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as provided in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200" w:lineRule="exact"/>
        <w:rPr>
          <w:sz w:val="20"/>
          <w:szCs w:val="20"/>
          <w:color w:val="auto"/>
        </w:rPr>
      </w:pPr>
    </w:p>
    <w:p>
      <w:pPr>
        <w:jc w:val="both"/>
        <w:ind w:firstLine="531"/>
        <w:spacing w:after="0" w:line="249"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b w:val="1"/>
          <w:bCs w:val="1"/>
          <w:color w:val="auto"/>
        </w:rPr>
        <w:t>Right to Advancement of Expenses</w:t>
      </w:r>
      <w:r>
        <w:rPr>
          <w:rFonts w:ascii="Times New Roman" w:cs="Times New Roman" w:eastAsia="Times New Roman" w:hAnsi="Times New Roman"/>
          <w:sz w:val="17"/>
          <w:szCs w:val="17"/>
          <w:color w:val="auto"/>
        </w:rPr>
        <w:t xml:space="preserve">. In addition to the right to indemnification conferred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"advancement of expenses");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cs="Times New Roman" w:eastAsia="Times New Roman" w:hAnsi="Times New Roman"/>
          <w:sz w:val="17"/>
          <w:szCs w:val="17"/>
          <w:b w:val="1"/>
          <w:bCs w:val="1"/>
          <w:color w:val="auto"/>
        </w:rPr>
        <w:t>undertaking</w:t>
      </w:r>
      <w:r>
        <w:rPr>
          <w:rFonts w:ascii="Times New Roman" w:cs="Times New Roman" w:eastAsia="Times New Roman" w:hAnsi="Times New Roman"/>
          <w:sz w:val="17"/>
          <w:szCs w:val="17"/>
          <w:color w:val="auto"/>
        </w:rPr>
        <w:t>"), by or on behalf of such Indemnitee, to repay</w:t>
      </w:r>
    </w:p>
    <w:p>
      <w:pPr>
        <w:sectPr>
          <w:pgSz w:w="11900" w:h="16838" w:orient="portrait"/>
          <w:cols w:equalWidth="0" w:num="1">
            <w:col w:w="11240"/>
          </w:cols>
          <w:pgMar w:left="320" w:top="136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 xml:space="preserve">all amounts so advanced if it shall ultimately be determined that such Indemnitee is not entitled to be indemnified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otherwise.</w:t>
      </w:r>
    </w:p>
    <w:p>
      <w:pPr>
        <w:spacing w:after="0" w:line="235" w:lineRule="exact"/>
        <w:rPr>
          <w:sz w:val="20"/>
          <w:szCs w:val="20"/>
          <w:color w:val="auto"/>
        </w:rPr>
      </w:pPr>
    </w:p>
    <w:p>
      <w:pPr>
        <w:jc w:val="both"/>
        <w:ind w:firstLine="531"/>
        <w:spacing w:after="0" w:line="243"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b w:val="1"/>
          <w:bCs w:val="1"/>
          <w:color w:val="auto"/>
        </w:rPr>
        <w:t>Right of Indemnitee to Bring Suit</w:t>
      </w:r>
      <w:r>
        <w:rPr>
          <w:rFonts w:ascii="Times New Roman" w:cs="Times New Roman" w:eastAsia="Times New Roman" w:hAnsi="Times New Roman"/>
          <w:sz w:val="17"/>
          <w:szCs w:val="17"/>
          <w:color w:val="auto"/>
        </w:rPr>
        <w:t xml:space="preserve">. If a claim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cs="Times New Roman" w:eastAsia="Times New Roman" w:hAnsi="Times New Roman"/>
          <w:sz w:val="17"/>
          <w:szCs w:val="17"/>
          <w:b w:val="1"/>
          <w:bCs w:val="1"/>
          <w:color w:val="auto"/>
        </w:rPr>
        <w:t>final adjudication</w:t>
      </w:r>
      <w:r>
        <w:rPr>
          <w:rFonts w:ascii="Times New Roman" w:cs="Times New Roman" w:eastAsia="Times New Roman" w:hAnsi="Times New Roman"/>
          <w:sz w:val="17"/>
          <w:szCs w:val="17"/>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otherwise shall be on the Corporation.</w:t>
      </w:r>
    </w:p>
    <w:p>
      <w:pPr>
        <w:spacing w:after="0" w:line="400" w:lineRule="exact"/>
        <w:rPr>
          <w:sz w:val="20"/>
          <w:szCs w:val="20"/>
          <w:color w:val="auto"/>
        </w:rPr>
      </w:pPr>
    </w:p>
    <w:p>
      <w:pPr>
        <w:jc w:val="both"/>
        <w:ind w:firstLine="531"/>
        <w:spacing w:after="0" w:line="254"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b w:val="1"/>
          <w:bCs w:val="1"/>
          <w:color w:val="auto"/>
        </w:rPr>
        <w:t>Non-Exclusivity of Rights</w:t>
      </w:r>
      <w:r>
        <w:rPr>
          <w:rFonts w:ascii="Times New Roman" w:cs="Times New Roman" w:eastAsia="Times New Roman" w:hAnsi="Times New Roman"/>
          <w:sz w:val="17"/>
          <w:szCs w:val="17"/>
          <w:color w:val="auto"/>
        </w:rPr>
        <w:t xml:space="preserve">. The rights provided to any Indemnitee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be exclusive of any other right, which such Indemnitee may have or hereafter acquire under applicable law, the Certificate of Incorporation, these Bylaws, an agreement, a vote of stockholders or disinterested directors, or otherwise.</w:t>
      </w:r>
    </w:p>
    <w:p>
      <w:pPr>
        <w:spacing w:after="0" w:line="192" w:lineRule="exact"/>
        <w:rPr>
          <w:sz w:val="20"/>
          <w:szCs w:val="20"/>
          <w:color w:val="auto"/>
        </w:rPr>
      </w:pPr>
    </w:p>
    <w:p>
      <w:pPr>
        <w:jc w:val="both"/>
        <w:ind w:firstLine="531"/>
        <w:spacing w:after="0" w:line="262"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6" w:lineRule="exact"/>
        <w:rPr>
          <w:sz w:val="20"/>
          <w:szCs w:val="20"/>
          <w:color w:val="auto"/>
        </w:rPr>
      </w:pPr>
    </w:p>
    <w:p>
      <w:pPr>
        <w:jc w:val="both"/>
        <w:ind w:firstLine="532"/>
        <w:spacing w:after="0" w:line="249" w:lineRule="auto"/>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b w:val="1"/>
          <w:bCs w:val="1"/>
          <w:color w:val="auto"/>
        </w:rPr>
        <w:t>Indemnification of Other Persons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with respect to the indemnification and advancement of expenses of Indemnitees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ind w:firstLine="532"/>
        <w:spacing w:after="0" w:line="245" w:lineRule="auto"/>
        <w:rPr>
          <w:sz w:val="20"/>
          <w:szCs w:val="20"/>
          <w:color w:val="auto"/>
        </w:rPr>
      </w:pPr>
      <w:r>
        <w:rPr>
          <w:rFonts w:ascii="Times New Roman" w:cs="Times New Roman" w:eastAsia="Times New Roman" w:hAnsi="Times New Roman"/>
          <w:sz w:val="17"/>
          <w:szCs w:val="17"/>
          <w:color w:val="auto"/>
        </w:rPr>
        <w:t xml:space="preserve">Section 8.7. </w:t>
      </w: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 xml:space="preserve">. Any repeal or amendment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by the Board or the stockholders of the Corporation or by changes in applicable law, or the adoption of any other provision of these Bylaws inconsistent with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amendments or repeals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require the affirmative vote of the stockholders holding at least 66.7% of the voting power of all outstanding shares of capital stock of the Corporation.</w:t>
      </w:r>
    </w:p>
    <w:p>
      <w:pPr>
        <w:sectPr>
          <w:pgSz w:w="11900" w:h="16838" w:orient="portrait"/>
          <w:cols w:equalWidth="0" w:num="1">
            <w:col w:w="11240"/>
          </w:cols>
          <w:pgMar w:left="320" w:top="1367" w:right="339" w:bottom="1440" w:gutter="0" w:footer="0" w:header="0"/>
        </w:sectPr>
      </w:pPr>
    </w:p>
    <w:bookmarkStart w:id="108" w:name="page109"/>
    <w:bookmarkEnd w:id="108"/>
    <w:p>
      <w:pPr>
        <w:jc w:val="both"/>
        <w:ind w:firstLine="531"/>
        <w:spacing w:after="0" w:line="250" w:lineRule="auto"/>
        <w:rPr>
          <w:sz w:val="20"/>
          <w:szCs w:val="20"/>
          <w:color w:val="auto"/>
        </w:rPr>
      </w:pPr>
      <w:r>
        <w:rPr>
          <w:rFonts w:ascii="Times New Roman" w:cs="Times New Roman" w:eastAsia="Times New Roman" w:hAnsi="Times New Roman"/>
          <w:sz w:val="17"/>
          <w:szCs w:val="17"/>
          <w:color w:val="auto"/>
        </w:rPr>
        <w:t xml:space="preserve">Section 8.8. </w:t>
      </w:r>
      <w:r>
        <w:rPr>
          <w:rFonts w:ascii="Times New Roman" w:cs="Times New Roman" w:eastAsia="Times New Roman" w:hAnsi="Times New Roman"/>
          <w:sz w:val="17"/>
          <w:szCs w:val="17"/>
          <w:b w:val="1"/>
          <w:bCs w:val="1"/>
          <w:color w:val="auto"/>
        </w:rPr>
        <w:t>Certain Definitions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398" w:lineRule="exact"/>
        <w:rPr>
          <w:sz w:val="20"/>
          <w:szCs w:val="20"/>
          <w:color w:val="auto"/>
        </w:rPr>
      </w:pPr>
    </w:p>
    <w:p>
      <w:pPr>
        <w:jc w:val="both"/>
        <w:ind w:firstLine="532"/>
        <w:spacing w:after="0" w:line="259" w:lineRule="auto"/>
        <w:rPr>
          <w:sz w:val="20"/>
          <w:szCs w:val="20"/>
          <w:color w:val="auto"/>
        </w:rPr>
      </w:pPr>
      <w:r>
        <w:rPr>
          <w:rFonts w:ascii="Times New Roman" w:cs="Times New Roman" w:eastAsia="Times New Roman" w:hAnsi="Times New Roman"/>
          <w:sz w:val="17"/>
          <w:szCs w:val="17"/>
          <w:color w:val="auto"/>
        </w:rPr>
        <w:t xml:space="preserve">Section 8.9. </w:t>
      </w:r>
      <w:r>
        <w:rPr>
          <w:rFonts w:ascii="Times New Roman" w:cs="Times New Roman" w:eastAsia="Times New Roman" w:hAnsi="Times New Roman"/>
          <w:sz w:val="17"/>
          <w:szCs w:val="17"/>
          <w:b w:val="1"/>
          <w:bCs w:val="1"/>
          <w:color w:val="auto"/>
        </w:rPr>
        <w:t>Contract Rights</w:t>
      </w:r>
      <w:r>
        <w:rPr>
          <w:rFonts w:ascii="Times New Roman" w:cs="Times New Roman" w:eastAsia="Times New Roman" w:hAnsi="Times New Roman"/>
          <w:sz w:val="17"/>
          <w:szCs w:val="17"/>
          <w:color w:val="auto"/>
        </w:rPr>
        <w:t xml:space="preserve">. The rights provided to Indemnitees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391"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7"/>
          <w:szCs w:val="17"/>
          <w:color w:val="auto"/>
        </w:rPr>
        <w:t xml:space="preserve">Section 8.10. </w:t>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xml:space="preserve">. If any provision or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be held to be invalid, illegal or unenforceable for any reason whatsoever: (a) the validity, legality and enforceability of the remaining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in any way be affected or impaired thereby; and</w:t>
      </w:r>
    </w:p>
    <w:p>
      <w:pPr>
        <w:jc w:val="both"/>
        <w:ind w:firstLine="5"/>
        <w:spacing w:after="0" w:line="249" w:lineRule="auto"/>
        <w:tabs>
          <w:tab w:leader="none" w:pos="26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fullest extent possible,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(including, without limitation, each such portion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containing any such provision held to be invalid, illegal or unenforceable) shall be construed so as to give effect to the intent manifested by the provision held invalid, illegal or unenforceable.</w:t>
      </w:r>
    </w:p>
    <w:p>
      <w:pPr>
        <w:spacing w:after="0" w:line="235"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67"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34" w:lineRule="exact"/>
        <w:rPr>
          <w:sz w:val="20"/>
          <w:szCs w:val="20"/>
          <w:color w:val="auto"/>
        </w:rPr>
      </w:pPr>
    </w:p>
    <w:p>
      <w:pPr>
        <w:jc w:val="both"/>
        <w:ind w:firstLine="531"/>
        <w:spacing w:after="0" w:line="252"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b w:val="1"/>
          <w:bCs w:val="1"/>
          <w:color w:val="auto"/>
        </w:rPr>
        <w:t>Place of Meetings</w:t>
      </w:r>
      <w:r>
        <w:rPr>
          <w:rFonts w:ascii="Times New Roman" w:cs="Times New Roman" w:eastAsia="Times New Roman" w:hAnsi="Times New Roman"/>
          <w:sz w:val="17"/>
          <w:szCs w:val="17"/>
          <w:color w:val="auto"/>
        </w:rPr>
        <w:t xml:space="preserve">. If the place of any meeting of stockholders, the Board or committee of the Board for which notice is required under these Bylaws is not designated in the notice of such meeting, such meeting shall be held at the principal business office of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xml:space="preserve"> hereof, then such meeting shall not be held at any place.</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b w:val="1"/>
          <w:bCs w:val="1"/>
          <w:color w:val="auto"/>
        </w:rPr>
        <w:t>Fixing Record Dates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1260" w:hanging="311"/>
        <w:spacing w:after="0" w:line="243" w:lineRule="auto"/>
        <w:tabs>
          <w:tab w:leader="none" w:pos="125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9.2(a)</w:t>
      </w:r>
      <w:r>
        <w:rPr>
          <w:rFonts w:ascii="Times New Roman" w:cs="Times New Roman" w:eastAsia="Times New Roman" w:hAnsi="Times New Roman"/>
          <w:sz w:val="17"/>
          <w:szCs w:val="17"/>
          <w:color w:val="auto"/>
        </w:rPr>
        <w:t xml:space="preserve"> at the adjourned meeting.</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jc w:val="both"/>
        <w:ind w:left="1260" w:hanging="311"/>
        <w:spacing w:after="0" w:line="246" w:lineRule="auto"/>
        <w:tabs>
          <w:tab w:leader="none" w:pos="1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ectPr>
          <w:pgSz w:w="11900" w:h="16838" w:orient="portrait"/>
          <w:cols w:equalWidth="0" w:num="1">
            <w:col w:w="11240"/>
          </w:cols>
          <w:pgMar w:left="320" w:top="136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b w:val="1"/>
          <w:bCs w:val="1"/>
          <w:color w:val="auto"/>
        </w:rPr>
        <w:t>Means of Giving Notice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720" w:hanging="311"/>
        <w:spacing w:after="0" w:line="243" w:lineRule="auto"/>
        <w:tabs>
          <w:tab w:leader="none" w:pos="71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Directors</w:t>
      </w:r>
      <w:r>
        <w:rPr>
          <w:rFonts w:ascii="Times New Roman" w:cs="Times New Roman" w:eastAsia="Times New Roman" w:hAnsi="Times New Roman"/>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(A) if given by hand delivery, orally, or by telephone, when actually received by the director, (B) if sent through the United States mail, when deposited in the United States mail, with postage and fees thereon prepaid, addressed to the director at the director's address appearing on the records of the Corporation, (C) if sent for next day delivery by a nationally recognized overnight delivery service, when deposited with such service, with fees thereon prepaid, addressed to the director at the director's address appearing on the records of the Corporation, (D) if sent by facsimile telecommunication, when sent to the facsimile transmission number for such director appearing on the records of the Corporation, (E) if sent by electronic mail, when sent to the electronic mail address for such director appearing on the records of the Corporation, or (F) if sent by any other form of electronic transmission, when sent to the address, location or number (as applicable) for such director appearing on the records of the Corporation.</w:t>
      </w:r>
    </w:p>
    <w:p>
      <w:pPr>
        <w:spacing w:after="0" w:line="209" w:lineRule="exact"/>
        <w:rPr>
          <w:rFonts w:ascii="Times New Roman" w:cs="Times New Roman" w:eastAsia="Times New Roman" w:hAnsi="Times New Roman"/>
          <w:sz w:val="17"/>
          <w:szCs w:val="17"/>
          <w:color w:val="auto"/>
        </w:rPr>
      </w:pPr>
    </w:p>
    <w:p>
      <w:pPr>
        <w:jc w:val="both"/>
        <w:ind w:left="720" w:hanging="311"/>
        <w:spacing w:after="0" w:line="242" w:lineRule="auto"/>
        <w:tabs>
          <w:tab w:leader="none" w:pos="7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Stockholders</w:t>
      </w:r>
      <w:r>
        <w:rPr>
          <w:rFonts w:ascii="Times New Roman" w:cs="Times New Roman" w:eastAsia="Times New Roman" w:hAnsi="Times New Roman"/>
          <w:sz w:val="17"/>
          <w:szCs w:val="17"/>
          <w:color w:val="auto"/>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(A) if given by hand delivery, when actually received by the stockholder, (B) if sent through the United States mail, when deposited in the United States mail, with postage and fees thereon prepaid, addressed to the stockholder at the stockholder's address appearing on the stock ledger of the Corporation, (C) if sent for next day delivery by a nationally recognized overnight delivery service, when deposited with such service, with fees thereon prepaid, addressed to the stockholder at the stockholder's address appearing on the stock ledger of the Corporation, and (D) if given by a form of electronic transmission consented to by the stockholder to whom the notice is given and otherwise meeting the requirements set forth above, (1) if by facsimile transmission,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specified posting, upon the later of (x) such posting and (y) the giving of such separate notice, and (z)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inadvertent failure to treat such inability as a revocation shall not invalidate any meeting or other action.</w:t>
      </w:r>
    </w:p>
    <w:p>
      <w:pPr>
        <w:spacing w:after="0" w:line="213" w:lineRule="exact"/>
        <w:rPr>
          <w:rFonts w:ascii="Times New Roman" w:cs="Times New Roman" w:eastAsia="Times New Roman" w:hAnsi="Times New Roman"/>
          <w:sz w:val="17"/>
          <w:szCs w:val="17"/>
          <w:color w:val="auto"/>
        </w:rPr>
      </w:pPr>
    </w:p>
    <w:p>
      <w:pPr>
        <w:jc w:val="both"/>
        <w:ind w:left="720" w:hanging="311"/>
        <w:spacing w:after="0" w:line="250" w:lineRule="auto"/>
        <w:tabs>
          <w:tab w:leader="none" w:pos="71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Transmission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Electronic transmission</w:t>
      </w:r>
      <w:r>
        <w:rPr>
          <w:rFonts w:ascii="Times New Roman" w:cs="Times New Roman" w:eastAsia="Times New Roman" w:hAnsi="Times New Roman"/>
          <w:sz w:val="17"/>
          <w:szCs w:val="17"/>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97" w:lineRule="exact"/>
        <w:rPr>
          <w:rFonts w:ascii="Times New Roman" w:cs="Times New Roman" w:eastAsia="Times New Roman" w:hAnsi="Times New Roman"/>
          <w:sz w:val="17"/>
          <w:szCs w:val="17"/>
          <w:color w:val="auto"/>
        </w:rPr>
      </w:pPr>
    </w:p>
    <w:p>
      <w:pPr>
        <w:jc w:val="both"/>
        <w:ind w:left="720" w:hanging="311"/>
        <w:spacing w:after="0" w:line="261" w:lineRule="auto"/>
        <w:tabs>
          <w:tab w:leader="none" w:pos="7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Stockholders Sharing Same Address</w:t>
      </w:r>
      <w:r>
        <w:rPr>
          <w:rFonts w:ascii="Times New Roman" w:cs="Times New Roman" w:eastAsia="Times New Roman" w:hAnsi="Times New Roman"/>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w:t>
      </w:r>
    </w:p>
    <w:p>
      <w:pPr>
        <w:sectPr>
          <w:pgSz w:w="11900" w:h="16838" w:orient="portrait"/>
          <w:cols w:equalWidth="0" w:num="1">
            <w:col w:w="10700"/>
          </w:cols>
          <w:pgMar w:left="860" w:top="1365" w:right="339" w:bottom="1440" w:gutter="0" w:footer="0" w:header="0"/>
        </w:sectPr>
      </w:pPr>
    </w:p>
    <w:bookmarkStart w:id="110" w:name="page111"/>
    <w:bookmarkEnd w:id="110"/>
    <w:p>
      <w:pPr>
        <w:jc w:val="both"/>
        <w:ind w:left="1260"/>
        <w:spacing w:after="0" w:line="254" w:lineRule="auto"/>
        <w:rPr>
          <w:sz w:val="20"/>
          <w:szCs w:val="20"/>
          <w:color w:val="auto"/>
        </w:rPr>
      </w:pPr>
      <w:r>
        <w:rPr>
          <w:rFonts w:ascii="Times New Roman" w:cs="Times New Roman" w:eastAsia="Times New Roman" w:hAnsi="Times New Roman"/>
          <w:sz w:val="17"/>
          <w:szCs w:val="17"/>
          <w:color w:val="auto"/>
        </w:rPr>
        <w:t>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95" w:lineRule="exact"/>
        <w:rPr>
          <w:sz w:val="20"/>
          <w:szCs w:val="20"/>
          <w:color w:val="auto"/>
        </w:rPr>
      </w:pPr>
    </w:p>
    <w:p>
      <w:pPr>
        <w:jc w:val="both"/>
        <w:ind w:left="1260" w:hanging="311"/>
        <w:spacing w:after="0" w:line="241" w:lineRule="auto"/>
        <w:tabs>
          <w:tab w:leader="none" w:pos="125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Exceptions to Notice Requirement</w:t>
      </w:r>
      <w:r>
        <w:rPr>
          <w:rFonts w:ascii="Times New Roman" w:cs="Times New Roman" w:eastAsia="Times New Roman" w:hAnsi="Times New Roman"/>
          <w:sz w:val="17"/>
          <w:szCs w:val="17"/>
          <w:color w:val="auto"/>
        </w:rPr>
        <w:t>s.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200" w:lineRule="exact"/>
        <w:rPr>
          <w:sz w:val="20"/>
          <w:szCs w:val="20"/>
          <w:color w:val="auto"/>
        </w:rPr>
      </w:pPr>
    </w:p>
    <w:p>
      <w:pPr>
        <w:spacing w:after="0" w:line="212"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b w:val="1"/>
          <w:bCs w:val="1"/>
          <w:color w:val="auto"/>
        </w:rPr>
        <w:t>Waiver of Notice</w:t>
      </w:r>
      <w:r>
        <w:rPr>
          <w:rFonts w:ascii="Times New Roman" w:cs="Times New Roman" w:eastAsia="Times New Roman" w:hAnsi="Times New Roman"/>
          <w:sz w:val="17"/>
          <w:szCs w:val="17"/>
          <w:color w:val="auto"/>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b w:val="1"/>
          <w:bCs w:val="1"/>
          <w:color w:val="auto"/>
        </w:rPr>
        <w:t>Meeting Attendance via Remote Communication Equipment</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1260" w:hanging="311"/>
        <w:spacing w:after="0" w:line="261" w:lineRule="auto"/>
        <w:tabs>
          <w:tab w:leader="none" w:pos="125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Meetings</w:t>
      </w:r>
      <w:r>
        <w:rPr>
          <w:rFonts w:ascii="Times New Roman" w:cs="Times New Roman" w:eastAsia="Times New Roman" w:hAnsi="Times New Roman"/>
          <w:sz w:val="17"/>
          <w:szCs w:val="17"/>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8" w:lineRule="exact"/>
        <w:rPr>
          <w:rFonts w:ascii="Times New Roman" w:cs="Times New Roman" w:eastAsia="Times New Roman" w:hAnsi="Times New Roman"/>
          <w:sz w:val="17"/>
          <w:szCs w:val="17"/>
          <w:color w:val="auto"/>
        </w:rPr>
      </w:pPr>
    </w:p>
    <w:p>
      <w:pPr>
        <w:ind w:left="1900" w:hanging="413"/>
        <w:spacing w:after="0"/>
        <w:tabs>
          <w:tab w:leader="none" w:pos="19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a meeting of stockholders; and</w:t>
      </w:r>
    </w:p>
    <w:p>
      <w:pPr>
        <w:spacing w:after="0" w:line="224" w:lineRule="exact"/>
        <w:rPr>
          <w:rFonts w:ascii="Times New Roman" w:cs="Times New Roman" w:eastAsia="Times New Roman" w:hAnsi="Times New Roman"/>
          <w:sz w:val="17"/>
          <w:szCs w:val="17"/>
          <w:color w:val="auto"/>
        </w:rPr>
      </w:pPr>
    </w:p>
    <w:p>
      <w:pPr>
        <w:jc w:val="both"/>
        <w:ind w:left="1900" w:hanging="462"/>
        <w:spacing w:after="0" w:line="254" w:lineRule="auto"/>
        <w:tabs>
          <w:tab w:leader="none" w:pos="19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 the Corporation shall implement reasonable measures to verify that each person deemed present and permitted to vote at the meeting by means of remote communication is a stockholder or proxy holder, (B) the Corporation shall implement reasonable</w:t>
      </w:r>
    </w:p>
    <w:p>
      <w:pPr>
        <w:sectPr>
          <w:pgSz w:w="11900" w:h="16838" w:orient="portrait"/>
          <w:cols w:equalWidth="0" w:num="1">
            <w:col w:w="11240"/>
          </w:cols>
          <w:pgMar w:left="320" w:top="1367" w:right="339" w:bottom="1440" w:gutter="0" w:footer="0" w:header="0"/>
        </w:sectPr>
      </w:pPr>
    </w:p>
    <w:bookmarkStart w:id="111" w:name="page112"/>
    <w:bookmarkEnd w:id="111"/>
    <w:p>
      <w:pPr>
        <w:jc w:val="both"/>
        <w:ind w:left="1900"/>
        <w:spacing w:after="0" w:line="254" w:lineRule="auto"/>
        <w:rPr>
          <w:sz w:val="20"/>
          <w:szCs w:val="20"/>
          <w:color w:val="auto"/>
        </w:rPr>
      </w:pPr>
      <w:r>
        <w:rPr>
          <w:rFonts w:ascii="Times New Roman" w:cs="Times New Roman" w:eastAsia="Times New Roman" w:hAnsi="Times New Roman"/>
          <w:sz w:val="17"/>
          <w:szCs w:val="17"/>
          <w:color w:val="auto"/>
        </w:rPr>
        <w:t>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95" w:lineRule="exact"/>
        <w:rPr>
          <w:sz w:val="20"/>
          <w:szCs w:val="20"/>
          <w:color w:val="auto"/>
        </w:rPr>
      </w:pPr>
    </w:p>
    <w:p>
      <w:pPr>
        <w:jc w:val="both"/>
        <w:ind w:left="1260" w:hanging="311"/>
        <w:spacing w:after="0" w:line="247" w:lineRule="auto"/>
        <w:tabs>
          <w:tab w:leader="none" w:pos="1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Meetings</w:t>
      </w:r>
      <w:r>
        <w:rPr>
          <w:rFonts w:ascii="Times New Roman" w:cs="Times New Roman" w:eastAsia="Times New Roman" w:hAnsi="Times New Roman"/>
          <w:sz w:val="17"/>
          <w:szCs w:val="17"/>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99" w:lineRule="exact"/>
        <w:rPr>
          <w:sz w:val="20"/>
          <w:szCs w:val="20"/>
          <w:color w:val="auto"/>
        </w:rPr>
      </w:pPr>
    </w:p>
    <w:p>
      <w:pPr>
        <w:jc w:val="both"/>
        <w:ind w:firstLine="532"/>
        <w:spacing w:after="0" w:line="283" w:lineRule="auto"/>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b w:val="1"/>
          <w:bCs w:val="1"/>
          <w:color w:val="auto"/>
        </w:rPr>
        <w:t>Dividends</w:t>
      </w:r>
      <w:r>
        <w:rPr>
          <w:rFonts w:ascii="Times New Roman" w:cs="Times New Roman" w:eastAsia="Times New Roman" w:hAnsi="Times New Roman"/>
          <w:sz w:val="17"/>
          <w:szCs w:val="17"/>
          <w:color w:val="auto"/>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spacing w:after="0" w:line="168" w:lineRule="exact"/>
        <w:rPr>
          <w:sz w:val="20"/>
          <w:szCs w:val="20"/>
          <w:color w:val="auto"/>
        </w:rPr>
      </w:pPr>
    </w:p>
    <w:p>
      <w:pPr>
        <w:jc w:val="both"/>
        <w:ind w:firstLine="532"/>
        <w:spacing w:after="0" w:line="283" w:lineRule="auto"/>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b w:val="1"/>
          <w:bCs w:val="1"/>
          <w:color w:val="auto"/>
        </w:rPr>
        <w:t>Reserves</w:t>
      </w:r>
      <w:r>
        <w:rPr>
          <w:rFonts w:ascii="Times New Roman" w:cs="Times New Roman" w:eastAsia="Times New Roman" w:hAnsi="Times New Roman"/>
          <w:sz w:val="17"/>
          <w:szCs w:val="17"/>
          <w:color w:val="auto"/>
        </w:rPr>
        <w:t>. The Board may set apart out of the funds of the Corporation available for dividends a reserve or reserves for any proper purpose and may abolish any such reserve.</w:t>
      </w:r>
    </w:p>
    <w:p>
      <w:pPr>
        <w:spacing w:after="0" w:line="168" w:lineRule="exact"/>
        <w:rPr>
          <w:sz w:val="20"/>
          <w:szCs w:val="20"/>
          <w:color w:val="auto"/>
        </w:rPr>
      </w:pPr>
    </w:p>
    <w:p>
      <w:pPr>
        <w:jc w:val="both"/>
        <w:ind w:firstLine="532"/>
        <w:spacing w:after="0" w:line="245" w:lineRule="auto"/>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b w:val="1"/>
          <w:bCs w:val="1"/>
          <w:color w:val="auto"/>
        </w:rPr>
        <w:t>Contracts and Negotiable Instruments</w:t>
      </w:r>
      <w:r>
        <w:rPr>
          <w:rFonts w:ascii="Times New Roman" w:cs="Times New Roman" w:eastAsia="Times New Roman" w:hAnsi="Times New Roman"/>
          <w:sz w:val="17"/>
          <w:szCs w:val="17"/>
          <w:color w:val="auto"/>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such delegation of power shall not relieve such officer of responsibility with respect to the exercise of such delegated power.</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Section 9.9. </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The fiscal year of the Corporation shall be fixed by the Board.</w:t>
      </w:r>
    </w:p>
    <w:p>
      <w:pPr>
        <w:spacing w:after="0" w:line="237" w:lineRule="exact"/>
        <w:rPr>
          <w:sz w:val="20"/>
          <w:szCs w:val="20"/>
          <w:color w:val="auto"/>
        </w:rPr>
      </w:pPr>
    </w:p>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b w:val="1"/>
          <w:bCs w:val="1"/>
          <w:color w:val="auto"/>
        </w:rPr>
        <w:t>Seal</w:t>
      </w:r>
      <w:r>
        <w:rPr>
          <w:rFonts w:ascii="Times New Roman" w:cs="Times New Roman" w:eastAsia="Times New Roman" w:hAnsi="Times New Roman"/>
          <w:sz w:val="17"/>
          <w:szCs w:val="17"/>
          <w:color w:val="auto"/>
        </w:rPr>
        <w:t>. The Board may adopt a corporate seal, which shall be in such form as the Board determines. The seal may be used by causing it or a facsimile thereof to be impressed, affixed or otherwise reproduced.</w:t>
      </w:r>
    </w:p>
    <w:p>
      <w:pPr>
        <w:spacing w:after="0" w:line="168" w:lineRule="exact"/>
        <w:rPr>
          <w:sz w:val="20"/>
          <w:szCs w:val="20"/>
          <w:color w:val="auto"/>
        </w:rPr>
      </w:pPr>
    </w:p>
    <w:p>
      <w:pPr>
        <w:jc w:val="both"/>
        <w:ind w:firstLine="531"/>
        <w:spacing w:after="0" w:line="283"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b w:val="1"/>
          <w:bCs w:val="1"/>
          <w:color w:val="auto"/>
        </w:rPr>
        <w:t>Books and Records</w:t>
      </w:r>
      <w:r>
        <w:rPr>
          <w:rFonts w:ascii="Times New Roman" w:cs="Times New Roman" w:eastAsia="Times New Roman" w:hAnsi="Times New Roman"/>
          <w:sz w:val="17"/>
          <w:szCs w:val="17"/>
          <w:color w:val="auto"/>
        </w:rPr>
        <w:t>. The books and records of the Corporation may be kept within or outside the State of Delaware at such place or places as may from time to time be designated by the Board.</w:t>
      </w:r>
    </w:p>
    <w:p>
      <w:pPr>
        <w:spacing w:after="0" w:line="168" w:lineRule="exact"/>
        <w:rPr>
          <w:sz w:val="20"/>
          <w:szCs w:val="20"/>
          <w:color w:val="auto"/>
        </w:rPr>
      </w:pPr>
    </w:p>
    <w:p>
      <w:pPr>
        <w:jc w:val="both"/>
        <w:ind w:firstLine="531"/>
        <w:spacing w:after="0" w:line="255"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b w:val="1"/>
          <w:bCs w:val="1"/>
          <w:color w:val="auto"/>
        </w:rPr>
        <w:t>Resignation</w:t>
      </w:r>
      <w:r>
        <w:rPr>
          <w:rFonts w:ascii="Times New Roman" w:cs="Times New Roman" w:eastAsia="Times New Roman" w:hAnsi="Times New Roman"/>
          <w:sz w:val="17"/>
          <w:szCs w:val="17"/>
          <w:color w:val="auto"/>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92" w:lineRule="exact"/>
        <w:rPr>
          <w:sz w:val="20"/>
          <w:szCs w:val="20"/>
          <w:color w:val="auto"/>
        </w:rPr>
      </w:pPr>
    </w:p>
    <w:p>
      <w:pPr>
        <w:jc w:val="both"/>
        <w:ind w:firstLine="531"/>
        <w:spacing w:after="0" w:line="250" w:lineRule="auto"/>
        <w:rPr>
          <w:sz w:val="20"/>
          <w:szCs w:val="20"/>
          <w:color w:val="auto"/>
        </w:rPr>
      </w:pPr>
      <w:r>
        <w:rPr>
          <w:rFonts w:ascii="Times New Roman" w:cs="Times New Roman" w:eastAsia="Times New Roman" w:hAnsi="Times New Roman"/>
          <w:sz w:val="17"/>
          <w:szCs w:val="17"/>
          <w:color w:val="auto"/>
        </w:rPr>
        <w:t xml:space="preserve">Section 9.13. </w:t>
      </w:r>
      <w:r>
        <w:rPr>
          <w:rFonts w:ascii="Times New Roman" w:cs="Times New Roman" w:eastAsia="Times New Roman" w:hAnsi="Times New Roman"/>
          <w:sz w:val="17"/>
          <w:szCs w:val="17"/>
          <w:b w:val="1"/>
          <w:bCs w:val="1"/>
          <w:color w:val="auto"/>
        </w:rPr>
        <w:t>Surety Bonds</w:t>
      </w:r>
      <w:r>
        <w:rPr>
          <w:rFonts w:ascii="Times New Roman" w:cs="Times New Roman" w:eastAsia="Times New Roman" w:hAnsi="Times New Roman"/>
          <w:sz w:val="17"/>
          <w:szCs w:val="17"/>
          <w:color w:val="auto"/>
        </w:rPr>
        <w:t>.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w:t>
      </w:r>
    </w:p>
    <w:p>
      <w:pPr>
        <w:sectPr>
          <w:pgSz w:w="11900" w:h="16838" w:orient="portrait"/>
          <w:cols w:equalWidth="0" w:num="1">
            <w:col w:w="11240"/>
          </w:cols>
          <w:pgMar w:left="320" w:top="1367" w:right="339" w:bottom="1440" w:gutter="0" w:footer="0" w:header="0"/>
        </w:sectPr>
      </w:pPr>
    </w:p>
    <w:bookmarkStart w:id="112" w:name="page113"/>
    <w:bookmarkEnd w:id="112"/>
    <w:p>
      <w:pPr>
        <w:jc w:val="both"/>
        <w:spacing w:after="0" w:line="281" w:lineRule="auto"/>
        <w:rPr>
          <w:sz w:val="20"/>
          <w:szCs w:val="20"/>
          <w:color w:val="auto"/>
        </w:rPr>
      </w:pPr>
      <w:r>
        <w:rPr>
          <w:rFonts w:ascii="Times New Roman" w:cs="Times New Roman" w:eastAsia="Times New Roman" w:hAnsi="Times New Roman"/>
          <w:sz w:val="17"/>
          <w:szCs w:val="17"/>
          <w:color w:val="auto"/>
        </w:rPr>
        <w:t>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7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b w:val="1"/>
          <w:bCs w:val="1"/>
          <w:color w:val="auto"/>
        </w:rPr>
        <w:t>Securities of Other Corporations</w:t>
      </w:r>
      <w:r>
        <w:rPr>
          <w:rFonts w:ascii="Times New Roman" w:cs="Times New Roman" w:eastAsia="Times New Roman" w:hAnsi="Times New Roman"/>
          <w:sz w:val="17"/>
          <w:szCs w:val="17"/>
          <w:color w:val="auto"/>
        </w:rPr>
        <w:t>. Powers of attorney, proxies, waivers of notice of meeting, consents in writing and other instruments relating to securities owned by the Corporation may be executed in the name of and on behalf of the Corporation by the Chairman of the Board, Chief Executive Officer, President, or any other officer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203" w:lineRule="exact"/>
        <w:rPr>
          <w:sz w:val="20"/>
          <w:szCs w:val="20"/>
          <w:color w:val="auto"/>
        </w:rPr>
      </w:pPr>
    </w:p>
    <w:p>
      <w:pPr>
        <w:jc w:val="both"/>
        <w:ind w:firstLine="531"/>
        <w:spacing w:after="0" w:line="249" w:lineRule="auto"/>
        <w:rPr>
          <w:sz w:val="20"/>
          <w:szCs w:val="20"/>
          <w:color w:val="auto"/>
        </w:rPr>
      </w:pPr>
      <w:r>
        <w:rPr>
          <w:rFonts w:ascii="Times New Roman" w:cs="Times New Roman" w:eastAsia="Times New Roman" w:hAnsi="Times New Roman"/>
          <w:sz w:val="17"/>
          <w:szCs w:val="17"/>
          <w:color w:val="auto"/>
        </w:rPr>
        <w:t xml:space="preserve">Section 9.15. </w:t>
      </w: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 xml:space="preserve">. The Board shall have the power to adopt, amend, alter or repeal the Bylaws. The affirmative vote of a majority of the Board shall be required to adopt, amend, alter or repeal the Bylaws. The Bylaws also may be adopted, amended, altered or repealed by the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addition to any vote of the holders of any class or series of capital stock of the Corporation required by applicable law or the Certificate of Incorporation, the affirmative vote of the holders of at least a majority of the voting (except as otherwise provided in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power of all outstanding shares of capital stock of the Corporation entitled to vote generally in the election of directors, voting together as a single class, shall be required for the stockholders to adopt, amend, alter or repeal the Bylaws.</w:t>
      </w:r>
    </w:p>
    <w:p>
      <w:pPr>
        <w:spacing w:after="0" w:line="199" w:lineRule="exact"/>
        <w:rPr>
          <w:sz w:val="20"/>
          <w:szCs w:val="20"/>
          <w:color w:val="auto"/>
        </w:rPr>
      </w:pPr>
    </w:p>
    <w:p>
      <w:pPr>
        <w:jc w:val="both"/>
        <w:ind w:firstLine="531"/>
        <w:spacing w:after="0" w:line="243"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b w:val="1"/>
          <w:bCs w:val="1"/>
          <w:color w:val="auto"/>
        </w:rPr>
        <w:t>Exclusive Forum; Exclusive Jurisdiction</w:t>
      </w:r>
      <w:r>
        <w:rPr>
          <w:rFonts w:ascii="Times New Roman" w:cs="Times New Roman" w:eastAsia="Times New Roman" w:hAnsi="Times New Roman"/>
          <w:sz w:val="17"/>
          <w:szCs w:val="17"/>
          <w:color w:val="auto"/>
        </w:rPr>
        <w:t xml:space="preserve">. Unless the Corporation consents in writing to the selection of an alternative forum, the Court of Chancery in the State of Delaware shall be the sole and exclusive forum for any stockholder (including a beneficial owner) to bring: (a) any derivative action or proceeding brought on behalf of the Corporation; (b) any action asserting a claim of breach of fiduciary duty owed by any director, officer or other employee of the Corporation to the Corporation or the Corporation's stockholders; (c) any action asserting a claim against the Corporation, its directors, officers or employees arising pursuant to any provision of the DGCL or the Corporation's certificate of incorporation or bylaws; or (d) any action asserting a claim against the Corporation, its directors, officers or employees governed by the internal affairs doctrine, except for, as to each of (a) through (d)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Unless the Corporation consents in writing to the selection of an alternative forum, to the fullest extent permitted by law, the federal district courts of the United States will be the exclusive forum for resolving any complaint asserting a cause of action arising under the federal securities laws of the United States against the Corporation, its officers, directors, employees and/or underwriters. To the fullest extent permitted by law, any person or entity purchasing or otherwise acquiring or holding any interest in shares of capital stock of the Corporation shall be deemed to have notice of and consented to the provisions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If any provision or provisions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(including, without limitation, each portion of any sentence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ectPr>
          <w:pgSz w:w="11900" w:h="16838" w:orient="portrait"/>
          <w:cols w:equalWidth="0" w:num="1">
            <w:col w:w="11240"/>
          </w:cols>
          <w:pgMar w:left="320" w:top="136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June 13, 2022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name of the corporation is SpringBig Holdings,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 EFFECTIVENESS</w:t>
      </w:r>
    </w:p>
    <w:p>
      <w:pPr>
        <w:spacing w:after="0" w:line="239"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The Corporation is being incorporated in connection with the domestication of Tuatara Capital Acquisition Corporation, a Cayman Islands exempted company (“</w:t>
      </w:r>
      <w:r>
        <w:rPr>
          <w:rFonts w:ascii="Times New Roman" w:cs="Times New Roman" w:eastAsia="Times New Roman" w:hAnsi="Times New Roman"/>
          <w:sz w:val="17"/>
          <w:szCs w:val="17"/>
          <w:b w:val="1"/>
          <w:bCs w:val="1"/>
          <w:color w:val="auto"/>
        </w:rPr>
        <w:t>Tuatara</w:t>
      </w:r>
      <w:r>
        <w:rPr>
          <w:rFonts w:ascii="Times New Roman" w:cs="Times New Roman" w:eastAsia="Times New Roman" w:hAnsi="Times New Roman"/>
          <w:sz w:val="17"/>
          <w:szCs w:val="17"/>
          <w:color w:val="auto"/>
        </w:rPr>
        <w:t>”), as a Delaware corporation in accordance with Section 388 of the DGCL and Part XII of the Cayman Islands Companies Act (2021 Revision) (the “</w:t>
      </w:r>
      <w:r>
        <w:rPr>
          <w:rFonts w:ascii="Times New Roman" w:cs="Times New Roman" w:eastAsia="Times New Roman" w:hAnsi="Times New Roman"/>
          <w:sz w:val="17"/>
          <w:szCs w:val="17"/>
          <w:b w:val="1"/>
          <w:bCs w:val="1"/>
          <w:color w:val="auto"/>
        </w:rPr>
        <w:t>Domestication</w:t>
      </w:r>
      <w:r>
        <w:rPr>
          <w:rFonts w:ascii="Times New Roman" w:cs="Times New Roman" w:eastAsia="Times New Roman" w:hAnsi="Times New Roman"/>
          <w:sz w:val="17"/>
          <w:szCs w:val="17"/>
          <w:color w:val="auto"/>
        </w:rPr>
        <w:t>”). This Certificate of Incorporation is being filed simultaneously with the Certificate of Corporate Domestication of Tuatara and shall be effective upon the effectiveness of the Domestication.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AGENT</w:t>
      </w:r>
    </w:p>
    <w:p>
      <w:pPr>
        <w:spacing w:after="0" w:line="239"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1209 Orange Street, in the City of Wilmington, County of New Castle, State of Delaware, 19801, and the name of the Corporation’s registered agent at such address is The Corporation Trust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37"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b w:val="1"/>
          <w:bCs w:val="1"/>
          <w:color w:val="auto"/>
        </w:rPr>
        <w:t>Authorized Capital Stock.</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the total number of shares of all classes of capital stock, each with a par value of $0.0001 per share, which the Corporation is authorized to issue is 350,000,000 shares, consisting of (a) 300,000,000 shares of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(b) 50,000,000 shares of preferred stock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xml:space="preserve"> The Preferred Stock may be issued from time to time in one or more series. The Board is hereby expressly authorized to provide for the issuance of shares of the Preferred Stock in one or more series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7"/>
          <w:szCs w:val="17"/>
          <w:b w:val="1"/>
          <w:bCs w:val="1"/>
          <w:color w:val="auto"/>
        </w:rPr>
        <w:t>Preferred Stock Designation</w:t>
      </w:r>
      <w:r>
        <w:rPr>
          <w:rFonts w:ascii="Times New Roman" w:cs="Times New Roman" w:eastAsia="Times New Roman" w:hAnsi="Times New Roman"/>
          <w:sz w:val="17"/>
          <w:szCs w:val="17"/>
          <w:color w:val="auto"/>
        </w:rPr>
        <w:t>”) filed pursuant to the DGCL, and the Board is hereby expressly vested with the authority to the full extent provided by law, now or hereafter, to adopt any such resolution or resolutions.</w:t>
      </w:r>
    </w:p>
    <w:p>
      <w:pPr>
        <w:sectPr>
          <w:pgSz w:w="11900" w:h="16838" w:orient="portrait"/>
          <w:cols w:equalWidth="0" w:num="1">
            <w:col w:w="11240"/>
          </w:cols>
          <w:pgMar w:left="320" w:top="1365" w:right="339" w:bottom="1440" w:gutter="0" w:footer="0" w:header="0"/>
        </w:sectPr>
      </w:pPr>
    </w:p>
    <w:bookmarkStart w:id="114" w:name="page115"/>
    <w:bookmarkEnd w:id="114"/>
    <w:p>
      <w:pPr>
        <w:ind w:left="36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b w:val="1"/>
          <w:bCs w:val="1"/>
          <w:color w:val="auto"/>
        </w:rPr>
        <w:t>Common Stock.</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(a)  Except as otherwise required by law or this Certificate of Incorporation (including any Preferred Stock Designation), the holders of the Common Stock shall exclusively possess all voting power with respect to the Corporation. The holders of shares of Common Stock shall be entitled to one vote for each such share on each matter properly submitted to the stockholders on which the holders of the Common Stock are entitled to vote.</w:t>
      </w:r>
    </w:p>
    <w:p>
      <w:pPr>
        <w:spacing w:after="0" w:line="188"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(b)  Except as otherwise required by law or this Certificate of Incorporation (including any Preferred Stock Designation), at any annual or special meeting of the stockholders of the Corporation, the holders of the Common Stock shall have the exclusive right to vote for the election of directors and on all other matters properly submitted to a vote of the stockholders. Notwithstanding the foregoing, except as otherwise required by law or this Certificate of Incorporation (including any Preferred Stock Designation), the holders of shares of Common Stock shall not be entitled to vote on any amendment to this Certificate of Incorporation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 or the DGCL.</w:t>
      </w:r>
    </w:p>
    <w:p>
      <w:pPr>
        <w:spacing w:after="0" w:line="203"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(c)  Subject to the rights, if any, of the holders of any outstanding series of the Preferred Stock, the holders of the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395" w:lineRule="exact"/>
        <w:rPr>
          <w:sz w:val="20"/>
          <w:szCs w:val="20"/>
          <w:color w:val="auto"/>
        </w:rPr>
      </w:pPr>
    </w:p>
    <w:p>
      <w:pPr>
        <w:jc w:val="both"/>
        <w:ind w:firstLine="349"/>
        <w:spacing w:after="0" w:line="252"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b w:val="1"/>
          <w:bCs w:val="1"/>
          <w:color w:val="auto"/>
        </w:rPr>
        <w:t>Rights and Options</w:t>
      </w:r>
      <w:r>
        <w:rPr>
          <w:rFonts w:ascii="Times New Roman" w:cs="Times New Roman" w:eastAsia="Times New Roman" w:hAnsi="Times New Roman"/>
          <w:sz w:val="17"/>
          <w:szCs w:val="17"/>
          <w:color w:val="auto"/>
        </w:rPr>
        <w:t xml:space="preserve">. The Corporation has the authority to create and issue rights, warrants and options entitling the holders thereof to purchase shares of any class or series of the Corporation’s capital stock or other securities of the Corporation, and such rights, warrants and options shall be evidenced by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consideration to be received for any shares of capital stock subject thereto may not be less than the par value thereof.</w:t>
      </w:r>
    </w:p>
    <w:p>
      <w:pPr>
        <w:spacing w:after="0" w:line="180"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b w:val="1"/>
          <w:bCs w:val="1"/>
          <w:color w:val="auto"/>
        </w:rPr>
        <w:t>No Class Vote on Changes in Authorized Number of Shares of Stock</w:t>
      </w:r>
      <w:r>
        <w:rPr>
          <w:rFonts w:ascii="Times New Roman" w:cs="Times New Roman" w:eastAsia="Times New Roman" w:hAnsi="Times New Roman"/>
          <w:sz w:val="17"/>
          <w:szCs w:val="17"/>
          <w:color w:val="auto"/>
        </w:rPr>
        <w:t>. Subject to the rights of the holders of any outstanding series of Preferred Stock, the number of authorized shares of any class or classes of stock may be increased or decreased (but not below the number of shares thereof then outstanding) by the affirmative vote of at least a majority of the voting power of the stock entitled to vote thereon irrespective of the provisions of Section 242(b)(2) of the DGCL.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37"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b w:val="1"/>
          <w:bCs w:val="1"/>
          <w:color w:val="auto"/>
        </w:rPr>
        <w:t>Board Powers</w:t>
      </w:r>
      <w:r>
        <w:rPr>
          <w:rFonts w:ascii="Times New Roman" w:cs="Times New Roman" w:eastAsia="Times New Roman" w:hAnsi="Times New Roman"/>
          <w:sz w:val="17"/>
          <w:szCs w:val="17"/>
          <w:color w:val="auto"/>
        </w:rPr>
        <w:t>. The business and affairs of the Corporation shall be managed by, or under the direction of, the Board. In addition to the powers and authority expressly conferred upon the Board by statute, this Certificate of Incorporation or the current Bylaws of the Corporation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the Board is hereby empowered to exercise all such powers and do all such acts and things as may be exercised or done by the Corporation, subject, nevertheless, to the provisions of the DGCL and this Certificate of Incorporation and the Bylaws.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b w:val="1"/>
          <w:bCs w:val="1"/>
          <w:color w:val="auto"/>
        </w:rPr>
        <w:t>Number, Election and Term</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(a)  The number of directors of the Corporation shall (i) as of the date of this Certificate of Incorporation, be seven (7), and (ii) thereafter, be fixed from time to time exclusively by the Board pursuant to a resolution adopted by a majority of the Board.</w:t>
      </w:r>
    </w:p>
    <w:p>
      <w:pPr>
        <w:spacing w:after="0" w:line="159"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 xml:space="preserve">(b)  Subject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Certificate of Incorporation; the term of the initial Class II Directors shall expire at the second annual meeting of the stockholders of the Corporation following the effectiveness of this Certificate of Incorporation; and the term of the initial Class III</w:t>
      </w:r>
    </w:p>
    <w:p>
      <w:pPr>
        <w:sectPr>
          <w:pgSz w:w="11900" w:h="16838" w:orient="portrait"/>
          <w:cols w:equalWidth="0" w:num="1">
            <w:col w:w="11240"/>
          </w:cols>
          <w:pgMar w:left="320" w:top="1365" w:right="339" w:bottom="1440" w:gutter="0" w:footer="0" w:header="0"/>
        </w:sectPr>
      </w:pPr>
    </w:p>
    <w:bookmarkStart w:id="115" w:name="page116"/>
    <w:bookmarkEnd w:id="115"/>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Directors shall expire at the third annual meeting of the stockholders of the Corporation following the effectiveness of this Certificate of Incorporation. At each succeeding annual meeting of the stockholders of the Corporation, beginning with the first annual meeting of the stockholders of the Corporation following the effectiveness of this Certificate of Incorporation, successors to the class of directors whose term expires at that annual meeting shall be elected for a three-year term. Subject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w:t>
      </w:r>
    </w:p>
    <w:p>
      <w:pPr>
        <w:spacing w:after="0" w:line="199"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7"/>
          <w:szCs w:val="17"/>
          <w:color w:val="auto"/>
        </w:rPr>
        <w:t xml:space="preserve">(c)  Subject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5"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(d)  There shall be no cumulative voting in the election of directors. Unless and except to the extent that the Bylaws shall so require, the election of directors need not be by written ballot.</w:t>
      </w:r>
    </w:p>
    <w:p>
      <w:pPr>
        <w:spacing w:after="0" w:line="170" w:lineRule="exact"/>
        <w:rPr>
          <w:sz w:val="20"/>
          <w:szCs w:val="20"/>
          <w:color w:val="auto"/>
        </w:rPr>
      </w:pPr>
    </w:p>
    <w:p>
      <w:pPr>
        <w:jc w:val="both"/>
        <w:ind w:firstLine="349"/>
        <w:spacing w:after="0" w:line="250"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b w:val="1"/>
          <w:bCs w:val="1"/>
          <w:color w:val="auto"/>
        </w:rPr>
        <w:t>Newly Created Directorships and Vacancies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hereof, newly created directorships resulting from an increase in the number of directors and any vacancies on the Board resulting from death, resignation, retirement, disqualification, removal or other cause shall be filled solely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39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b w:val="1"/>
          <w:bCs w:val="1"/>
          <w:color w:val="auto"/>
        </w:rPr>
        <w:t>Removal</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hereof, any or all of the directors may be removed from office at any time, but only for cause and only by the affirmative vote of holders of at least two-thirds of the voting power of all then outstanding shares of capital stock of the Corporation entitled to vote generally in the election of directors, voting together as a single class.</w:t>
      </w:r>
    </w:p>
    <w:p>
      <w:pPr>
        <w:spacing w:after="0" w:line="186"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b w:val="1"/>
          <w:bCs w:val="1"/>
          <w:color w:val="auto"/>
        </w:rPr>
        <w:t>Preferred Stock - Directors</w:t>
      </w:r>
      <w:r>
        <w:rPr>
          <w:rFonts w:ascii="Times New Roman" w:cs="Times New Roman" w:eastAsia="Times New Roman" w:hAnsi="Times New Roman"/>
          <w:sz w:val="17"/>
          <w:szCs w:val="17"/>
          <w:color w:val="auto"/>
        </w:rPr>
        <w:t xml:space="preserve">. Notwithstanding any other provision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of Incorporation (including any Preferred Stock Designation) and such directors shall not be included in any of the classes created pursuant to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unless expressly provided by such terms.</w:t>
      </w:r>
    </w:p>
    <w:p>
      <w:pPr>
        <w:spacing w:after="0" w:line="20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217"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 xml:space="preserve">In furtherance and not in limitation of the powers conferred upon it by law, the Board shall have the power to adopt, amend, alter or repeal the Bylaws. The affirmative vote of a majority of the Board shall be required to adopt, amend, alter or repeal the Bylaws. The Bylaws also may be adopted, amended, altered or repealed by the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addition to any vote of the holders of any class or series of capital stock of the Corporation required by law or by this Certificate of Incorporation (including any Preferred Stock Designation), the affirmative vote of the holders of at least two-thirds of the voting power of all then outstanding shares of capital stock of the Corporation entitled to vote generally in the election of directors, voting together as a single class, shall be required for the stockholders to adopt, amend, alter or repeal the Bylaws;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however, that no Bylaws hereafter adopted by the stockholders shall invalidate any prior act of the Board that would have been valid if such Bylaws had not been adopted.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MEETINGS OF STOCKHOLDERS; NO ACTION BY WRITTEN CONSENT</w:t>
      </w:r>
    </w:p>
    <w:p>
      <w:pPr>
        <w:sectPr>
          <w:pgSz w:w="11900" w:h="16838" w:orient="portrait"/>
          <w:cols w:equalWidth="0" w:num="1">
            <w:col w:w="11240"/>
          </w:cols>
          <w:pgMar w:left="320" w:top="1367" w:right="339" w:bottom="1440" w:gutter="0" w:footer="0" w:header="0"/>
        </w:sectPr>
      </w:pPr>
    </w:p>
    <w:bookmarkStart w:id="116" w:name="page117"/>
    <w:bookmarkEnd w:id="116"/>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b w:val="1"/>
          <w:bCs w:val="1"/>
          <w:color w:val="auto"/>
        </w:rPr>
        <w:t>Meetings</w:t>
      </w:r>
      <w:r>
        <w:rPr>
          <w:rFonts w:ascii="Times New Roman" w:cs="Times New Roman" w:eastAsia="Times New Roman" w:hAnsi="Times New Roman"/>
          <w:sz w:val="17"/>
          <w:szCs w:val="17"/>
          <w:color w:val="auto"/>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to call a special meeting is hereby specifically denied.</w:t>
      </w:r>
    </w:p>
    <w:p>
      <w:pPr>
        <w:spacing w:after="0" w:line="186" w:lineRule="exact"/>
        <w:rPr>
          <w:sz w:val="20"/>
          <w:szCs w:val="20"/>
          <w:color w:val="auto"/>
        </w:rPr>
      </w:pPr>
    </w:p>
    <w:p>
      <w:pPr>
        <w:jc w:val="both"/>
        <w:ind w:firstLine="349"/>
        <w:spacing w:after="0" w:line="283"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b w:val="1"/>
          <w:bCs w:val="1"/>
          <w:color w:val="auto"/>
        </w:rPr>
        <w:t>Advance Notice</w:t>
      </w:r>
      <w:r>
        <w:rPr>
          <w:rFonts w:ascii="Times New Roman" w:cs="Times New Roman" w:eastAsia="Times New Roman" w:hAnsi="Times New Roman"/>
          <w:sz w:val="17"/>
          <w:szCs w:val="17"/>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8" w:lineRule="exact"/>
        <w:rPr>
          <w:sz w:val="20"/>
          <w:szCs w:val="20"/>
          <w:color w:val="auto"/>
        </w:rPr>
      </w:pPr>
    </w:p>
    <w:p>
      <w:pPr>
        <w:jc w:val="both"/>
        <w:ind w:firstLine="349"/>
        <w:spacing w:after="0" w:line="283"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b w:val="1"/>
          <w:bCs w:val="1"/>
          <w:color w:val="auto"/>
        </w:rPr>
        <w:t>No Action by Written Consent</w:t>
      </w:r>
      <w:r>
        <w:rPr>
          <w:rFonts w:ascii="Times New Roman" w:cs="Times New Roman" w:eastAsia="Times New Roman" w:hAnsi="Times New Roman"/>
          <w:sz w:val="17"/>
          <w:szCs w:val="17"/>
          <w:color w:val="auto"/>
        </w:rPr>
        <w:t>. Any action required or permitted to be taken by the stockholders of the Corporation must be effected by a duly called annual or special meeting of such stockholders and may not be effected by written consent of the stockholders.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INDEMNIFICATION</w:t>
      </w:r>
    </w:p>
    <w:p>
      <w:pPr>
        <w:spacing w:after="0" w:line="215"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b w:val="1"/>
          <w:bCs w:val="1"/>
          <w:color w:val="auto"/>
        </w:rPr>
        <w:t>Limitation of Director Liability</w:t>
      </w:r>
      <w:r>
        <w:rPr>
          <w:rFonts w:ascii="Times New Roman" w:cs="Times New Roman" w:eastAsia="Times New Roman" w:hAnsi="Times New Roman"/>
          <w:sz w:val="17"/>
          <w:szCs w:val="17"/>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b w:val="1"/>
          <w:bCs w:val="1"/>
          <w:color w:val="auto"/>
        </w:rPr>
        <w:t>Indemnification and Advancement of Expenses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7"/>
          <w:szCs w:val="17"/>
          <w:color w:val="auto"/>
        </w:rPr>
        <w:t>(a)  To the fullest extent permitted by Delaware law, as the same exists or may hereafter be amended, the Corporation shall indemnify, defend and hold harmless each person who is or was made a party or is threatened to be made a party to or is otherwise involved in any threatened, pending or completed action, suit, investigation, arbitration or proceeding, whether civil, criminal, administrative or investigative, including an action by or in the right of the Corporation to procure a judgment in its favor (each,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any of its subsidiaries or, while a director or officer of the Corporation or any of its subsidiaries,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and disbursements, judgments, fines, ERISA excise taxes, damages, claims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or otherwise. The rights to indemnification and advancement of expenses conferred by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20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 xml:space="preserve">(b)  The rights to indemnification and advancement of expenses conferred on any indemnitee by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not be exclusive of any other rights that any indemnitee may have or hereafter acquire under law, this Certificate of Incorporation, the Bylaws, an agreement, vote of stockholders or disinterested directors, or otherwise.</w:t>
      </w:r>
    </w:p>
    <w:p>
      <w:pPr>
        <w:sectPr>
          <w:pgSz w:w="11900" w:h="16838" w:orient="portrait"/>
          <w:cols w:equalWidth="0" w:num="1">
            <w:col w:w="11240"/>
          </w:cols>
          <w:pgMar w:left="320" w:top="1365" w:right="339" w:bottom="1440" w:gutter="0" w:footer="0" w:header="0"/>
        </w:sectPr>
      </w:pPr>
    </w:p>
    <w:bookmarkStart w:id="117" w:name="page118"/>
    <w:bookmarkEnd w:id="117"/>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 xml:space="preserve">(c)  Any repeal or amendment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by the stockholders of the Corporation or by changes in law, or the adoption of any other provision of this Certificate of Incorporation inconsistent with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99"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7"/>
          <w:szCs w:val="17"/>
          <w:color w:val="auto"/>
        </w:rPr>
        <w:t xml:space="preserve">(d)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not limit the right of the Corporation, to the extent and in the manner authorized or permitted by law, to indemnify and to advance expenses to persons other than indemnitees.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OPPORTUNITY</w:t>
      </w:r>
    </w:p>
    <w:p>
      <w:pPr>
        <w:spacing w:after="0" w:line="239"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The doctrine of corporate opportunity, or any other analogous doctrine, shall not apply with respect to the Corporation or any of its officers or directors, or any of their respective affiliates, in circumstances where the application of any such doctrine to a corporate opportunity would conflict with any fiduciary duties or contractual obligations they may have as of the date of this Certificate of Incorporation or in the future. In addition to the foregoing,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99"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 xml:space="preserve">Neither the alteration, amendment, addition to or repeal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nor the adoption of any provision of this Certificate of Incorporation (including any Preferred Stock Designation) inconsistent with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eliminate or reduce the effect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would accrue or arise, prior to such alteration, amendment, addition, repeal or adoption.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not limit any protections or defenses available to, or indemnification or advancement rights of, any director or officer of the Corporation under this Certificate of Incorporation, the Bylaws or applicable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CERTIFICATE OF INCORPORATION</w:t>
      </w:r>
    </w:p>
    <w:p>
      <w:pPr>
        <w:spacing w:after="0" w:line="239"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auto"/>
        </w:rPr>
        <w:t xml:space="preserve">The Corporation reserves the right at any time and from time to time to amend, alter, change or repeal any provision contained in this Certificate of Incorporation (including any Preferred Stock Designation), in the manner now or hereafter prescribed by this Certificate of Incorporation and the DGCL, and, except as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all rights, preferences and privileges herein conferred upon stockholders, directors or any other persons by and pursuant to this Certificate of Incorporation in its present form or as hereafter amended are granted subject to the right reserved in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Notwithstanding anything to the contrary contained in this Certificate of Incorporation, and notwithstanding that a lesser percentage may be permitted from time to time by applicable law, no provision of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the affirmative vote of the holders of at least two thirds of the voting power of the outstanding shares of capital stock of the Corporation entitled to vote generally in the election of directors, voting together as a single class.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FORUM FOR ADJUDICATION OF DISPUTES</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Section 11.1 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w:t>
      </w:r>
    </w:p>
    <w:p>
      <w:pPr>
        <w:sectPr>
          <w:pgSz w:w="11900" w:h="16838" w:orient="portrait"/>
          <w:cols w:equalWidth="0" w:num="1">
            <w:col w:w="11240"/>
          </w:cols>
          <w:pgMar w:left="320" w:top="1367" w:right="339" w:bottom="1440" w:gutter="0" w:footer="0" w:header="0"/>
        </w:sectPr>
      </w:pPr>
    </w:p>
    <w:bookmarkStart w:id="118" w:name="page119"/>
    <w:bookmarkEnd w:id="118"/>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Company arising out of or pursuant to any provision of the DGCL,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DGCL confers jurisdiction to the Court of Chancery of the State of Delaware; or (F)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not apply to suits brought to enforce a duty or liability created by the Securities Exchange Act of 1934, as amended, or any other claim for which the federal courts have exclusive jurisdiction.</w:t>
      </w:r>
    </w:p>
    <w:p>
      <w:pPr>
        <w:spacing w:after="0" w:line="208"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 xml:space="preserve">Section 11.2  If any action the subject matter of which is within the scope of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is filed in a court other than a court located within the State of Delaware (a “</w:t>
      </w:r>
      <w:r>
        <w:rPr>
          <w:rFonts w:ascii="Times New Roman" w:cs="Times New Roman" w:eastAsia="Times New Roman" w:hAnsi="Times New Roman"/>
          <w:sz w:val="17"/>
          <w:szCs w:val="17"/>
          <w:b w:val="1"/>
          <w:bCs w:val="1"/>
          <w:color w:val="auto"/>
        </w:rPr>
        <w:t>Foreign Action</w:t>
      </w:r>
      <w:r>
        <w:rPr>
          <w:rFonts w:ascii="Times New Roman" w:cs="Times New Roman" w:eastAsia="Times New Roman" w:hAnsi="Times New Roman"/>
          <w:sz w:val="17"/>
          <w:szCs w:val="17"/>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(an “</w:t>
      </w:r>
      <w:r>
        <w:rPr>
          <w:rFonts w:ascii="Times New Roman" w:cs="Times New Roman" w:eastAsia="Times New Roman" w:hAnsi="Times New Roman"/>
          <w:sz w:val="17"/>
          <w:szCs w:val="17"/>
          <w:b w:val="1"/>
          <w:bCs w:val="1"/>
          <w:color w:val="auto"/>
        </w:rPr>
        <w:t>Enforcement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and (ii) having service of process made upon such stockholder in any such Enforcement Action by service upon such stockholder’s counsel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Foreign Action as agent for such stockholder.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0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ARTICLE XII</w:t>
            </w:r>
          </w:p>
        </w:tc>
      </w:tr>
      <w:tr>
        <w:trPr>
          <w:trHeight w:val="433"/>
        </w:trPr>
        <w:tc>
          <w:tcPr>
            <w:tcW w:w="4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name and mailing address of the incorporator are: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3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Mailing Address</w:t>
            </w:r>
          </w:p>
        </w:tc>
        <w:tc>
          <w:tcPr>
            <w:tcW w:w="76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Albert Foreman</w:t>
            </w:r>
          </w:p>
        </w:tc>
        <w:tc>
          <w:tcPr>
            <w:tcW w:w="32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655 Third Avenue, 8th Floor</w:t>
            </w:r>
          </w:p>
        </w:tc>
      </w:tr>
      <w:tr>
        <w:trPr>
          <w:trHeight w:val="228"/>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New York, New York 10017</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of Incorporation as of the date first set forth above.</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37465</wp:posOffset>
            </wp:positionV>
            <wp:extent cx="31261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Albert Foreman</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Incorporator</w:t>
      </w:r>
    </w:p>
    <w:p>
      <w:pPr>
        <w:sectPr>
          <w:pgSz w:w="11900" w:h="16838" w:orient="portrait"/>
          <w:cols w:equalWidth="0" w:num="1">
            <w:col w:w="11240"/>
          </w:cols>
          <w:pgMar w:left="320" w:top="136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37"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our securities is not intended to be a complete summary of the rights and preferences of such securities, and is qualified by reference to our charter, our bylaws and the warrant-related documents described herein, which are exhibits to the Annual Report on Form 10-K of which this exhibit is a part. We urge to you read each of the charter and the bylaws (each as defined below), as well as the warrant-related documents, described herein in their entirety for a complete description of the rights and preferences of our securities. Unless the context indicates otherwise, references in this exhibit to the “Company,” “SpringBig,” “we,” “us,” “our” and similar terms refer to SpringBig Holdings, Inc., a Delaware corporation, and its consolidated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39"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are a corporation organized under the law of Delaware. On June 13, 2022, in anticipation of the consummation of the merger of Merger Sub within and into Legacy SpringBig (each as defined below) and the business combination of Tuatara (as defined below) and Legacy SpringBig, Tuatara changed its jurisdiction of incorporation by deregistering as a Cayman Islands exempted company and continuing and domesticating as a corporation incorporated under the laws of the State of Delaware (the “Domestication”). Subsequently, in connection with the Domestication, Tuatara changed its name to “SpringBig Holdings, Inc.” and adopted the Certificate of Incorporation (the “charter”) and Bylaws (the “bylaws”) under Delaware law.</w:t>
      </w:r>
    </w:p>
    <w:p>
      <w:pPr>
        <w:spacing w:after="0" w:line="197"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There have been no public takeover offers by third parties for our shares nor any public takeover offers by us for the shares of another company that have occurred during the last or current financial years.</w:t>
      </w:r>
    </w:p>
    <w:p>
      <w:pPr>
        <w:spacing w:after="0" w:line="172"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“Legacy SpringBig” means SpringBig, Inc., a Delaware corporation, prior to the business combination, and a wholly-owned subsidiary of SpringBig following the business combination. “Tuatara” means Tuatara Capital Acquisition Corporation, an exempted company incorporated under the laws of the Cayman Islands, the predecessor entity to SpringBig. “Merger Sub” means HighJump Merger Sub, Inc., a Delaware corporation and a wholly owned direct subsidiary of Tuatara.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charter of SpringBig authorizes the issuance of an aggregate of 350,000,000 shares of capital stock, consisting of 300,000,000 shares of common stock, $0.0001 par value per share (“Common Shares” or “common stock”), and 50,000,000 shares of preferred stock, $0.0001 par value per share. Unless our Board of Directors determines otherwise, SpringBig will issue all shares of capital stock in uncertificated form.</w:t>
      </w:r>
    </w:p>
    <w:p>
      <w:pPr>
        <w:spacing w:after="0" w:line="188"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As of March 27, 2024, we had 45,594,864 Common Shares issued and outstanding. All of our issued Common Shares are duly authorized, validly issued, fully paid and non-assessable.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39"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Each holder of the shares of common stock is entitled to one vote for each share of common stock held of record by such holder on all matters on which shareholders generally are entitled to vote. The holders of the shares of common stock do not have cumulative voting rights in the election of directors. Generally, all matters to be voted on by shareholders must be approved by a majority (or, in the case of election of directors, by a plurality) of the votes entitled to be cast by all shareholders present in person or represented by proxy, voting together as a single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Election of Directors</w:t>
      </w:r>
    </w:p>
    <w:p>
      <w:pPr>
        <w:spacing w:after="0" w:line="20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charter provides for a classified board of directors that is divided into three classes with staggered three-year terms. The election of directors shall be determined by a plurality of the votes cast by the stockholders present in person or represented by proxy at the meeting and entitled to vote thereon. The charter does not provide for cumulative voting for the election of directors.</w:t>
      </w:r>
    </w:p>
    <w:p>
      <w:pPr>
        <w:sectPr>
          <w:pgSz w:w="11900" w:h="16838" w:orient="portrait"/>
          <w:cols w:equalWidth="0" w:num="1">
            <w:col w:w="11240"/>
          </w:cols>
          <w:pgMar w:left="320" w:top="1365" w:right="339" w:bottom="1440" w:gutter="0" w:footer="0" w:header="0"/>
        </w:sectPr>
      </w:pPr>
    </w:p>
    <w:bookmarkStart w:id="120" w:name="page121"/>
    <w:bookmarkEnd w:id="120"/>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common stock are entitled to receive ratably such dividends, if any, as may be declared from time to time by the Board of Directors of SpringBig out of funds legally available therefor.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SpringBig’s affairs, the holders of the shares of common stock are entitled to share ratably in all assets remaining after payment of SpringBig’s debts and other liabilities, subject to prior distribution rights of preferred stock or any class or series of stock having a preference over the shares of common stock, then outstanding, if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3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holders of shares of common stock have no preemptive or conversion rights or other subscription rights. There are no redemption or sinking fund provisions applicable to the shares of common stock. The rights, preferences and privileges of holders of shares of common stock will be subject to those of the holders of any shares of the preferred stock SpringBig may issue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39"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 xml:space="preserve">No shares of preferred stock are currently issued or outstanding. Our charter authorizes the Board of Directors of SpringBig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the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205"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The issuance of preferred stock may have the effect of delaying, deferring or preventing a change in control of SpringBig without further action by the shareholders. Additionally, the issuance of preferred stock may adversely affect the holders of the common stock of SpringBig by restricting dividends on the shares of common stock, diluting the voting power of the shares of common stock or subordinating the liquidation rights of the shares of common stock. As a result of these or other factors, the issuance of preferred stock could have an adverse impact on the market price of the shares of common stock. At present, we have no plans to issue any preferred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Shareholders’ Warrants</w:t>
      </w:r>
    </w:p>
    <w:p>
      <w:pPr>
        <w:spacing w:after="0" w:line="239"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Each whole public warrant originally issued in the initial public offering of Tuatara (the “public warrants”) entitles the registered holder to purchase one share of common stock at a price of $11.50 per share, subject to adjustment as discussed below, at any time commencing thirty (30) days after June 14, 2022 (the “Closing Date”), provided that we have an effective registration statement under the Securities Act of 1933, as amended (the “Securities Act”), covering the issuance of the shares of common stock issuable upon exercise of the public warrants and a current prospectus relating to them is available and such shares are registered, qualified or exempt from registration under the securities, or blue sky laws of the state of residence of the holder (or we permit holders to exercise their public warrants on a cashless basis under the circumstances specified in the Warrant Agreement, dated February 11, 2021, between the Company and Continental Stock Transfer &amp; Trust Company, as warrant agent (the “warrant agent”)). A warrant holder may exercise its public warrants only for a whole number of shares of common</w:t>
      </w:r>
    </w:p>
    <w:p>
      <w:pPr>
        <w:sectPr>
          <w:pgSz w:w="11900" w:h="16838" w:orient="portrait"/>
          <w:cols w:equalWidth="0" w:num="1">
            <w:col w:w="11240"/>
          </w:cols>
          <w:pgMar w:left="320" w:top="1440" w:right="339" w:bottom="1440" w:gutter="0" w:footer="0" w:header="0"/>
        </w:sectPr>
      </w:pPr>
    </w:p>
    <w:bookmarkStart w:id="121" w:name="page122"/>
    <w:bookmarkEnd w:id="121"/>
    <w:p>
      <w:pPr>
        <w:jc w:val="both"/>
        <w:spacing w:after="0" w:line="281" w:lineRule="auto"/>
        <w:rPr>
          <w:sz w:val="20"/>
          <w:szCs w:val="20"/>
          <w:color w:val="auto"/>
        </w:rPr>
      </w:pPr>
      <w:r>
        <w:rPr>
          <w:rFonts w:ascii="Times New Roman" w:cs="Times New Roman" w:eastAsia="Times New Roman" w:hAnsi="Times New Roman"/>
          <w:sz w:val="17"/>
          <w:szCs w:val="17"/>
          <w:color w:val="auto"/>
        </w:rPr>
        <w:t>stock. This means only a whole public warrant may be exercised at a given time by a public warrant holder. The public warrants will expire five years after the Closing Date, at 5:00 p.m., New York City time, or earlier upon redemption or liquidation.</w:t>
      </w:r>
    </w:p>
    <w:p>
      <w:pPr>
        <w:spacing w:after="0" w:line="172"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SpringBig will not be obligated to deliver any shares of common stock pursuant to the exercise of a public warrant and will have no obligation to settle such public warrant exercise unless a registration statement under the Securities Act covering the issuance of the shares of common stock issuable upon exercise is then effective and a prospectus relating thereto is current, subject to SpringBig satisfying its obligations described below with respect to registration, or a valid exemption from registration is available, including in connection with a cashless exercise permitted as a result of a notice of redemption. No public warrant will be exercisable for cash or on a cashless basis, and SpringBig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common stock underlying such unit.</w:t>
      </w:r>
    </w:p>
    <w:p>
      <w:pPr>
        <w:spacing w:after="0" w:line="203" w:lineRule="exact"/>
        <w:rPr>
          <w:sz w:val="20"/>
          <w:szCs w:val="20"/>
          <w:color w:val="auto"/>
        </w:rPr>
      </w:pPr>
    </w:p>
    <w:p>
      <w:pPr>
        <w:jc w:val="both"/>
        <w:ind w:firstLine="349"/>
        <w:spacing w:after="0" w:line="243" w:lineRule="auto"/>
        <w:rPr>
          <w:sz w:val="20"/>
          <w:szCs w:val="20"/>
          <w:color w:val="auto"/>
        </w:rPr>
      </w:pPr>
      <w:r>
        <w:rPr>
          <w:rFonts w:ascii="Times New Roman" w:cs="Times New Roman" w:eastAsia="Times New Roman" w:hAnsi="Times New Roman"/>
          <w:sz w:val="17"/>
          <w:szCs w:val="17"/>
          <w:color w:val="auto"/>
        </w:rPr>
        <w:t>We filed with the U.S. Securities and Exchange Commission (the “SEC”) and have an effective registration statement covering the issuance, under the Securities Act, of the shares of common stock issuable upon exercise of the public warrants, until the expiration of the public warrants. Notwithstanding the above, if the shares of common stock are, at the time of any exercise of a public warrant, not listed on a national securities exchange such that it satisfies the definition of a “covered security” under Section 18(b)(1) of the Securities Act, SpringBig may, at our option, require holders of public warrants who exercise their public warrants to do so on a “cashless basis” in accordance with Section 3(a)(9) of the Securities Act and, in the event SpringBig so elects, SpringBig will not be required to file or maintain in effect a registration statement, but will use our reasonable best efforts to qualify the shares under applicable blue sky laws to the extent an exemption is not available. In such event, each holder would pay the exercise price by surrendering each such warrant for that number of Common Shares equal to the lesser of (A) the quotient obtained by dividing (x) the product of the number of Common Shares underlying the warrants, multiplied by the excess of the “fair market value” less the exercise price of the warrants by (y) the fair market value and (B) 0.361 Class A shares per warrant. The “fair market value” as used in the preceding sentence shall mean the volume weighted average price of the Common Shares for the ten (10) trading days ending on the trading day prior to the date on which the notice of exercise is received by the warrant agent.</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may redeem the public warrants for redemption:</w:t>
      </w:r>
    </w:p>
    <w:p>
      <w:pPr>
        <w:spacing w:after="0" w:line="237" w:lineRule="exact"/>
        <w:rPr>
          <w:sz w:val="20"/>
          <w:szCs w:val="20"/>
          <w:color w:val="auto"/>
        </w:rPr>
      </w:pPr>
    </w:p>
    <w:p>
      <w:pPr>
        <w:ind w:left="620" w:hanging="30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thirty (30) days’ prior written notice of redemption to each public warrant holder; and</w:t>
      </w:r>
    </w:p>
    <w:p>
      <w:pPr>
        <w:spacing w:after="0" w:line="237"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sales price of the shares of common stock equals or exceeds $18.00 per share (as adjusted for share splits, share dividends, rights issuances, subdivisions, reorganizations, recapitalizations and the like) for any 20 trading days within a 30-trading day period ending on the third trading day prior to the date SpringBig sends the notice of redemption to the public warrant holders (the “Reference Value”).</w:t>
      </w:r>
    </w:p>
    <w:p>
      <w:pPr>
        <w:spacing w:after="0" w:line="188"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We will not redeem the warrants unless a registration statement under the Securities Act covering the issuance of the Common Shares issuable upon exercise of the warrants is then effective and a current prospectus relating to those Common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98"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If the foregoing conditions are satisfied and SpringBig issues a notice of redemption of the public warrants, each public warrant holder will be entitled to exercise his, her or its public warrant prior to the scheduled redemption</w:t>
      </w:r>
    </w:p>
    <w:p>
      <w:pPr>
        <w:sectPr>
          <w:pgSz w:w="11900" w:h="16838" w:orient="portrait"/>
          <w:cols w:equalWidth="0" w:num="1">
            <w:col w:w="11240"/>
          </w:cols>
          <w:pgMar w:left="320" w:top="1367" w:right="339" w:bottom="1440" w:gutter="0" w:footer="0" w:header="0"/>
        </w:sectPr>
      </w:pPr>
    </w:p>
    <w:bookmarkStart w:id="122" w:name="page123"/>
    <w:bookmarkEnd w:id="122"/>
    <w:p>
      <w:pPr>
        <w:spacing w:after="0" w:line="253" w:lineRule="auto"/>
        <w:rPr>
          <w:sz w:val="20"/>
          <w:szCs w:val="20"/>
          <w:color w:val="auto"/>
        </w:rPr>
      </w:pPr>
      <w:r>
        <w:rPr>
          <w:rFonts w:ascii="Times New Roman" w:cs="Times New Roman" w:eastAsia="Times New Roman" w:hAnsi="Times New Roman"/>
          <w:sz w:val="17"/>
          <w:szCs w:val="17"/>
          <w:color w:val="auto"/>
        </w:rPr>
        <w:t>date. However, the price of the shares of common stock may fall below the $18.00 redemption trigger price as well as the $11.50 public warrant exercise price after the redemption notice is issued.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Once the warrants become exercisable, SpringBig may also redeem on the following conditions:</w:t>
      </w:r>
    </w:p>
    <w:p>
      <w:pPr>
        <w:spacing w:after="0" w:line="217" w:lineRule="exact"/>
        <w:rPr>
          <w:sz w:val="20"/>
          <w:szCs w:val="20"/>
          <w:color w:val="auto"/>
        </w:rPr>
      </w:pPr>
    </w:p>
    <w:p>
      <w:pPr>
        <w:ind w:left="620" w:hanging="30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4" w:lineRule="exact"/>
        <w:rPr>
          <w:rFonts w:ascii="Times New Roman" w:cs="Times New Roman" w:eastAsia="Times New Roman" w:hAnsi="Times New Roman"/>
          <w:sz w:val="17"/>
          <w:szCs w:val="17"/>
          <w:color w:val="auto"/>
        </w:rPr>
      </w:pPr>
    </w:p>
    <w:p>
      <w:pPr>
        <w:ind w:left="640" w:right="140" w:hanging="320"/>
        <w:spacing w:after="0" w:line="265" w:lineRule="auto"/>
        <w:tabs>
          <w:tab w:leader="none" w:pos="6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based on the redemption date and the “fair market value” of our Common Shares;</w:t>
      </w:r>
    </w:p>
    <w:p>
      <w:pPr>
        <w:spacing w:after="0" w:line="184" w:lineRule="exact"/>
        <w:rPr>
          <w:rFonts w:ascii="Times New Roman" w:cs="Times New Roman" w:eastAsia="Times New Roman" w:hAnsi="Times New Roman"/>
          <w:sz w:val="17"/>
          <w:szCs w:val="17"/>
          <w:color w:val="auto"/>
        </w:rPr>
      </w:pPr>
    </w:p>
    <w:p>
      <w:pPr>
        <w:ind w:left="640" w:right="200" w:hanging="320"/>
        <w:spacing w:after="0" w:line="265" w:lineRule="auto"/>
        <w:tabs>
          <w:tab w:leader="none" w:pos="6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equals or exceeds $10.00 per share (as adjusted for adjustments to the number of shares issuable upon exercise or the exercise price of a warrant); and</w:t>
      </w:r>
    </w:p>
    <w:p>
      <w:pPr>
        <w:spacing w:after="0" w:line="171" w:lineRule="exact"/>
        <w:rPr>
          <w:rFonts w:ascii="Times New Roman" w:cs="Times New Roman" w:eastAsia="Times New Roman" w:hAnsi="Times New Roman"/>
          <w:sz w:val="17"/>
          <w:szCs w:val="17"/>
          <w:color w:val="auto"/>
        </w:rPr>
      </w:pPr>
    </w:p>
    <w:p>
      <w:pPr>
        <w:ind w:left="640" w:right="100" w:hanging="320"/>
        <w:spacing w:after="0" w:line="265" w:lineRule="auto"/>
        <w:tabs>
          <w:tab w:leader="none" w:pos="6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for adjustments to the number of shares issuable upon exercise or the exercise price of a warrant), the private placement warrants must also concurrently be called for redemption on the same terms as the outstanding public warrants.</w:t>
      </w:r>
    </w:p>
    <w:p>
      <w:pPr>
        <w:spacing w:after="0" w:line="185"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During the period beginning on the date the notice of redemption is given,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based on volume-weighted average price of our shares of common stock during the ten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203"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the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the warrant is adjusted as a result of raising capital in connection with the merger, the adjusted share prices in the column headings will by multiplied by a fraction, the numerator of which is the higher of the market value and the newly issued price as set forth under the heading “—Anti-dilution Adjustments” and the denominator of which is $10.00.</w:t>
      </w:r>
    </w:p>
    <w:p>
      <w:pPr>
        <w:spacing w:after="0" w:line="255"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Fair Market Value of Shares of Common Stock</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Redemption Date</w:t>
            </w: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60" w:type="dxa"/>
            <w:vAlign w:val="bottom"/>
            <w:gridSpan w:val="2"/>
            <w:vMerge w:val="continue"/>
          </w:tcPr>
          <w:p>
            <w:pPr>
              <w:spacing w:after="0"/>
              <w:rPr>
                <w:sz w:val="14"/>
                <w:szCs w:val="14"/>
                <w:color w:val="auto"/>
              </w:rPr>
            </w:pPr>
          </w:p>
        </w:tc>
        <w:tc>
          <w:tcPr>
            <w:tcW w:w="780" w:type="dxa"/>
            <w:vAlign w:val="bottom"/>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$10.00</w:t>
            </w:r>
          </w:p>
        </w:tc>
        <w:tc>
          <w:tcPr>
            <w:tcW w:w="78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w w:val="98"/>
              </w:rPr>
              <w:t>$11.00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$12.00</w:t>
            </w:r>
          </w:p>
        </w:tc>
        <w:tc>
          <w:tcPr>
            <w:tcW w:w="78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w w:val="98"/>
              </w:rPr>
              <w:t>$13.00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$14.00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$15.00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$16.00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$17.00</w:t>
            </w:r>
          </w:p>
        </w:tc>
        <w:tc>
          <w:tcPr>
            <w:tcW w:w="800" w:type="dxa"/>
            <w:vAlign w:val="bottom"/>
          </w:tcPr>
          <w:p>
            <w:pPr>
              <w:jc w:val="right"/>
              <w:ind w:right="213"/>
              <w:spacing w:after="0" w:line="170" w:lineRule="exact"/>
              <w:rPr>
                <w:sz w:val="20"/>
                <w:szCs w:val="20"/>
                <w:color w:val="auto"/>
              </w:rPr>
            </w:pPr>
            <w:r>
              <w:rPr>
                <w:rFonts w:ascii="Times New Roman" w:cs="Times New Roman" w:eastAsia="Times New Roman" w:hAnsi="Times New Roman"/>
                <w:sz w:val="17"/>
                <w:szCs w:val="17"/>
                <w:b w:val="1"/>
                <w:bCs w:val="1"/>
                <w:color w:val="auto"/>
              </w:rPr>
              <w:t>$18.00</w:t>
            </w:r>
          </w:p>
        </w:tc>
        <w:tc>
          <w:tcPr>
            <w:tcW w:w="0" w:type="dxa"/>
            <w:vAlign w:val="bottom"/>
          </w:tcPr>
          <w:p>
            <w:pPr>
              <w:spacing w:after="0"/>
              <w:rPr>
                <w:sz w:val="1"/>
                <w:szCs w:val="1"/>
                <w:color w:val="auto"/>
              </w:rPr>
            </w:pPr>
          </w:p>
        </w:tc>
      </w:tr>
      <w:tr>
        <w:trPr>
          <w:trHeight w:val="197"/>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 to expiration of</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60 months</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28"/>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57 months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0.294</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54 months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28"/>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51 months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48 months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28"/>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45 months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0.235</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0.279</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0.315</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42 months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r>
        <w:trPr>
          <w:trHeight w:val="228"/>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39 months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0.269</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-1259840</wp:posOffset>
            </wp:positionV>
            <wp:extent cx="1333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23" w:name="page124"/>
    <w:bookmarkEnd w:id="123"/>
    <w:tbl>
      <w:tblPr>
        <w:tblLayout w:type="fixed"/>
        <w:tblInd w:w="880" w:type="dxa"/>
        <w:tblCellMar>
          <w:top w:w="0" w:type="dxa"/>
          <w:left w:w="0" w:type="dxa"/>
          <w:bottom w:w="0" w:type="dxa"/>
          <w:right w:w="0" w:type="dxa"/>
        </w:tblCellMar>
      </w:tblPr>
      <w:tr>
        <w:trPr>
          <w:trHeight w:val="24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36 months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0.213</w:t>
            </w: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0.239</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0.263</w:t>
            </w: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0.285</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0.305</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0.323</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0.339</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33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0.205</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0.232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0.257</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0.28</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0.301</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0.337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months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0.196</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0.224</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0.25</w:t>
            </w: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0.274</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0.297</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0.316</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0.335</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0.351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27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0.185</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0.214</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0.242</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0.268</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0.291</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0.313</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0.332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24 months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0.173</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0.204</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0.233</w:t>
            </w: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0.26</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0.285</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0.308</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0.329</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0.348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21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0.161</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0.193</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0.223</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0.252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0.279</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0.304</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0.326</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18 months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0.146</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0.179</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0.211</w:t>
            </w: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0.242</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0.271</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0.298</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0.322</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0.345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15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0.164</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0.197</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0.23</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0.262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0.291</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0.317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12 months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0.111</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0.146</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0.181</w:t>
            </w: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0.216</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0.25</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0.282</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0.312</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9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0.125</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0.162</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0.199</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0.237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0.272</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0.305</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0.065</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0.099</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0.137</w:t>
            </w: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0.178</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0.219</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0.259</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0.296</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0.331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3 months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0.034</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0.065</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0.104</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0.15</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0.197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0.243</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0.286</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8"/>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 months</w:t>
            </w:r>
          </w:p>
        </w:tc>
        <w:tc>
          <w:tcPr>
            <w:tcW w:w="15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0.042</w:t>
            </w: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0.115</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0.179</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0.233</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0.281</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0.323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r>
      <w:tr>
        <w:trPr>
          <w:trHeight w:val="21"/>
        </w:trPr>
        <w:tc>
          <w:tcPr>
            <w:tcW w:w="15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bl>
    <w:p>
      <w:pPr>
        <w:spacing w:after="0" w:line="296"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shares of common stock during the ten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w:t>
      </w:r>
    </w:p>
    <w:p>
      <w:pPr>
        <w:spacing w:after="0" w:line="203"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For example, where the exact fair market value and redemption date are not as set forth in the table above, if the volume-weighted average price of our shares of common stock during the ten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in connection with this redemption feature for more than 0.361 shares of common stock per warrant (subject to adjustment).</w:t>
      </w:r>
    </w:p>
    <w:p>
      <w:pPr>
        <w:spacing w:after="0" w:line="197" w:lineRule="exact"/>
        <w:rPr>
          <w:sz w:val="20"/>
          <w:szCs w:val="20"/>
          <w:color w:val="auto"/>
        </w:rPr>
      </w:pPr>
    </w:p>
    <w:p>
      <w:pPr>
        <w:jc w:val="both"/>
        <w:ind w:firstLine="349"/>
        <w:spacing w:after="0" w:line="243" w:lineRule="auto"/>
        <w:rPr>
          <w:sz w:val="20"/>
          <w:szCs w:val="20"/>
          <w:color w:val="auto"/>
        </w:rPr>
      </w:pPr>
      <w:r>
        <w:rPr>
          <w:rFonts w:ascii="Times New Roman" w:cs="Times New Roman" w:eastAsia="Times New Roman" w:hAnsi="Times New Roman"/>
          <w:sz w:val="17"/>
          <w:szCs w:val="17"/>
          <w:color w:val="auto"/>
        </w:rPr>
        <w:t>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We have established this redemption feature to provide us with the flexibility to redeem the warrants without the warrants having to reach the $18.00 per share threshold set forth above.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than they would have received if they had chosen to wait to exercise their warrants for shares of common stock if and when such shares were trading at a price higher than the exercise price of $11.50.</w:t>
      </w:r>
    </w:p>
    <w:p>
      <w:pPr>
        <w:sectPr>
          <w:pgSz w:w="11900" w:h="16838" w:orient="portrait"/>
          <w:cols w:equalWidth="0" w:num="1">
            <w:col w:w="11240"/>
          </w:cols>
          <w:pgMar w:left="320" w:top="1424" w:right="339" w:bottom="1440" w:gutter="0" w:footer="0" w:header="0"/>
        </w:sectPr>
      </w:pPr>
    </w:p>
    <w:bookmarkStart w:id="124" w:name="page125"/>
    <w:bookmarkEnd w:id="124"/>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w:t>
      </w:r>
    </w:p>
    <w:p>
      <w:pPr>
        <w:spacing w:after="0" w:line="172"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A holder of a public warrant may notify SpringBig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common stock issued and outstanding immediately after giving effect to such exercise.</w:t>
      </w:r>
    </w:p>
    <w:p>
      <w:pPr>
        <w:spacing w:after="0" w:line="191"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Anti-dilution Adjustments. </w:t>
      </w:r>
      <w:r>
        <w:rPr>
          <w:rFonts w:ascii="Times New Roman" w:cs="Times New Roman" w:eastAsia="Times New Roman" w:hAnsi="Times New Roman"/>
          <w:sz w:val="17"/>
          <w:szCs w:val="17"/>
          <w:color w:val="auto"/>
        </w:rPr>
        <w:t>If the number of issued and outstanding shares of common stock is increased by a capitalization or share dividend payable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common stock, or by a split-up of shares of common stock or other similar event, then, on the effective date of such share dividend, split-up or similar event, the number of shares of common stock issuable on exercise of each public warrant will be increased in proportion to such increase in the issued and outstanding shares of common stock. A rights offering to holders of shares of common stock entitling holders to purchase shares of common stock at a price less than the fair market value will be deemed a share dividend of a number of shares of common stock equal to the product of  (1) the number of shares of common stock actually sold in such rights offering (or issuable under any other equity securities sold in such rights offering that are convertible into or exercisable for common stock) multiplied by (2) one minus the quotient of (x) the price per shares of common stock paid in such rights offering divided by (y) the fair market value. For these purposes, (1)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(2) fair market value means the volume weighted average price of shares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Contingent and Earnout Shares</w:t>
      </w:r>
    </w:p>
    <w:p>
      <w:pPr>
        <w:spacing w:after="0" w:line="239"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As part of the merger consideration to be paid to the Legacy SpringBig equity holders in connection with the business combination, holders of Legacy SpringBig’s common stock and preferred stock and Engaged Option Holders (as defined below) will also have the right to receive their pro rata portion of up to an aggregate of 10,500,000 shares of common stock (“Contingent Shares”) if any of the following stock price conditions are met: (i) 7,000,000 Contingent Shares (“First Tranche Shares”) if the closing price of the common stock equals or exceeds $12.00 per share (as adjusted for share splits, share dividends, reorganizations, and recapitalizations) on any twenty (20) trading days in a thirty (30)-trading-day period at any time after the closing date and on or before 60 months after the closing date; (ii) 2,250,000 Contingent Shares (“Second Tranche Shares”) if the closing price of the common stock equals or exceeds $15.00 per share (as adjusted for share splits, share dividends, reorganizations, and recapitalizations) on any twenty (20) trading days in a thirty (30)-trading-day period at any time after the closing date and on or before 60 months after the closing date; and (iii) 1,250,000 Contingent Shares (“Third Tranche Shares”) if the closing price of the common stock on any twenty (20) trading days in a thirty (30)-trading-day period at any time after the closing date and on or before 60 months after the closing date.</w:t>
      </w:r>
    </w:p>
    <w:p>
      <w:pPr>
        <w:spacing w:after="0" w:line="200" w:lineRule="exact"/>
        <w:rPr>
          <w:sz w:val="20"/>
          <w:szCs w:val="20"/>
          <w:color w:val="auto"/>
        </w:rPr>
      </w:pPr>
    </w:p>
    <w:p>
      <w:pPr>
        <w:spacing w:after="0" w:line="201"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An “Engaged Option Holder” is an employee or engaged consultant of Legacy SpringBig who held unexercised Legacy SpringBig options at the effective time of the merger and who remains employed or engaged by Legacy SpringBig at the time of such payment of Contingent Shares.</w:t>
      </w:r>
    </w:p>
    <w:p>
      <w:pPr>
        <w:spacing w:after="0" w:line="172" w:lineRule="exact"/>
        <w:rPr>
          <w:sz w:val="20"/>
          <w:szCs w:val="20"/>
          <w:color w:val="auto"/>
        </w:rPr>
      </w:pPr>
    </w:p>
    <w:p>
      <w:pPr>
        <w:jc w:val="both"/>
        <w:ind w:firstLine="349"/>
        <w:spacing w:after="0" w:line="253" w:lineRule="auto"/>
        <w:rPr>
          <w:sz w:val="20"/>
          <w:szCs w:val="20"/>
          <w:color w:val="auto"/>
        </w:rPr>
      </w:pPr>
      <w:r>
        <w:rPr>
          <w:rFonts w:ascii="Times New Roman" w:cs="Times New Roman" w:eastAsia="Times New Roman" w:hAnsi="Times New Roman"/>
          <w:sz w:val="17"/>
          <w:szCs w:val="17"/>
          <w:color w:val="auto"/>
        </w:rPr>
        <w:t>In addition, in the event of certain events during the 60 month period after the Closing Date, then any Contingent Shares not previously issued shall be issued in accordance with the following, based on the price per share of common stock immediately prior to the consummation of such Earnout Trigger Event or the price per share paid for each outstanding share of common stock in such Earnout Trigger Event (the “Earnout Trigger Price”):</w:t>
      </w:r>
    </w:p>
    <w:p>
      <w:pPr>
        <w:spacing w:after="0" w:line="195" w:lineRule="exact"/>
        <w:rPr>
          <w:sz w:val="20"/>
          <w:szCs w:val="20"/>
          <w:color w:val="auto"/>
        </w:rPr>
      </w:pPr>
    </w:p>
    <w:p>
      <w:pPr>
        <w:ind w:left="640" w:right="60" w:hanging="320"/>
        <w:spacing w:after="0" w:line="243" w:lineRule="auto"/>
        <w:tabs>
          <w:tab w:leader="none" w:pos="62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Earnout Trigger Event occurs prior to the one-year anniversary of the Effective Time and results in an Earnout Trigger Price that is greater than $10.00, but less than $12.00, then only a portion of the First Tranche Shares shall be issued to the Legacy SpringBig shareholders and Engaged Option Holders equal to the First Tranche Shares multiplied by a fraction calculated as: (A) the numerator of which shall be the Earnout Trigger Price minus $10 and (B) the denominator of which is 2.</w:t>
      </w:r>
    </w:p>
    <w:p>
      <w:pPr>
        <w:sectPr>
          <w:pgSz w:w="11900" w:h="16838" w:orient="portrait"/>
          <w:cols w:equalWidth="0" w:num="1">
            <w:col w:w="11240"/>
          </w:cols>
          <w:pgMar w:left="320" w:top="1367" w:right="339" w:bottom="1440" w:gutter="0" w:footer="0" w:header="0"/>
        </w:sectPr>
      </w:pPr>
    </w:p>
    <w:bookmarkStart w:id="125" w:name="page126"/>
    <w:bookmarkEnd w:id="125"/>
    <w:p>
      <w:pPr>
        <w:ind w:left="640" w:right="160" w:hanging="320"/>
        <w:spacing w:after="0" w:line="265" w:lineRule="auto"/>
        <w:tabs>
          <w:tab w:leader="none" w:pos="6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Earnout Trigger Event occurs after the one-year anniversary of the Closing Date and results in an Earnout Trigger Price that is less than $12.00, then none of the Contingent Shares shall be issued.</w:t>
      </w:r>
    </w:p>
    <w:p>
      <w:pPr>
        <w:spacing w:after="0" w:line="184" w:lineRule="exact"/>
        <w:rPr>
          <w:rFonts w:ascii="Times New Roman" w:cs="Times New Roman" w:eastAsia="Times New Roman" w:hAnsi="Times New Roman"/>
          <w:sz w:val="17"/>
          <w:szCs w:val="17"/>
          <w:color w:val="auto"/>
        </w:rPr>
      </w:pPr>
    </w:p>
    <w:p>
      <w:pPr>
        <w:jc w:val="both"/>
        <w:ind w:left="640" w:right="120" w:hanging="320"/>
        <w:spacing w:after="0" w:line="233" w:lineRule="auto"/>
        <w:tabs>
          <w:tab w:leader="none" w:pos="63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Earnout Trigger Event occurs at any time during the 60 months following the effective time and results in an Earnout Trigger Price that is equal to or greater than $15.00, but less than $18.00, then only the First Tranche Shares and Second Tranche Shares shall be issued to the Legacy SpringBig shareholders and Engaged Option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640" w:right="260" w:hanging="320"/>
        <w:spacing w:after="0"/>
        <w:tabs>
          <w:tab w:leader="none" w:pos="62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Earnout Trigger Event occurs at any time during the 60 months following the effective time and results in an Earnout Trigger Price equal to or greater than $18.00, then all of the Contingent Shares shall be issued to the Legacy SpringBig shareholders and Engaged Option Holders.</w:t>
      </w:r>
    </w:p>
    <w:p>
      <w:pPr>
        <w:spacing w:after="0" w:line="192"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7"/>
          <w:szCs w:val="17"/>
          <w:color w:val="auto"/>
        </w:rPr>
        <w:t>For purposes of the merger agreement, an “Earnout Trigger Event” is defined to mean (a) SpringBig engages in a “going private” transaction pursuant to Rule 13e-3 under the Securities Exchange Act of 1934, as amended (the “Exchange Act”), or otherwise ceases to be subject to reporting obligations under Sections 13 or 15(d) of the Exchange Act; (b) SpringBig shall cease to be listed on a national securities exchange, other than for the failure to satisfy: (i) any applicable minimum listing requirements, including minimum round lot holder requirements, of such national securities exchange; or (ii) a minimum price per share requirement of such national securities exchange; or (c) the occurrence in a single transaction or as a result of a series of related transactions, of one or more of the following events: (a) any person or any group of persons acting together which would constitute a “group” for purposes of Section 13(d) of the Exchange Act or any successor provisions thereto (excluding (i) sponsor and its respective affiliates, successors and assigns, or (ii) a corporation or other entity owned, directly or indirectly, by the shareholders of SpringBig in substantially the same proportions as their ownership of stock of SpringBig ) (x) is or becomes the beneficial owner, directly or indirectly, of securities of SpringBig representing more than fifty percent (50%) of the combined voting power of SpringBig’s then outstanding voting securities or (y) has or acquires control of SpringBig’s Board of Directors, (b) a merger, consolidation, reorganization or similar business combination transaction involving SpringBig and, immediately after the consummation of such transaction or series of transactions, either (x) the SpringBig Board of Directors immediately prior to the merger or consolidation does not constitute at least a majority of the board of directors of the company surviving the merger or, if the surviving company is a subsidiary, the ultimate parent thereof, or (y) the voting securities of SpringBig immediately prior to such merger or consolidation do not continue to represent or are not converted into more than 50% of the combined voting power of the then outstanding voting securities of the person resulting from such transaction or series of transactions or, if the surviving company is a subsidiary, the ultimate parent thereof, or (c) the sale, lease or other disposition, directly or indirectly, by SpringBig of all or substantially all of the assets of SpringBig and its subsidiaries, taken as a whole, other than such sale or other disposition by SpringBig of all or substantially all of the assets of SpringBig and its Subsidiaries, taken as a whole, to an entity at least a majority of the combined voting power of the voting securities of which are owned by shareholders of SpringBig.</w:t>
      </w:r>
    </w:p>
    <w:p>
      <w:pPr>
        <w:spacing w:after="0" w:line="216" w:lineRule="exact"/>
        <w:rPr>
          <w:sz w:val="20"/>
          <w:szCs w:val="20"/>
          <w:color w:val="auto"/>
        </w:rPr>
      </w:pPr>
    </w:p>
    <w:p>
      <w:pPr>
        <w:jc w:val="both"/>
        <w:ind w:firstLine="349"/>
        <w:spacing w:after="0" w:line="245" w:lineRule="auto"/>
        <w:rPr>
          <w:sz w:val="20"/>
          <w:szCs w:val="20"/>
          <w:color w:val="auto"/>
        </w:rPr>
      </w:pPr>
      <w:r>
        <w:rPr>
          <w:rFonts w:ascii="Times New Roman" w:cs="Times New Roman" w:eastAsia="Times New Roman" w:hAnsi="Times New Roman"/>
          <w:sz w:val="17"/>
          <w:szCs w:val="17"/>
          <w:color w:val="auto"/>
        </w:rPr>
        <w:t>Additionally, the sponsor, Tuatara and certain independent members of the pre-business combination board of directors entered into an escrow agreement (“Sponsor Escrow Agreement”) at the closing of the business combination pursuant to which the sponsor and certain members of the pre-business combination board of directors deposited an aggregate of 1,000,000 shares of common stock (“Sponsor Earnout Shares”) into escrow. The Sponsor Escrow Agreement provides that such Sponsor Earnout Shares will either be released to the sponsor if the closing price of the common stock equals or exceeds $12.00 per share (as adjusted for share splits, share dividends, reorganizations, and recapitalizations) on any twenty (20) trading days in a thirty (30)-trading-day period at any time after the closing date and by the fifth anniversary of the Closing Date. The Sponsor Earnout Shares will be terminated and canceled by the Company if such condition is not met at any time after the Closing Date and by the fifth anniversary of the Closing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39"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We have not paid any cash dividends on the Common Shares to date and does not intend to pay cash dividends prior to the completion of the business combination. The payment of cash dividends in the future will be dependent upon Tuatara’s revenues and earnings, if any, capital requirements and general financial condition subsequent to the completion of the business combination. The payment of any cash dividends is within the discretion of the Board of Directors.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Warrant Agent</w:t>
      </w:r>
    </w:p>
    <w:p>
      <w:pPr>
        <w:sectPr>
          <w:pgSz w:w="11900" w:h="16838" w:orient="portrait"/>
          <w:cols w:equalWidth="0" w:num="1">
            <w:col w:w="11240"/>
          </w:cols>
          <w:pgMar w:left="320" w:top="1367" w:right="339" w:bottom="1440" w:gutter="0" w:footer="0" w:header="0"/>
        </w:sectPr>
      </w:pPr>
    </w:p>
    <w:bookmarkStart w:id="126" w:name="page127"/>
    <w:bookmarkEnd w:id="126"/>
    <w:p>
      <w:pPr>
        <w:ind w:left="360"/>
        <w:spacing w:after="0"/>
        <w:rPr>
          <w:sz w:val="20"/>
          <w:szCs w:val="20"/>
          <w:color w:val="auto"/>
        </w:rPr>
      </w:pPr>
      <w:r>
        <w:rPr>
          <w:rFonts w:ascii="Times New Roman" w:cs="Times New Roman" w:eastAsia="Times New Roman" w:hAnsi="Times New Roman"/>
          <w:sz w:val="17"/>
          <w:szCs w:val="17"/>
          <w:color w:val="auto"/>
        </w:rPr>
        <w:t>The transfer agent for Common Shares and warrant agent for warrants is Continental Stock Transfer &amp; Trust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 the Proposed Charter and Proposed Bylaws</w:t>
      </w:r>
    </w:p>
    <w:p>
      <w:pPr>
        <w:spacing w:after="0" w:line="239" w:lineRule="exact"/>
        <w:rPr>
          <w:sz w:val="20"/>
          <w:szCs w:val="20"/>
          <w:color w:val="auto"/>
        </w:rPr>
      </w:pPr>
    </w:p>
    <w:p>
      <w:pPr>
        <w:ind w:firstLine="349"/>
        <w:spacing w:after="0" w:line="281" w:lineRule="auto"/>
        <w:rPr>
          <w:sz w:val="20"/>
          <w:szCs w:val="20"/>
          <w:color w:val="auto"/>
        </w:rPr>
      </w:pPr>
      <w:r>
        <w:rPr>
          <w:rFonts w:ascii="Times New Roman" w:cs="Times New Roman" w:eastAsia="Times New Roman" w:hAnsi="Times New Roman"/>
          <w:sz w:val="17"/>
          <w:szCs w:val="17"/>
          <w:color w:val="auto"/>
        </w:rPr>
        <w:t>SpringBig, as a corporation incorporated under the laws of the State of Delaware, subject to the provisions of Section 203 of the Delaware General Corporation Law, as amended (the “DGCL”), which we refer to as “Section 203,” regulating corporate takeovers.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Section 203 prevents certain Delaware corporations, under certain circumstances, from engaging in a “business combination” with:</w:t>
      </w:r>
    </w:p>
    <w:p>
      <w:pPr>
        <w:spacing w:after="0" w:line="237" w:lineRule="exact"/>
        <w:rPr>
          <w:sz w:val="20"/>
          <w:szCs w:val="20"/>
          <w:color w:val="auto"/>
        </w:rPr>
      </w:pPr>
    </w:p>
    <w:p>
      <w:pPr>
        <w:ind w:left="620" w:hanging="30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shareholder who owns fifteen percent or more of SpringBig’s outstanding voting stock (otherwise known as an “interested shareholder”);</w:t>
      </w:r>
    </w:p>
    <w:p>
      <w:pPr>
        <w:spacing w:after="0" w:line="22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of an interested shareholder; or</w:t>
      </w:r>
    </w:p>
    <w:p>
      <w:pPr>
        <w:spacing w:after="0" w:line="22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associate of an interested shareholder, for three (3) years following the date that the shareholder became an interested shareholder.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“business combination” includes a merger or sale of more than ten percent of SpringBig’s assets.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the above provisions of Section 203 do not apply if:</w:t>
      </w:r>
    </w:p>
    <w:p>
      <w:pPr>
        <w:spacing w:after="0" w:line="237" w:lineRule="exact"/>
        <w:rPr>
          <w:sz w:val="20"/>
          <w:szCs w:val="20"/>
          <w:color w:val="auto"/>
        </w:rPr>
      </w:pPr>
    </w:p>
    <w:p>
      <w:pPr>
        <w:ind w:left="620" w:hanging="30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SpringBig’s Board of Directors approves the transaction that made the shareholder an “interested shareholder,” prior to the date of the transaction;</w:t>
      </w:r>
    </w:p>
    <w:p>
      <w:pPr>
        <w:spacing w:after="0" w:line="237" w:lineRule="exact"/>
        <w:rPr>
          <w:rFonts w:ascii="Times New Roman" w:cs="Times New Roman" w:eastAsia="Times New Roman" w:hAnsi="Times New Roman"/>
          <w:sz w:val="17"/>
          <w:szCs w:val="17"/>
          <w:color w:val="auto"/>
        </w:rPr>
      </w:pPr>
    </w:p>
    <w:p>
      <w:pPr>
        <w:ind w:left="640" w:right="420" w:hanging="320"/>
        <w:spacing w:after="0" w:line="265"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shareholder becoming an interested shareholder, that shareholder owned at least 85% of SpringBig’s voting stock outstanding at the time the transaction commenced, other than statutorily excluded shares of common stock; or</w:t>
      </w:r>
    </w:p>
    <w:p>
      <w:pPr>
        <w:spacing w:after="0" w:line="171" w:lineRule="exact"/>
        <w:rPr>
          <w:rFonts w:ascii="Times New Roman" w:cs="Times New Roman" w:eastAsia="Times New Roman" w:hAnsi="Times New Roman"/>
          <w:sz w:val="17"/>
          <w:szCs w:val="17"/>
          <w:color w:val="auto"/>
        </w:rPr>
      </w:pPr>
    </w:p>
    <w:p>
      <w:pPr>
        <w:ind w:left="640" w:right="80" w:hanging="320"/>
        <w:spacing w:after="0" w:line="253"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the date of the transaction, the business combination is approved by SpringBig’s Board of Directors and authorized at a meeting of SpringBig’s shareholders, and not by written consent, by an affirmative vote of at least two-thirds of the outstanding voting stock not owned by the interested shareholder.</w:t>
      </w:r>
    </w:p>
    <w:p>
      <w:pPr>
        <w:spacing w:after="0" w:line="182"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The Company’s organizational documents and the DGCL contain provisions that could have the effect of rendering more difficult, delaying, or preventing an acquisition deemed undesirable by SpringBig’s Board of Directors. These provisions could also make it difficult for shareholders to take certain actions, including electing directors who are not nominated by the members of SpringBig’s Board of Directors or taking other corporate actions, including effecting changes in our management. For instance, SpringBig’s charter does not provide for cumulative voting in the election of directors and provides for a classified Board of Directors with three (3)-year staggered terms, which could delay the ability of shareholders to change the membership of a majority of the SpringBig Board of Directors. SpringBig’s Board of Directors is empowered to elect a director to fill a vacancy created by the expansion of the Board of Directors or the resignation, death, or removal of a director in certain circumstances; and SpringBig’s advance notice provisions in the proposed bylaws will require that shareholders must comply with certain procedures in order to nominate candidates to SpringBig’s Board of Directors or to propose matters to be acted upon at a shareholders’ meeting.</w:t>
      </w:r>
    </w:p>
    <w:p>
      <w:pPr>
        <w:spacing w:after="0" w:line="200" w:lineRule="exact"/>
        <w:rPr>
          <w:sz w:val="20"/>
          <w:szCs w:val="20"/>
          <w:color w:val="auto"/>
        </w:rPr>
      </w:pPr>
    </w:p>
    <w:p>
      <w:pPr>
        <w:spacing w:after="0" w:line="203"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7"/>
          <w:szCs w:val="17"/>
          <w:color w:val="auto"/>
        </w:rPr>
        <w:t>SpringBig’s authorized but unissued common stock and preferred stock will be available for future issuances without shareholder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SpringBig by means of a proxy contest, tender offer, merger or otherwise.</w:t>
      </w:r>
    </w:p>
    <w:p>
      <w:pPr>
        <w:sectPr>
          <w:pgSz w:w="11900" w:h="16838" w:orient="portrait"/>
          <w:cols w:equalWidth="0" w:num="1">
            <w:col w:w="11240"/>
          </w:cols>
          <w:pgMar w:left="320" w:top="136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Stockholder Nominations and Proposals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Meeting of Stockholders Notice Requirements</w:t>
      </w:r>
    </w:p>
    <w:p>
      <w:pPr>
        <w:spacing w:after="0" w:line="239"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auto"/>
        </w:rPr>
        <w:t>Nominations of persons for election to the Board of Directors or the proposal of other business to be transacted by shareholders may only be made at a meeting properly called for such purpose and only (i) by or at the direction of the board of directors or any committee thereof or (ii) by a shareholder who (A) was a shareholder of record of SpringBig when the notice is delivered to the secretary and at the time of the meeting and is entitled to vote for the election of directors or such business, as applicable, at the meeting and (B) complies with the notice and other provisions of the proposed bylaws. Persons nominated for election to the Board of Directors by shareholders in accordance with the applicable sections of the proposed bylaws are referred to as “Shareholder Nominees.” A shareholder nominating persons for election to the board of directors is referred to as the “Nominating Shareholder.”</w:t>
      </w:r>
    </w:p>
    <w:p>
      <w:pPr>
        <w:spacing w:after="0" w:line="201"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auto"/>
        </w:rPr>
        <w:t xml:space="preserve">SpringBig’s bylaws provide that, for nominations or business to be properly brought before an annual meeting by a shareholder, the shareholder must give timely notice thereof in writing to the secretary of SpringBig and, in the case of proposed business, any such proposed business must constitute a proper for shareholder action. To be timely, the notice must be delivered personally or mailed to, and received at, the principal executive offices of SpringBig, addressed to the secretary, by no earlier than one hundred and twenty (120) days and no later than ninety (90) days before the first anniversary of the date of the prior year’s annual meeting of shareholders;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annual meeting of shareholders is not within 45 days before or after such anniversary date, the notice by the shareholder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shareholders, or announcement thereof, commence a new time period (or extend any time period) for the giving of a shareholder’s notice as described above.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Meeting of Stockholders Notice Requirements</w:t>
      </w:r>
    </w:p>
    <w:p>
      <w:pPr>
        <w:spacing w:after="0" w:line="239" w:lineRule="exact"/>
        <w:rPr>
          <w:sz w:val="20"/>
          <w:szCs w:val="20"/>
          <w:color w:val="auto"/>
        </w:rPr>
      </w:pPr>
    </w:p>
    <w:p>
      <w:pPr>
        <w:jc w:val="both"/>
        <w:ind w:firstLine="349"/>
        <w:spacing w:after="0" w:line="247" w:lineRule="auto"/>
        <w:rPr>
          <w:sz w:val="20"/>
          <w:szCs w:val="20"/>
          <w:color w:val="auto"/>
        </w:rPr>
      </w:pPr>
      <w:r>
        <w:rPr>
          <w:rFonts w:ascii="Times New Roman" w:cs="Times New Roman" w:eastAsia="Times New Roman" w:hAnsi="Times New Roman"/>
          <w:sz w:val="17"/>
          <w:szCs w:val="17"/>
          <w:color w:val="auto"/>
        </w:rPr>
        <w:t>If the election of directors is included as business to be brought before a special meeting in SpringBig’s notice of meeting, then nominations of persons for election to the board of directors at a special meeting of shareholders may be made by any shareholder who is a shareholder of record at the time of giving notice of such nomination and at the time of the special meeting (who will be entitled to vote at the meeting). For nominations to be properly brought by a shareholder before a special meeting of shareholders, the shareholder must have given timely notice not later than the close of business on the tenth day following the day on which public announcement of the date of the special meeting is first made by SpringBig.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Stockholder Notice Requirements</w:t>
      </w:r>
    </w:p>
    <w:p>
      <w:pPr>
        <w:spacing w:after="0" w:line="239" w:lineRule="exact"/>
        <w:rPr>
          <w:sz w:val="20"/>
          <w:szCs w:val="20"/>
          <w:color w:val="auto"/>
        </w:rPr>
      </w:pPr>
    </w:p>
    <w:p>
      <w:pPr>
        <w:jc w:val="both"/>
        <w:ind w:firstLine="349"/>
        <w:spacing w:after="0" w:line="243" w:lineRule="auto"/>
        <w:rPr>
          <w:sz w:val="20"/>
          <w:szCs w:val="20"/>
          <w:color w:val="auto"/>
        </w:rPr>
      </w:pPr>
      <w:r>
        <w:rPr>
          <w:rFonts w:ascii="Times New Roman" w:cs="Times New Roman" w:eastAsia="Times New Roman" w:hAnsi="Times New Roman"/>
          <w:sz w:val="17"/>
          <w:szCs w:val="17"/>
          <w:color w:val="auto"/>
        </w:rPr>
        <w:t>Any shareholder’s notice to the secretary must set forth (i) as to each person whom the shareholder proposes to nominate for election as a director (A) the name, age, business address and residence address of the person, (B) the principal occupation or employment of the person, (C) the class or series and number of shares of capital stock of SpringBig, if any,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without regard to the application of the Exchange Act to either the nomination or SpringBig; and (ii) as to the shareholder giving the notice (A) the name and record address of such shareholder as they appear on SpringBig’s books and the name and address of the beneficial owner, if any, on whose behalf the nomination is made, (B) the class or series and number of shares of capital stock of SpringBig that are owned beneficially and of record by such shareholder and the beneficial owner, if any, on whose behalf the nomination is made, (C) a description of all arrangements or understandings relating to the nomination to be made by such shareholder among such shareholder, the beneficial owner, if any, on whose behalf the nomination is made, each proposed nominee and any other person or persons (including their names), (D) a representation that such shareholder (or a qualified representative of such shareholder) intends to appear in person or by proxy at the meeting to nominate the persons named in its notice and (E) any other information relating to such shareholder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w:t>
      </w:r>
    </w:p>
    <w:p>
      <w:pPr>
        <w:sectPr>
          <w:pgSz w:w="11900" w:h="16838" w:orient="portrait"/>
          <w:cols w:equalWidth="0" w:num="1">
            <w:col w:w="11240"/>
          </w:cols>
          <w:pgMar w:left="320" w:top="136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be accompanied by a written consent of each proposed nominee to being named as a nominee and to serve as a director if elected.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39" w:lineRule="exact"/>
        <w:rPr>
          <w:sz w:val="20"/>
          <w:szCs w:val="20"/>
          <w:color w:val="auto"/>
        </w:rPr>
      </w:pPr>
    </w:p>
    <w:p>
      <w:pPr>
        <w:jc w:val="both"/>
        <w:ind w:firstLine="349"/>
        <w:spacing w:after="0" w:line="244" w:lineRule="auto"/>
        <w:rPr>
          <w:sz w:val="20"/>
          <w:szCs w:val="20"/>
          <w:color w:val="auto"/>
        </w:rPr>
      </w:pPr>
      <w:r>
        <w:rPr>
          <w:rFonts w:ascii="Times New Roman" w:cs="Times New Roman" w:eastAsia="Times New Roman" w:hAnsi="Times New Roman"/>
          <w:sz w:val="17"/>
          <w:szCs w:val="17"/>
          <w:color w:val="auto"/>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shareholder (or a qualified representative of the shareholder) does not appear at the applicable shareholder meeting to present a nomination or other proposed business, such nomination will be disregarded or such proposed business will not be transacted, as the case may be, notwithstanding that proxies in respect of such vote may have been received by SpringBig.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Common Stock</w:t>
      </w:r>
    </w:p>
    <w:p>
      <w:pPr>
        <w:spacing w:after="0" w:line="239" w:lineRule="exact"/>
        <w:rPr>
          <w:sz w:val="20"/>
          <w:szCs w:val="20"/>
          <w:color w:val="auto"/>
        </w:rPr>
      </w:pPr>
    </w:p>
    <w:p>
      <w:pPr>
        <w:jc w:val="both"/>
        <w:ind w:firstLine="349"/>
        <w:spacing w:after="0" w:line="281" w:lineRule="auto"/>
        <w:rPr>
          <w:sz w:val="20"/>
          <w:szCs w:val="20"/>
          <w:color w:val="auto"/>
        </w:rPr>
      </w:pPr>
      <w:r>
        <w:rPr>
          <w:rFonts w:ascii="Times New Roman" w:cs="Times New Roman" w:eastAsia="Times New Roman" w:hAnsi="Times New Roman"/>
          <w:sz w:val="17"/>
          <w:szCs w:val="17"/>
          <w:color w:val="auto"/>
        </w:rPr>
        <w:t>The Common Shares are listed on The Nasdaq Global Market under the symbol “SBIG.” The SpringBig public warrants are listed on the Nasdaq Global Market under the symbol “SBIGW.”</w:t>
      </w:r>
    </w:p>
    <w:p>
      <w:pPr>
        <w:sectPr>
          <w:pgSz w:w="11900" w:h="16838" w:orient="portrait"/>
          <w:cols w:equalWidth="0" w:num="1">
            <w:col w:w="11240"/>
          </w:cols>
          <w:pgMar w:left="320" w:top="1367" w:right="339" w:bottom="1440" w:gutter="0" w:footer="0" w:header="0"/>
        </w:sectPr>
      </w:pPr>
    </w:p>
    <w:bookmarkStart w:id="129" w:name="page130"/>
    <w:bookmarkEnd w:id="12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Subsidiaries of SpringBig Holdings, Inc.</w:t>
      </w:r>
    </w:p>
    <w:p>
      <w:pPr>
        <w:spacing w:after="0" w:line="240" w:lineRule="exact"/>
        <w:rPr>
          <w:sz w:val="20"/>
          <w:szCs w:val="20"/>
          <w:color w:val="auto"/>
        </w:rPr>
      </w:pPr>
    </w:p>
    <w:tbl>
      <w:tblPr>
        <w:tblLayout w:type="fixed"/>
        <w:tblInd w:w="2030" w:type="dxa"/>
        <w:tblCellMar>
          <w:top w:w="0" w:type="dxa"/>
          <w:left w:w="0" w:type="dxa"/>
          <w:bottom w:w="0" w:type="dxa"/>
          <w:right w:w="0" w:type="dxa"/>
        </w:tblCellMar>
      </w:tblPr>
      <w:tr>
        <w:trPr>
          <w:trHeight w:val="297"/>
        </w:trPr>
        <w:tc>
          <w:tcPr>
            <w:tcW w:w="3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Legal Name</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rPr>
              <w:t>Jurisdiction of Incorporation</w:t>
            </w:r>
          </w:p>
        </w:tc>
      </w:tr>
      <w:tr>
        <w:trPr>
          <w:trHeight w:val="226"/>
        </w:trPr>
        <w:tc>
          <w:tcPr>
            <w:tcW w:w="3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SpringBig, Inc.</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 United States</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3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Medici Canada, LLC</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 United States</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3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SpringBig Canada Inc.</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Quebec, Canada</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3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Beaches Development Group LTD</w:t>
            </w: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Ontario, Canada</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139"/>
          </w:cols>
          <w:pgMar w:left="320" w:top="1440"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INDEPENDENT REGISTERED PUBLIC ACCOUNTING FIRM’S CONSENT</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of SpringBig Holdings, Inc. on Forms S-8 [FILE NO. 333-267011 and FILE NO. 333-272845] of our report dated April 1, 2024, with respect to our audits of the consolidated financial statements of SpringBig Holdings, Inc. as of December 31, 2023 and 2022 and for the years ended December 31, 2023 and 2022, which report is included in the Annual Report on Form 10-K of SpringBig Holdings, Inc. for the year ended December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 Lauderdale, Florida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2024</w:t>
      </w:r>
    </w:p>
    <w:p>
      <w:pPr>
        <w:sectPr>
          <w:pgSz w:w="11900" w:h="16838" w:orient="portrait"/>
          <w:cols w:equalWidth="0" w:num="1">
            <w:col w:w="11240"/>
          </w:cols>
          <w:pgMar w:left="320" w:top="35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Harris, certify that:</w:t>
      </w:r>
    </w:p>
    <w:p>
      <w:pPr>
        <w:spacing w:after="0" w:line="224" w:lineRule="exact"/>
        <w:rPr>
          <w:sz w:val="20"/>
          <w:szCs w:val="20"/>
          <w:color w:val="auto"/>
        </w:rPr>
      </w:pPr>
    </w:p>
    <w:p>
      <w:pPr>
        <w:ind w:left="640" w:hanging="320"/>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SpringBig Holdings, Inc.;</w:t>
      </w:r>
    </w:p>
    <w:p>
      <w:pPr>
        <w:spacing w:after="0" w:line="224" w:lineRule="exact"/>
        <w:rPr>
          <w:rFonts w:ascii="Times New Roman" w:cs="Times New Roman" w:eastAsia="Times New Roman" w:hAnsi="Times New Roman"/>
          <w:sz w:val="17"/>
          <w:szCs w:val="17"/>
          <w:color w:val="auto"/>
        </w:rPr>
      </w:pPr>
    </w:p>
    <w:p>
      <w:pPr>
        <w:jc w:val="both"/>
        <w:ind w:left="640" w:right="340" w:hanging="320"/>
        <w:spacing w:after="0" w:line="253"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640" w:right="300" w:hanging="320"/>
        <w:spacing w:after="0" w:line="265"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Times New Roman" w:cs="Times New Roman" w:eastAsia="Times New Roman" w:hAnsi="Times New Roman"/>
          <w:sz w:val="17"/>
          <w:szCs w:val="17"/>
          <w:color w:val="auto"/>
        </w:rPr>
      </w:pPr>
    </w:p>
    <w:p>
      <w:pPr>
        <w:ind w:left="640" w:right="300" w:hanging="320"/>
        <w:spacing w:after="0" w:line="245"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311"/>
        <w:spacing w:after="0" w:line="253" w:lineRule="auto"/>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7"/>
          <w:szCs w:val="17"/>
          <w:color w:val="auto"/>
        </w:rPr>
      </w:pPr>
    </w:p>
    <w:p>
      <w:pPr>
        <w:ind w:left="1260" w:right="260" w:hanging="311"/>
        <w:spacing w:after="0" w:line="253" w:lineRule="auto"/>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7"/>
          <w:szCs w:val="17"/>
          <w:color w:val="auto"/>
        </w:rPr>
      </w:pPr>
    </w:p>
    <w:p>
      <w:pPr>
        <w:ind w:left="1260" w:right="420" w:hanging="311"/>
        <w:spacing w:after="0" w:line="265" w:lineRule="auto"/>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7"/>
          <w:szCs w:val="17"/>
          <w:color w:val="auto"/>
        </w:rPr>
      </w:pPr>
    </w:p>
    <w:p>
      <w:pPr>
        <w:ind w:left="1260" w:hanging="311"/>
        <w:spacing w:after="0" w:line="245" w:lineRule="auto"/>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8" w:lineRule="exact"/>
        <w:rPr>
          <w:rFonts w:ascii="Times New Roman" w:cs="Times New Roman" w:eastAsia="Times New Roman" w:hAnsi="Times New Roman"/>
          <w:sz w:val="17"/>
          <w:szCs w:val="17"/>
          <w:color w:val="auto"/>
        </w:rPr>
      </w:pPr>
    </w:p>
    <w:p>
      <w:pPr>
        <w:ind w:left="640" w:right="220" w:hanging="320"/>
        <w:spacing w:after="0" w:line="281"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8" w:lineRule="exact"/>
        <w:rPr>
          <w:rFonts w:ascii="Times New Roman" w:cs="Times New Roman" w:eastAsia="Times New Roman" w:hAnsi="Times New Roman"/>
          <w:sz w:val="17"/>
          <w:szCs w:val="17"/>
          <w:color w:val="auto"/>
        </w:rPr>
      </w:pPr>
    </w:p>
    <w:p>
      <w:pPr>
        <w:ind w:left="1260" w:right="620" w:hanging="311"/>
        <w:spacing w:after="0" w:line="265" w:lineRule="auto"/>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260" w:right="420" w:hanging="311"/>
        <w:spacing w:after="0" w:line="281" w:lineRule="auto"/>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Jeffrey Harris____________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Harris</w:t>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140"/>
          </w:cols>
          <w:pgMar w:left="320" w:top="136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Paul Sykes, certify that:</w:t>
      </w:r>
    </w:p>
    <w:p>
      <w:pPr>
        <w:spacing w:after="0" w:line="224" w:lineRule="exact"/>
        <w:rPr>
          <w:sz w:val="20"/>
          <w:szCs w:val="20"/>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SpringBig Holdings, Inc.;</w:t>
      </w:r>
    </w:p>
    <w:p>
      <w:pPr>
        <w:spacing w:after="0" w:line="224" w:lineRule="exact"/>
        <w:rPr>
          <w:rFonts w:ascii="Times New Roman" w:cs="Times New Roman" w:eastAsia="Times New Roman" w:hAnsi="Times New Roman"/>
          <w:sz w:val="17"/>
          <w:szCs w:val="17"/>
          <w:color w:val="auto"/>
        </w:rPr>
      </w:pPr>
    </w:p>
    <w:p>
      <w:pPr>
        <w:jc w:val="both"/>
        <w:ind w:left="640" w:right="340" w:hanging="320"/>
        <w:spacing w:after="0" w:line="253"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640" w:right="60" w:hanging="320"/>
        <w:spacing w:after="0" w:line="26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4" w:lineRule="exact"/>
        <w:rPr>
          <w:rFonts w:ascii="Times New Roman" w:cs="Times New Roman" w:eastAsia="Times New Roman" w:hAnsi="Times New Roman"/>
          <w:sz w:val="17"/>
          <w:szCs w:val="17"/>
          <w:color w:val="auto"/>
        </w:rPr>
      </w:pPr>
    </w:p>
    <w:p>
      <w:pPr>
        <w:ind w:left="640" w:right="300" w:hanging="320"/>
        <w:spacing w:after="0" w:line="24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311"/>
        <w:spacing w:after="0" w:line="253"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7"/>
          <w:szCs w:val="17"/>
          <w:color w:val="auto"/>
        </w:rPr>
      </w:pPr>
    </w:p>
    <w:p>
      <w:pPr>
        <w:ind w:left="1260" w:right="260" w:hanging="311"/>
        <w:spacing w:after="0" w:line="253"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7"/>
          <w:szCs w:val="17"/>
          <w:color w:val="auto"/>
        </w:rPr>
      </w:pPr>
    </w:p>
    <w:p>
      <w:pPr>
        <w:ind w:left="1260" w:right="420" w:hanging="311"/>
        <w:spacing w:after="0" w:line="265"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7"/>
          <w:szCs w:val="17"/>
          <w:color w:val="auto"/>
        </w:rPr>
      </w:pPr>
    </w:p>
    <w:p>
      <w:pPr>
        <w:ind w:left="1260" w:hanging="311"/>
        <w:spacing w:after="0" w:line="245"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8" w:lineRule="exact"/>
        <w:rPr>
          <w:rFonts w:ascii="Times New Roman" w:cs="Times New Roman" w:eastAsia="Times New Roman" w:hAnsi="Times New Roman"/>
          <w:sz w:val="17"/>
          <w:szCs w:val="17"/>
          <w:color w:val="auto"/>
        </w:rPr>
      </w:pPr>
    </w:p>
    <w:p>
      <w:pPr>
        <w:ind w:left="640" w:right="220" w:hanging="320"/>
        <w:spacing w:after="0" w:line="281"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8" w:lineRule="exact"/>
        <w:rPr>
          <w:rFonts w:ascii="Times New Roman" w:cs="Times New Roman" w:eastAsia="Times New Roman" w:hAnsi="Times New Roman"/>
          <w:sz w:val="17"/>
          <w:szCs w:val="17"/>
          <w:color w:val="auto"/>
        </w:rPr>
      </w:pPr>
    </w:p>
    <w:p>
      <w:pPr>
        <w:ind w:left="1260" w:right="620" w:hanging="311"/>
        <w:spacing w:after="0" w:line="265"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260" w:right="420" w:hanging="311"/>
        <w:spacing w:after="0" w:line="281"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Paul Sykes____________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Sykes</w:t>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140"/>
          </w:cols>
          <w:pgMar w:left="320" w:top="136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 Pursuant to 18 U. S. C. Section 1350, as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Adopted Pursuant to Section 906 of the Sarbanes-Oxley Act of 2002</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Pursuant to 18 U.S.C. Section 1350, I, Jeffrey Harris, hereby certify that, to the best of my knowledge, SpringBig Holdings, Inc’s Annual Report on Form 10-K for the year ended December 31, 2023 (the Report), as filed with the Securities and Exchange Commission on April 1,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4066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Jeffrey Harris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2024</w:t>
      </w:r>
    </w:p>
    <w:p>
      <w:pPr>
        <w:sectPr>
          <w:pgSz w:w="11900" w:h="16838" w:orient="portrait"/>
          <w:cols w:equalWidth="0" w:num="1">
            <w:col w:w="11160"/>
          </w:cols>
          <w:pgMar w:left="320" w:top="1365" w:right="4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 Pursuant to 18 U. S. C. Section 1350, as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Adopted Pursuant to Section 906 of the Sarbanes-Oxley Act of 2002</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Pursuant to 18 U.S.C. Section 1350, I, Paul Sykes, hereby certify that, to the best of my knowledge, SpringBig Holdings, Inc’s Annual Report on Form 10-K for the year ended December 31, 2023 (the Report), as filed with the Securities and Exchange Commission on April 1,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4066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Paul Sykes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2024</w:t>
      </w:r>
    </w:p>
    <w:sectPr>
      <w:pgSz w:w="11900" w:h="16838" w:orient="portrait"/>
      <w:cols w:equalWidth="0" w:num="1">
        <w:col w:w="11220"/>
      </w:cols>
      <w:pgMar w:left="320" w:top="13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Letter"/>
      <w:start w:val="1"/>
    </w:lvl>
    <w:lvl w:ilvl="1">
      <w:lvlJc w:val="left"/>
      <w:lvlText w:val="%2."/>
      <w:numFmt w:val="lowerRoman"/>
      <w:start w:val="1"/>
    </w:lvl>
  </w:abstractNum>
  <w:abstractNum w:abstractNumId="18">
    <w:nsid w:val="614FD4A1"/>
    <w:multiLevelType w:val="hybridMultilevel"/>
    <w:lvl w:ilvl="0">
      <w:lvlJc w:val="left"/>
      <w:lvlText w:val="%1"/>
      <w:numFmt w:val="lowerLetter"/>
      <w:start w:val="1"/>
    </w:lvl>
    <w:lvl w:ilvl="1">
      <w:lvlJc w:val="left"/>
      <w:lvlText w:val="%2."/>
      <w:numFmt w:val="lowerLetter"/>
      <w:start w:val="35"/>
    </w:lvl>
  </w:abstractNum>
  <w:abstractNum w:abstractNumId="19">
    <w:nsid w:val="419AC241"/>
    <w:multiLevelType w:val="hybridMultilevel"/>
    <w:lvl w:ilvl="0">
      <w:lvlJc w:val="left"/>
      <w:lvlText w:val="%1."/>
      <w:numFmt w:val="lowerLetter"/>
      <w:start w:val="4"/>
    </w:lvl>
    <w:lvl w:ilvl="1">
      <w:lvlJc w:val="left"/>
      <w:lvlText w:val="%2"/>
      <w:numFmt w:val="lowerLetter"/>
      <w:start w:val="1"/>
    </w:lvl>
  </w:abstractNum>
  <w:abstractNum w:abstractNumId="20">
    <w:nsid w:val="5577F8E1"/>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abstractNum>
  <w:abstractNum w:abstractNumId="21">
    <w:nsid w:val="440BADFC"/>
    <w:multiLevelType w:val="hybridMultilevel"/>
    <w:lvl w:ilvl="0">
      <w:lvlJc w:val="left"/>
      <w:lvlText w:val="%1"/>
      <w:numFmt w:val="lowerLetter"/>
      <w:start w:val="1"/>
    </w:lvl>
    <w:lvl w:ilvl="1">
      <w:lvlJc w:val="left"/>
      <w:lvlText w:val="%2."/>
      <w:numFmt w:val="lowerRoman"/>
      <w:start w:val="4"/>
    </w:lvl>
  </w:abstractNum>
  <w:abstractNum w:abstractNumId="22">
    <w:nsid w:val="5072367"/>
    <w:multiLevelType w:val="hybridMultilevel"/>
    <w:lvl w:ilvl="0">
      <w:lvlJc w:val="left"/>
      <w:lvlText w:val="%1."/>
      <w:numFmt w:val="lowerLetter"/>
      <w:start w:val="2"/>
    </w:lvl>
    <w:lvl w:ilvl="1">
      <w:lvlJc w:val="left"/>
      <w:lvlText w:val="%2"/>
      <w:numFmt w:val="lowerRoman"/>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5"/>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3"/>
    </w:lvl>
    <w:lvl w:ilvl="1">
      <w:lvlJc w:val="left"/>
      <w:lvlText w:val="%2."/>
      <w:numFmt w:val="lowerRoman"/>
      <w:start w:val="1"/>
    </w:lvl>
  </w:abstractNum>
  <w:abstractNum w:abstractNumId="28">
    <w:nsid w:val="5E884ADC"/>
    <w:multiLevelType w:val="hybridMultilevel"/>
    <w:lvl w:ilvl="0">
      <w:lvlJc w:val="left"/>
      <w:lvlText w:val="%1"/>
      <w:numFmt w:val="lowerLetter"/>
      <w:start w:val="1"/>
    </w:lvl>
    <w:lvl w:ilvl="1">
      <w:lvlJc w:val="left"/>
      <w:lvlText w:val="%2."/>
      <w:numFmt w:val="lowerLetter"/>
      <w:start w:val="1"/>
    </w:lvl>
  </w:abstractNum>
  <w:abstractNum w:abstractNumId="29">
    <w:nsid w:val="51EAD36B"/>
    <w:multiLevelType w:val="hybridMultilevel"/>
    <w:lvl w:ilvl="0">
      <w:lvlJc w:val="left"/>
      <w:lvlText w:val="%1."/>
      <w:numFmt w:val="lowerLetter"/>
      <w:start w:val="9"/>
    </w:lvl>
    <w:lvl w:ilvl="1">
      <w:lvlJc w:val="left"/>
      <w:lvlText w:val="%2"/>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upperLetter"/>
      <w:start w:val="2"/>
    </w:lvl>
  </w:abstractNum>
  <w:abstractNum w:abstractNumId="32">
    <w:nsid w:val="153EA43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upp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5"/>
    </w:lvl>
  </w:abstractNum>
  <w:abstractNum w:abstractNumId="38">
    <w:nsid w:val="725A06FB"/>
    <w:multiLevelType w:val="hybridMultilevel"/>
    <w:lvl w:ilvl="0">
      <w:lvlJc w:val="left"/>
      <w:lvlText w:val="%1."/>
      <w:numFmt w:val="lowerLetter"/>
      <w:start w:val="1"/>
    </w:lvl>
    <w:lvl w:ilvl="1">
      <w:lvlJc w:val="left"/>
      <w:lvlText w:val="%2."/>
      <w:numFmt w:val="lowerRoman"/>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Roman"/>
      <w:start w:val="2"/>
    </w:lvl>
  </w:abstractNum>
  <w:abstractNum w:abstractNumId="44">
    <w:nsid w:val="6DE91B18"/>
    <w:multiLevelType w:val="hybridMultilevel"/>
    <w:lvl w:ilvl="0">
      <w:lvlJc w:val="left"/>
      <w:lvlText w:val="%1."/>
      <w:numFmt w:val="lowerRoman"/>
      <w:start w:val="4"/>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6"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13" Type="http://schemas.openxmlformats.org/officeDocument/2006/relationships/hyperlink" Target="https://www.sec.gov/Archives/edgar/data/0001801602/000114036122019634/ny20001241x31_424b3.htm" TargetMode="External"/><Relationship Id="rId114" Type="http://schemas.openxmlformats.org/officeDocument/2006/relationships/hyperlink" Target="https://www.sec.gov/ix?doc=/Archives/edgar/data/0001801602/000114036122023538/brhc10038924_8k.htm" TargetMode="External"/><Relationship Id="rId115" Type="http://schemas.openxmlformats.org/officeDocument/2006/relationships/hyperlink" Target="https://www.sec.gov/Archives/edgar/data/1801602/000180160222000048/form8-kaxl1restructure.htm" TargetMode="External"/><Relationship Id="rId116" Type="http://schemas.openxmlformats.org/officeDocument/2006/relationships/hyperlink" Target="https://www.sec.gov/Archives/edgar/data/1801602/000095010321002403/dp146234_8k.htm" TargetMode="External"/><Relationship Id="rId117" Type="http://schemas.openxmlformats.org/officeDocument/2006/relationships/hyperlink" Target="https://www.sec.gov/ix?doc=/Archives/edgar/data/0001801602/000162828024002086/wdq-20240116.htm" TargetMode="External"/><Relationship Id="rId118" Type="http://schemas.openxmlformats.org/officeDocument/2006/relationships/hyperlink" Target="https://www.sec.gov/ix?doc=/Archives/edgar/data/0001801602/000114036121037117/ny20001241x1_8k.htm" TargetMode="External"/><Relationship Id="rId119" Type="http://schemas.openxmlformats.org/officeDocument/2006/relationships/hyperlink" Target="https://www.sec.gov/ix?doc=/Archives/edgar/data/0001801602/000114036122017112/ny20001241x18_8k.htm" TargetMode="External"/><Relationship Id="rId120" Type="http://schemas.openxmlformats.org/officeDocument/2006/relationships/hyperlink" Target="https://www.sec.gov/ix?doc=/Archives/edgar/data/0001801602/000114036122026731/ny20004755x1_s1.htm" TargetMode="External"/><Relationship Id="rId121" Type="http://schemas.openxmlformats.org/officeDocument/2006/relationships/hyperlink" Target="https://www.sec.gov/Archives/edgar/data/1801602/000180160222000058/form8-kxl12ndamendment.htm" TargetMode="External"/><Relationship Id="rId122" Type="http://schemas.openxmlformats.org/officeDocument/2006/relationships/hyperlink" Target="https://www.sec.gov/ix?doc=/Archives/edgar/data/0001801602/000162828023032208/wdq-20230907.htm" TargetMode="External"/><Relationship Id="rId123" Type="http://schemas.openxmlformats.org/officeDocument/2006/relationships/hyperlink" Target="https://www.sec.gov/ix?doc=/Archives/edgar/data/1801602/000162828023038706/wdq-20230930.htm" TargetMode="External"/><Relationship Id="rId140" Type="http://schemas.openxmlformats.org/officeDocument/2006/relationships/hyperlink" Target="https://www.sec.gov/ix?doc=/Archives/edgar/data/0001801602/000162828024002466/wdq-20240123.htm" TargetMode="External"/><Relationship Id="rId145" Type="http://schemas.openxmlformats.org/officeDocument/2006/relationships/hyperlink" Target="https://www.sec.gov/Archives/edgar/data/1801602/000114036123021555/ny20008121x2_def14a.htm#tAPPB" TargetMode="External"/><Relationship Id="rId147" Type="http://schemas.openxmlformats.org/officeDocument/2006/relationships/hyperlink" Target="https://www.sec.gov/Archives/edgar/data/1801602/000114036122030522/brhc10040996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2024-04-01T14:48:19Z</dcterms:created>
  <dcterms:modified xsi:type="dcterms:W3CDTF">2024-04-01T14:48:19Z</dcterms:modified>
</cp:coreProperties>
</file>