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40" w:type="dxa"/>
            <w:vAlign w:val="bottom"/>
          </w:tcPr>
          <w:p>
            <w:pPr>
              <w:spacing w:after="0"/>
              <w:rPr>
                <w:sz w:val="20"/>
                <w:szCs w:val="20"/>
                <w:color w:val="auto"/>
              </w:rPr>
            </w:pPr>
          </w:p>
        </w:tc>
      </w:tr>
      <w:tr>
        <w:trPr>
          <w:trHeight w:val="410"/>
        </w:trPr>
        <w:tc>
          <w:tcPr>
            <w:tcW w:w="3000" w:type="dxa"/>
            <w:vAlign w:val="bottom"/>
          </w:tcPr>
          <w:p>
            <w:pPr>
              <w:spacing w:after="0"/>
              <w:rPr>
                <w:sz w:val="24"/>
                <w:szCs w:val="24"/>
                <w:color w:val="auto"/>
              </w:rPr>
            </w:pPr>
          </w:p>
        </w:tc>
        <w:tc>
          <w:tcPr>
            <w:tcW w:w="54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4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4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4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Date of Report (Date of earliest event reported): May 14, 2026</w:t>
            </w:r>
          </w:p>
        </w:tc>
        <w:tc>
          <w:tcPr>
            <w:tcW w:w="284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284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40" w:type="dxa"/>
            <w:vAlign w:val="bottom"/>
          </w:tcPr>
          <w:p>
            <w:pPr>
              <w:spacing w:after="0"/>
              <w:rPr>
                <w:sz w:val="20"/>
                <w:szCs w:val="20"/>
                <w:color w:val="auto"/>
              </w:rPr>
            </w:pPr>
          </w:p>
        </w:tc>
      </w:tr>
      <w:tr>
        <w:trPr>
          <w:trHeight w:val="439"/>
        </w:trPr>
        <w:tc>
          <w:tcPr>
            <w:tcW w:w="30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001-40049</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88-2789488</w:t>
            </w:r>
          </w:p>
        </w:tc>
      </w:tr>
      <w:tr>
        <w:trPr>
          <w:trHeight w:val="198"/>
        </w:trPr>
        <w:tc>
          <w:tcPr>
            <w:tcW w:w="3000" w:type="dxa"/>
            <w:vAlign w:val="bottom"/>
            <w:tcBorders>
              <w:top w:val="single" w:sz="8" w:color="auto"/>
            </w:tcBorders>
          </w:tcPr>
          <w:p>
            <w:pPr>
              <w:jc w:val="center"/>
              <w:ind w:left="6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7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621 NW 53rd Street, Ste. 340</w:t>
            </w:r>
          </w:p>
        </w:tc>
        <w:tc>
          <w:tcPr>
            <w:tcW w:w="2840" w:type="dxa"/>
            <w:vAlign w:val="bottom"/>
          </w:tcPr>
          <w:p>
            <w:pPr>
              <w:spacing w:after="0"/>
              <w:rPr>
                <w:sz w:val="24"/>
                <w:szCs w:val="24"/>
                <w:color w:val="auto"/>
              </w:rPr>
            </w:pPr>
          </w:p>
        </w:tc>
      </w:tr>
      <w:tr>
        <w:trPr>
          <w:trHeight w:val="220"/>
        </w:trPr>
        <w:tc>
          <w:tcPr>
            <w:tcW w:w="3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Boca Raton, Florida, 33487</w:t>
            </w:r>
          </w:p>
        </w:tc>
        <w:tc>
          <w:tcPr>
            <w:tcW w:w="2840" w:type="dxa"/>
            <w:vAlign w:val="bottom"/>
          </w:tcPr>
          <w:p>
            <w:pPr>
              <w:spacing w:after="0"/>
              <w:rPr>
                <w:sz w:val="19"/>
                <w:szCs w:val="19"/>
                <w:color w:val="auto"/>
              </w:rPr>
            </w:pPr>
          </w:p>
        </w:tc>
      </w:tr>
      <w:tr>
        <w:trPr>
          <w:trHeight w:val="234"/>
        </w:trPr>
        <w:tc>
          <w:tcPr>
            <w:tcW w:w="3000" w:type="dxa"/>
            <w:vAlign w:val="bottom"/>
          </w:tcPr>
          <w:p>
            <w:pPr>
              <w:spacing w:after="0"/>
              <w:rPr>
                <w:sz w:val="20"/>
                <w:szCs w:val="20"/>
                <w:color w:val="auto"/>
              </w:rPr>
            </w:pPr>
          </w:p>
        </w:tc>
        <w:tc>
          <w:tcPr>
            <w:tcW w:w="54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4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4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(800) 772-9172</w:t>
            </w:r>
          </w:p>
        </w:tc>
        <w:tc>
          <w:tcPr>
            <w:tcW w:w="284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54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ind w:left="1240"/>
        <w:spacing w:after="0"/>
        <w:tabs>
          <w:tab w:leader="none" w:pos="5000" w:val="left"/>
          <w:tab w:leader="none" w:pos="77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On May 14, 2026, SpringBig Holdings, Inc. announced its financial results for the quarter ended March 31, 2026. A copy of the press release is furnished as Exhibit 99.1 to this Current Report on Form 8-K and is incorporated by reference.</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in the accompanying Exhibit 99.1 is being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regardless of any general incorporation language in such filing,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issued by SpringBig Holdings, Inc. on May 14, 2026.</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0000EE"/>
            </w:tcBorders>
            <w:shd w:val="clear" w:color="auto" w:fill="CCEEFF"/>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r>
    </w:tbl>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May 14, 2026</w:t>
      </w:r>
      <w:r>
        <w:rPr>
          <w:sz w:val="20"/>
          <w:szCs w:val="20"/>
          <w:color w:val="auto"/>
        </w:rPr>
        <w:tab/>
      </w: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Jaret Christopher</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Reports First Quarter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Delivers Positive Adjusted EBITDA of $0.1 Million; Narrows Net Loss 34% Year-Over-Year on 21% Reduction in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Operating Expenses; Message Volume Grows 11%</w:t>
      </w:r>
    </w:p>
    <w:p>
      <w:pPr>
        <w:spacing w:after="0" w:line="20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BOCA RATON, Fla., May 14, 2026. </w:t>
      </w:r>
      <w:r>
        <w:rPr>
          <w:rFonts w:ascii="Times New Roman" w:cs="Times New Roman" w:eastAsia="Times New Roman" w:hAnsi="Times New Roman"/>
          <w:sz w:val="18"/>
          <w:szCs w:val="18"/>
          <w:color w:val="auto"/>
        </w:rPr>
        <w:t>SpringBig Holdings, Inc. (OTCQB: SBIG) (“SpringBig” or the “Company”), a leading AI-powered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automation and omnichannel CRM SaaS platform serving regulated retail verticals across the United States and Canada, today announced financial results for the first quarter ended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comparisons are versus the first quarter of 2025 unless otherwise noted.</w:t>
      </w:r>
    </w:p>
    <w:p>
      <w:pPr>
        <w:spacing w:after="0" w:line="2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$5.4 million, compared with $5.5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of $4.8 million, consistent year-over-year, representing 88% of total revenue</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$3.6 million, impacted by previously disclosed one-time messaging costs related to the amendment of the Company’s largest vendor agreement, which established a more sustainable cost structure on a go-forward basis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reduced $1.0 million, or 21% year-over-year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reduced 24%; selling, servicing and marketing expenses reduced 37%</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operations narrowed to $(0.1) million from $(0.4)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narrowed to $(0.5) million from $(0.8) million, a 34% improvement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$0.1 million, marking a continued positive contribution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Messages distributed through the SpringBig platform of 147 million, up 11% year-over-year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retention of 86%, consistent with the prior-year period</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Non-cannabis revenue increased more than 200% in Q1 2026 compared to Q4 2025, underscoring the strength of the Company’s platform and the growing opportunity beyond cannabis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first quarter results reflect the operating discipline and cost structure we have established over the past year. We delivered positive Adjusted EBITDA, reduced operating expenses by more than 20%, and narrowed our net loss by a third while sustaining our subscription revenue base. Message volume on our platform grew 11% year-over-year, reinforcing client engagement with our technology even as the broader cannabis market continues to face macroeconomic pressure.” said Jaret Christopher, Chief Executive Officer of SpringBig.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t>Mr. Christopher continued, “We continue to make meaningful progress on the SpringBig turnaround through disciplined cost reductions, ongoing operational optimization, and continued investment in our AI capabilities. At the same time, we are expanding the platform into gaming and other adjacent regulated markets, where SpringBig’s marketing and CRM infrastructure represents a natural fit and a meaningful growth opportunity beyond our cannabis core.”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SpringBig</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SpringBig Holdings, Inc. (OTCQB: SBIG) is a leading provider of AI-powered marketing automation and omnichannel CRM software, serving regulated retail verticals including cannabis, iGaming, casino, alcohol, and nutraceuticals across the United States and Canada. The SpringBig platform enables retailers and brands to increase customer engagement, drive repeat purchases, and grow lifetime customer value through differentiated loyalty programs and consumer messaging. For more information, visit www.springbig.com.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the results reported in accordance with accounting principles generally accepted in the United States (GAAP) included throughout this press release, we have disclosed EBITDA, which is a non-GAAP financial measure that we calculate as net income (loss) before interest, taxes, depreciation and amortization and Adjusted EBITDA, which represents EBITDA adjusted for certain unusual, infrequent items, or non-cash items (such as credit loss expense and stock-based compensation). Below we have provided a reconciliation of net loss (the most directly comparable GAAP financial measure) to EBITDA and Adjusted EBITDA.</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spacing w:after="0" w:line="162" w:lineRule="exact"/>
        <w:rPr>
          <w:sz w:val="20"/>
          <w:szCs w:val="20"/>
          <w:color w:val="auto"/>
        </w:rPr>
      </w:pPr>
    </w:p>
    <w:p>
      <w:pPr>
        <w:jc w:val="both"/>
        <w:ind w:left="660" w:right="18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neither EBITDA nor Adjusted EBITDA reflect cash capital expenditure requirements for such replacements or for new capital expenditure requirements;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loss and our other GAAP results. Also, these non-GAAP financial measures, as determined and presented by the Company, may not be comparable to related or similarly titled measures reported by other companies.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press release constitute “forward-looking statements” within the meaning of the “safe harbor” provisions of the United States Private Securities Litigation Reform Act of 1995. The words “anticipate,” “believe,” “continue,” “could,” “estimate,” “expect,” “intends,” “outlook,” “may,” “might,” “plan,” “possible,” “potential,” “predict,” “project,” “should,” “would,” and similar expressions may identify forward-looking statements, but the absence of these words does not mean that a statement is not forward-looking. Forward-looking statements are predictions, projections and other statements about future events and financial results that are based on current expectations and assumptions and, as a result, are subject to risks and uncertainties. In particular, these include but are not limited to statements regarding the Company’s growth prospects, cost structure, strategic initiatives, expansion into adjacent verticals, liquidity, ability to continue as a going concern, and the resolution of matters relating to the notice of default related to the Company’s secured notes. Many factors could cause actual future events to differ materially from the forward-looking statements in this press release, including but not limited to matters related to the rights of the holders of the Company’s secured notes and the related notice of default, the fact that we have a relatively short operating history in a rapidly evolving industry, which makes it difficult to evaluate our future prospects and may increase the risk that we will not be successful; that if we do not successfully develop and deploy new software, platform features or services to address the needs of our clients, if we fail to retain our existing clients or acquire new clients, and/or if we fail to expand effectively into new markets, our revenue may decrease and our business may be harmed; and the other risks and uncertainties described under “Risk Factors” of the Company’s Annual Report on Form 10-K for the year ended December 31, 2025 and Quarterly Report on Form 10-Q for the quarter ended March 31, 2026 filed with the Securities and Exchange Commission (“SEC”). These forward-looking statements involve a number of risks and uncertainties (some of which are beyond the control of Springbig), and other assumptions, which may cause the actual results or performance to be materially different from those expressed or implied by these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other than as required by applicable law. The Company does not give any assurance that it will achieve its expectations.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SpringBig 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ir@springbig.com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Springbig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$381 and $300, respectively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3,634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payroll tax credits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non-current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9,756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17,056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Warant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17,191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17,117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shares, 300,000,000 authorized at March 31, 2026; 48,786,932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2026; 300,000,000 authorized at December 31, 2025; 48,548,772 issued and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29,267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29,196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(42,182)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(12,911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(12,488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00" w:type="dxa"/>
            <w:vAlign w:val="bottom"/>
            <w:tcBorders>
              <w:bottom w:val="single" w:sz="8" w:color="CCEEFF"/>
            </w:tcBorders>
          </w:tcPr>
          <w:p>
            <w:pPr>
              <w:spacing w:after="0"/>
              <w:rPr>
                <w:sz w:val="21"/>
                <w:szCs w:val="21"/>
                <w:color w:val="auto"/>
              </w:rPr>
            </w:pPr>
          </w:p>
        </w:tc>
        <w:tc>
          <w:tcPr>
            <w:tcW w:w="4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1,858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36"/>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1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Expenses</w:t>
            </w: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1,827</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4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4,737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4500" w:type="dxa"/>
            <w:vAlign w:val="bottom"/>
            <w:tcBorders>
              <w:top w:val="single" w:sz="8" w:color="CCEEFF"/>
            </w:tcBorders>
            <w:shd w:val="clear" w:color="auto" w:fill="CCEEFF"/>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bottom w:val="single" w:sz="8" w:color="CCEEFF"/>
            </w:tcBorders>
            <w:shd w:val="clear" w:color="auto" w:fill="CCEEFF"/>
          </w:tcPr>
          <w:p>
            <w:pPr>
              <w:spacing w:after="0"/>
              <w:rPr>
                <w:sz w:val="19"/>
                <w:szCs w:val="19"/>
                <w:color w:val="auto"/>
              </w:rPr>
            </w:pPr>
          </w:p>
        </w:tc>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450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4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4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48,559,870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46,386,410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flows disclosures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added to principal for non-cash interest on convertible notes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637"/>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loss to non-GAAP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5500" w:type="dxa"/>
            <w:vAlign w:val="bottom"/>
            <w:gridSpan w:val="2"/>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(494)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4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4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EBITDA</w:t>
            </w:r>
          </w:p>
        </w:tc>
        <w:tc>
          <w:tcPr>
            <w:tcW w:w="47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1"/>
              </w:rPr>
              <w:t>(134)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4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related payments</w:t>
            </w:r>
          </w:p>
        </w:tc>
        <w:tc>
          <w:tcPr>
            <w:tcW w:w="4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7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72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2026-05-15T05:11:39Z</dcterms:created>
  <dcterms:modified xsi:type="dcterms:W3CDTF">2026-05-15T05:11:39Z</dcterms:modified>
</cp:coreProperties>
</file>