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(Mark One)</w:t>
      </w:r>
    </w:p>
    <w:tbl>
      <w:tblPr>
        <w:tblW w:w="9387" w:type="dxa"/>
        <w:jc w:val="left"/>
        <w:tblInd w:w="0" w:type="dxa"/>
        <w:tblCellMar>
          <w:top w:w="28" w:type="dxa"/>
          <w:left w:w="28" w:type="dxa"/>
          <w:bottom w:w="28" w:type="dxa"/>
          <w:right w:w="28" w:type="dxa"/>
        </w:tblCellMar>
      </w:tblPr>
      <w:tblGrid>
        <w:gridCol w:w="124"/>
        <w:gridCol w:w="109"/>
        <w:gridCol w:w="109"/>
        <w:gridCol w:w="2644"/>
        <w:gridCol w:w="2644"/>
        <w:gridCol w:w="37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7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2022 </w:t>
      </w:r>
    </w:p>
    <w:p>
      <w:pPr>
        <w:pStyle w:val="TextBody"/>
        <w:spacing w:lineRule="auto" w:line="400"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spacing w:before="0" w:after="0"/>
        <w:rPr/>
      </w:pPr>
      <w:r>
        <w:rPr/>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001-40049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68" w:before="0" w:after="100"/>
        <w:jc w:val="center"/>
        <w:rPr>
          <w:rFonts w:ascii="Times New Roman;sans-serif" w:hAnsi="Times New Roman;sans-serif"/>
          <w:b/>
          <w:color w:val="000000"/>
          <w:sz w:val="40"/>
        </w:rPr>
      </w:pPr>
      <w:r>
        <w:rPr>
          <w:rFonts w:ascii="Times New Roman;sans-serif" w:hAnsi="Times New Roman;sans-serif"/>
          <w:b/>
          <w:color w:val="000000"/>
          <w:sz w:val="40"/>
        </w:rPr>
        <w:t>SPRINGBIG HOLDINGS, INC.</w:t>
      </w:r>
    </w:p>
    <w:p>
      <w:pPr>
        <w:pStyle w:val="TextBody"/>
        <w:spacing w:lineRule="auto" w:line="400" w:before="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tbl>
      <w:tblPr>
        <w:tblW w:w="6986" w:type="dxa"/>
        <w:jc w:val="center"/>
        <w:tblInd w:w="0" w:type="dxa"/>
        <w:tblCellMar>
          <w:top w:w="28" w:type="dxa"/>
          <w:left w:w="28" w:type="dxa"/>
          <w:bottom w:w="28" w:type="dxa"/>
          <w:right w:w="28" w:type="dxa"/>
        </w:tblCellMar>
      </w:tblPr>
      <w:tblGrid>
        <w:gridCol w:w="1328"/>
        <w:gridCol w:w="1167"/>
        <w:gridCol w:w="1179"/>
        <w:gridCol w:w="109"/>
        <w:gridCol w:w="109"/>
        <w:gridCol w:w="109"/>
        <w:gridCol w:w="871"/>
        <w:gridCol w:w="871"/>
        <w:gridCol w:w="1243"/>
      </w:tblGrid>
      <w:tr>
        <w:trPr/>
        <w:tc>
          <w:tcPr>
            <w:tcW w:w="132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88-2789488</w:t>
            </w:r>
          </w:p>
        </w:tc>
      </w:tr>
      <w:tr>
        <w:trPr/>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before="0" w:after="0"/>
        <w:rPr/>
      </w:pPr>
      <w:r>
        <w:rPr/>
      </w:r>
    </w:p>
    <w:tbl>
      <w:tblPr>
        <w:tblW w:w="4584" w:type="dxa"/>
        <w:jc w:val="center"/>
        <w:tblInd w:w="0" w:type="dxa"/>
        <w:tblCellMar>
          <w:top w:w="28" w:type="dxa"/>
          <w:left w:w="28" w:type="dxa"/>
          <w:bottom w:w="28" w:type="dxa"/>
          <w:right w:w="28" w:type="dxa"/>
        </w:tblCellMar>
      </w:tblPr>
      <w:tblGrid>
        <w:gridCol w:w="678"/>
        <w:gridCol w:w="597"/>
        <w:gridCol w:w="597"/>
        <w:gridCol w:w="475"/>
        <w:gridCol w:w="475"/>
        <w:gridCol w:w="475"/>
        <w:gridCol w:w="109"/>
        <w:gridCol w:w="109"/>
        <w:gridCol w:w="109"/>
        <w:gridCol w:w="281"/>
        <w:gridCol w:w="281"/>
        <w:gridCol w:w="398"/>
      </w:tblGrid>
      <w:tr>
        <w:trPr/>
        <w:tc>
          <w:tcPr>
            <w:tcW w:w="67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r>
      <w:tr>
        <w:trPr/>
        <w:tc>
          <w:tcPr>
            <w:tcW w:w="3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621 NW 53rd 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 260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Boca Raton,</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33487</w:t>
            </w:r>
          </w:p>
        </w:tc>
      </w:tr>
      <w:tr>
        <w:trPr/>
        <w:tc>
          <w:tcPr>
            <w:tcW w:w="3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(800) 772-9172</w:t>
      </w:r>
    </w:p>
    <w:p>
      <w:pPr>
        <w:pStyle w:val="TextBody"/>
        <w:spacing w:before="0" w:after="0"/>
        <w:rPr/>
      </w:pPr>
      <w:r>
        <w:rPr/>
      </w:r>
    </w:p>
    <w:p>
      <w:pPr>
        <w:pStyle w:val="TextBody"/>
        <w:spacing w:lineRule="auto" w:line="333"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CellMar>
          <w:top w:w="28" w:type="dxa"/>
          <w:left w:w="28" w:type="dxa"/>
          <w:bottom w:w="28" w:type="dxa"/>
          <w:right w:w="28" w:type="dxa"/>
        </w:tblCellMar>
      </w:tblPr>
      <w:tblGrid>
        <w:gridCol w:w="1936"/>
        <w:gridCol w:w="1605"/>
        <w:gridCol w:w="1623"/>
        <w:gridCol w:w="109"/>
        <w:gridCol w:w="109"/>
        <w:gridCol w:w="109"/>
        <w:gridCol w:w="474"/>
        <w:gridCol w:w="474"/>
        <w:gridCol w:w="475"/>
        <w:gridCol w:w="109"/>
        <w:gridCol w:w="109"/>
        <w:gridCol w:w="109"/>
        <w:gridCol w:w="865"/>
        <w:gridCol w:w="865"/>
        <w:gridCol w:w="1234"/>
      </w:tblGrid>
      <w:tr>
        <w:trPr/>
        <w:tc>
          <w:tcPr>
            <w:tcW w:w="1936"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r>
      <w:tr>
        <w:trPr/>
        <w:tc>
          <w:tcPr>
            <w:tcW w:w="51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SBIG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r>
        <w:trPr/>
        <w:tc>
          <w:tcPr>
            <w:tcW w:w="5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each exercisable for one share of Common Stock, at an exercise price of $11.50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SBIGW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None</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 Yes ☐ No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Section 15(d) of the Act. Yes ☐ No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 </w:t>
      </w:r>
    </w:p>
    <w:p>
      <w:pPr>
        <w:pStyle w:val="TextBody"/>
        <w:spacing w:before="0" w:after="0"/>
        <w:jc w:val="both"/>
        <w:rPr/>
      </w:pPr>
      <w:r>
        <w:rPr/>
      </w:r>
    </w:p>
    <w:p>
      <w:pPr>
        <w:pStyle w:val="TextBody"/>
        <w:spacing w:lineRule="auto" w:line="400" w:before="0" w:after="10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607" w:type="dxa"/>
        <w:jc w:val="center"/>
        <w:tblInd w:w="0" w:type="dxa"/>
        <w:tblCellMar>
          <w:top w:w="28" w:type="dxa"/>
          <w:left w:w="28" w:type="dxa"/>
          <w:bottom w:w="28" w:type="dxa"/>
          <w:right w:w="28" w:type="dxa"/>
        </w:tblCellMar>
      </w:tblPr>
      <w:tblGrid>
        <w:gridCol w:w="603"/>
        <w:gridCol w:w="530"/>
        <w:gridCol w:w="532"/>
        <w:gridCol w:w="145"/>
        <w:gridCol w:w="145"/>
        <w:gridCol w:w="146"/>
        <w:gridCol w:w="674"/>
        <w:gridCol w:w="674"/>
        <w:gridCol w:w="677"/>
        <w:gridCol w:w="140"/>
        <w:gridCol w:w="140"/>
        <w:gridCol w:w="201"/>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81"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color w:val="000000"/>
              </w:rPr>
            </w:pPr>
            <w:r>
              <w:rPr>
                <w:color w:val="000000"/>
              </w:rPr>
              <w:t>  </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436"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color w:val="000000"/>
              </w:rPr>
            </w:pPr>
            <w:r>
              <w:rPr>
                <w:color w:val="000000"/>
              </w:rPr>
              <w:t>  ☒</w:t>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81"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color w:val="000000"/>
              </w:rPr>
            </w:pPr>
            <w:r>
              <w:rPr>
                <w:color w:val="000000"/>
              </w:rPr>
              <w:t>  ☒</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81"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color w:val="000000"/>
              </w:rPr>
            </w:pPr>
            <w:r>
              <w:rPr>
                <w:color w:val="000000"/>
              </w:rPr>
              <w:t>  ☒</w:t>
            </w:r>
          </w:p>
        </w:tc>
      </w:tr>
    </w:tbl>
    <w:p>
      <w:pPr>
        <w:pStyle w:val="TextBody"/>
        <w:spacing w:before="0" w:after="0"/>
        <w:jc w:val="both"/>
        <w:rPr/>
      </w:pPr>
      <w:r>
        <w:rPr/>
      </w:r>
    </w:p>
    <w:p>
      <w:pPr>
        <w:pStyle w:val="TextBody"/>
        <w:spacing w:before="0" w:after="0"/>
        <w:jc w:val="both"/>
        <w:rPr/>
      </w:pPr>
      <w:r>
        <w:rPr/>
      </w:r>
    </w:p>
    <w:p>
      <w:pPr>
        <w:pStyle w:val="TextBody"/>
        <w:spacing w:lineRule="auto" w:line="333" w:before="0" w:after="100"/>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over financial reporting under Section 404(b) of the Sarbanes-Oxley Act (15 U.S.C.7262(b)) by the registered public accounting firm that prepared or issued</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its audit report.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filing reflect the correction of an error to previously issued financial statements.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any of the registrant's executive officers during the relevant recovery period pursuant to §240.10D-1(b).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 xml:space="preserve">No   </w:t>
      </w:r>
    </w:p>
    <w:p>
      <w:pPr>
        <w:pStyle w:val="TextBody"/>
        <w:spacing w:before="0" w:after="10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and non-voting common equity held by non-affiliates of the Registrant, based on the closing price of the shares of</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common stock on the New York Stock Exchange on June 30, 2022, was $45.3 million.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As of March 28, 2023, there were 26,940,841 shares of common stock, $0.0001 par value issued and outstanding.</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DOCUMENTS INCORPORATED BY REFERENCE</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Proxy Statement for the 2023 Annual Meeting of Stockholders are incorporated herein by reference in Part III of this Annual</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Report on Form 10-K to the extent stated herein. Such proxy statement will be filed with the Securities and Exchange Commission within 120 days of the</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registrant’s fiscal year ended December 31, 2022.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SPRINGBIG,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561"/>
        <w:gridCol w:w="493"/>
        <w:gridCol w:w="493"/>
        <w:gridCol w:w="2610"/>
        <w:gridCol w:w="2590"/>
        <w:gridCol w:w="2618"/>
        <w:gridCol w:w="109"/>
        <w:gridCol w:w="109"/>
        <w:gridCol w:w="109"/>
        <w:gridCol w:w="149"/>
        <w:gridCol w:w="149"/>
        <w:gridCol w:w="215"/>
      </w:tblGrid>
      <w:tr>
        <w:trPr/>
        <w:tc>
          <w:tcPr>
            <w:tcW w:w="561"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2610" w:type="dxa"/>
            <w:tcBorders/>
            <w:shd w:fill="auto" w:val="clear"/>
            <w:vAlign w:val="center"/>
          </w:tcPr>
          <w:p>
            <w:pPr>
              <w:pStyle w:val="TableContents"/>
              <w:spacing w:before="0" w:after="283"/>
              <w:rPr>
                <w:sz w:val="4"/>
                <w:szCs w:val="4"/>
              </w:rPr>
            </w:pPr>
            <w:r>
              <w:rPr>
                <w:sz w:val="4"/>
                <w:szCs w:val="4"/>
              </w:rPr>
            </w:r>
          </w:p>
        </w:tc>
        <w:tc>
          <w:tcPr>
            <w:tcW w:w="2590" w:type="dxa"/>
            <w:tcBorders/>
            <w:shd w:fill="auto" w:val="clear"/>
            <w:vAlign w:val="center"/>
          </w:tcPr>
          <w:p>
            <w:pPr>
              <w:pStyle w:val="TableContents"/>
              <w:spacing w:before="0" w:after="283"/>
              <w:rPr>
                <w:sz w:val="4"/>
                <w:szCs w:val="4"/>
              </w:rPr>
            </w:pPr>
            <w:r>
              <w:rPr>
                <w:sz w:val="4"/>
                <w:szCs w:val="4"/>
              </w:rPr>
            </w:r>
          </w:p>
        </w:tc>
        <w:tc>
          <w:tcPr>
            <w:tcW w:w="2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9365"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365"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187">
              <w:r>
                <w:rPr>
                  <w:rStyle w:val="InternetLink"/>
                  <w:rFonts w:ascii="Times New Roman;sans-serif" w:hAnsi="Times New Roman;sans-serif"/>
                  <w:b w:val="false"/>
                  <w:color w:val="0000FF"/>
                  <w:sz w:val="18"/>
                  <w:u w:val="single"/>
                </w:rPr>
                <w:t>Frequently Used Terms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187">
              <w:r>
                <w:rPr>
                  <w:rStyle w:val="InternetLink"/>
                  <w:rFonts w:ascii="Times New Roman;sans-serif" w:hAnsi="Times New Roman;sans-serif"/>
                  <w:b w:val="false"/>
                  <w:color w:val="0000FF"/>
                  <w:sz w:val="18"/>
                  <w:u w:val="single"/>
                </w:rPr>
                <w:t>4</w:t>
              </w:r>
            </w:hyperlink>
          </w:p>
        </w:tc>
      </w:tr>
      <w:tr>
        <w:trPr/>
        <w:tc>
          <w:tcPr>
            <w:tcW w:w="9365"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220">
              <w:r>
                <w:rPr>
                  <w:rStyle w:val="InternetLink"/>
                  <w:rFonts w:ascii="Times New Roman;sans-serif" w:hAnsi="Times New Roman;sans-serif"/>
                  <w:b w:val="false"/>
                  <w:color w:val="0000FF"/>
                  <w:sz w:val="18"/>
                  <w:u w:val="single"/>
                </w:rPr>
                <w:t>Note About Forward-Looking Statements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220">
              <w:r>
                <w:rPr>
                  <w:rStyle w:val="InternetLink"/>
                  <w:rFonts w:ascii="Times New Roman;sans-serif" w:hAnsi="Times New Roman;sans-serif"/>
                  <w:b w:val="false"/>
                  <w:color w:val="0000FF"/>
                  <w:sz w:val="18"/>
                  <w:u w:val="single"/>
                </w:rPr>
                <w:t>6</w:t>
              </w:r>
            </w:hyperlink>
          </w:p>
        </w:tc>
      </w:tr>
      <w:tr>
        <w:trPr/>
        <w:tc>
          <w:tcPr>
            <w:tcW w:w="9365"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230">
              <w:r>
                <w:rPr>
                  <w:rStyle w:val="InternetLink"/>
                  <w:rFonts w:ascii="Times New Roman;sans-serif" w:hAnsi="Times New Roman;sans-serif"/>
                  <w:b w:val="false"/>
                  <w:color w:val="0000FF"/>
                  <w:sz w:val="18"/>
                  <w:u w:val="single"/>
                </w:rPr>
                <w:t>Risk Factor Summary</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230">
              <w:r>
                <w:rPr>
                  <w:rStyle w:val="InternetLink"/>
                  <w:rFonts w:ascii="Times New Roman;sans-serif" w:hAnsi="Times New Roman;sans-serif"/>
                  <w:b w:val="false"/>
                  <w:color w:val="0000FF"/>
                  <w:sz w:val="18"/>
                  <w:u w:val="single"/>
                </w:rPr>
                <w:t>7</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645">
              <w:r>
                <w:rPr>
                  <w:rStyle w:val="InternetLink"/>
                  <w:rFonts w:ascii="Times New Roman;sans-serif" w:hAnsi="Times New Roman;sans-serif"/>
                  <w:b w:val="false"/>
                  <w:color w:val="0000FF"/>
                  <w:sz w:val="18"/>
                  <w:u w:val="single"/>
                </w:rPr>
                <w:t>Item 1.</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i62b29e04d9b64495a6d4e9842671b8ca_645">
              <w:r>
                <w:rPr>
                  <w:rStyle w:val="InternetLink"/>
                  <w:rFonts w:ascii="Times New Roman;sans-serif" w:hAnsi="Times New Roman;sans-serif"/>
                  <w:b w:val="false"/>
                  <w:color w:val="0000FF"/>
                  <w:sz w:val="18"/>
                  <w:u w:val="single"/>
                </w:rPr>
                <w:t>Business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645">
              <w:r>
                <w:rPr>
                  <w:rStyle w:val="InternetLink"/>
                  <w:rFonts w:ascii="Times New Roman;sans-serif" w:hAnsi="Times New Roman;sans-serif"/>
                  <w:b w:val="false"/>
                  <w:color w:val="0000FF"/>
                  <w:sz w:val="18"/>
                  <w:u w:val="single"/>
                </w:rPr>
                <w:t>9</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667">
              <w:r>
                <w:rPr>
                  <w:rStyle w:val="InternetLink"/>
                  <w:rFonts w:ascii="Times New Roman;sans-serif" w:hAnsi="Times New Roman;sans-serif"/>
                  <w:b w:val="false"/>
                  <w:color w:val="0000FF"/>
                  <w:sz w:val="18"/>
                  <w:u w:val="single"/>
                </w:rPr>
                <w:t>Item 1A.</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667">
              <w:r>
                <w:rPr>
                  <w:rStyle w:val="InternetLink"/>
                  <w:rFonts w:ascii="Times New Roman;sans-serif" w:hAnsi="Times New Roman;sans-serif"/>
                  <w:b w:val="false"/>
                  <w:color w:val="0000FF"/>
                  <w:sz w:val="18"/>
                  <w:u w:val="single"/>
                </w:rPr>
                <w:t>Risk Factors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667">
              <w:r>
                <w:rPr>
                  <w:rStyle w:val="InternetLink"/>
                  <w:rFonts w:ascii="Times New Roman;sans-serif" w:hAnsi="Times New Roman;sans-serif"/>
                  <w:b w:val="false"/>
                  <w:color w:val="0000FF"/>
                  <w:sz w:val="18"/>
                  <w:u w:val="single"/>
                </w:rPr>
                <w:t>20</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688">
              <w:r>
                <w:rPr>
                  <w:rStyle w:val="InternetLink"/>
                  <w:rFonts w:ascii="Times New Roman;sans-serif" w:hAnsi="Times New Roman;sans-serif"/>
                  <w:b w:val="false"/>
                  <w:color w:val="0000FF"/>
                  <w:sz w:val="18"/>
                  <w:u w:val="single"/>
                </w:rPr>
                <w:t>Item 1B.</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688">
              <w:r>
                <w:rPr>
                  <w:rStyle w:val="InternetLink"/>
                  <w:rFonts w:ascii="Times New Roman;sans-serif" w:hAnsi="Times New Roman;sans-serif"/>
                  <w:b w:val="false"/>
                  <w:color w:val="0000FF"/>
                  <w:sz w:val="18"/>
                  <w:u w:val="single"/>
                </w:rPr>
                <w:t>Unresolved Staff Comments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688">
              <w:r>
                <w:rPr>
                  <w:rStyle w:val="InternetLink"/>
                  <w:rFonts w:ascii="Times New Roman;sans-serif" w:hAnsi="Times New Roman;sans-serif"/>
                  <w:b w:val="false"/>
                  <w:color w:val="0000FF"/>
                  <w:sz w:val="18"/>
                  <w:u w:val="single"/>
                </w:rPr>
                <w:t>47</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708">
              <w:r>
                <w:rPr>
                  <w:rStyle w:val="InternetLink"/>
                  <w:rFonts w:ascii="Times New Roman;sans-serif" w:hAnsi="Times New Roman;sans-serif"/>
                  <w:b w:val="false"/>
                  <w:color w:val="0000FF"/>
                  <w:sz w:val="18"/>
                  <w:u w:val="single"/>
                </w:rPr>
                <w:t>Item 2.</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708">
              <w:r>
                <w:rPr>
                  <w:rStyle w:val="InternetLink"/>
                  <w:rFonts w:ascii="Times New Roman;sans-serif" w:hAnsi="Times New Roman;sans-serif"/>
                  <w:b w:val="false"/>
                  <w:color w:val="0000FF"/>
                  <w:sz w:val="18"/>
                  <w:u w:val="single"/>
                </w:rPr>
                <w:t>Properties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708">
              <w:r>
                <w:rPr>
                  <w:rStyle w:val="InternetLink"/>
                  <w:rFonts w:ascii="Times New Roman;sans-serif" w:hAnsi="Times New Roman;sans-serif"/>
                  <w:b w:val="false"/>
                  <w:color w:val="0000FF"/>
                  <w:sz w:val="18"/>
                  <w:u w:val="single"/>
                </w:rPr>
                <w:t>47</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730">
              <w:r>
                <w:rPr>
                  <w:rStyle w:val="InternetLink"/>
                  <w:rFonts w:ascii="Times New Roman;sans-serif" w:hAnsi="Times New Roman;sans-serif"/>
                  <w:b w:val="false"/>
                  <w:color w:val="0000FF"/>
                  <w:sz w:val="18"/>
                  <w:u w:val="single"/>
                </w:rPr>
                <w:t>Item 3.</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730">
              <w:r>
                <w:rPr>
                  <w:rStyle w:val="InternetLink"/>
                  <w:rFonts w:ascii="Times New Roman;sans-serif" w:hAnsi="Times New Roman;sans-serif"/>
                  <w:b w:val="false"/>
                  <w:color w:val="0000FF"/>
                  <w:sz w:val="18"/>
                  <w:u w:val="singl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730">
              <w:r>
                <w:rPr>
                  <w:rStyle w:val="InternetLink"/>
                  <w:rFonts w:ascii="Times New Roman;sans-serif" w:hAnsi="Times New Roman;sans-serif"/>
                  <w:b w:val="false"/>
                  <w:color w:val="0000FF"/>
                  <w:sz w:val="18"/>
                  <w:u w:val="single"/>
                </w:rPr>
                <w:t>48</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751">
              <w:r>
                <w:rPr>
                  <w:rStyle w:val="InternetLink"/>
                  <w:rFonts w:ascii="Times New Roman;sans-serif" w:hAnsi="Times New Roman;sans-serif"/>
                  <w:b w:val="false"/>
                  <w:color w:val="0000FF"/>
                  <w:sz w:val="18"/>
                  <w:u w:val="single"/>
                </w:rPr>
                <w:t>Item 4.</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751">
              <w:r>
                <w:rPr>
                  <w:rStyle w:val="InternetLink"/>
                  <w:rFonts w:ascii="Times New Roman;sans-serif" w:hAnsi="Times New Roman;sans-serif"/>
                  <w:b w:val="false"/>
                  <w:color w:val="0000FF"/>
                  <w:sz w:val="18"/>
                  <w:u w:val="single"/>
                </w:rPr>
                <w:t>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751">
              <w:r>
                <w:rPr>
                  <w:rStyle w:val="InternetLink"/>
                  <w:rFonts w:ascii="Times New Roman;sans-serif" w:hAnsi="Times New Roman;sans-serif"/>
                  <w:b w:val="false"/>
                  <w:color w:val="0000FF"/>
                  <w:sz w:val="18"/>
                  <w:u w:val="single"/>
                </w:rPr>
                <w:t>48</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066">
              <w:r>
                <w:rPr>
                  <w:rStyle w:val="InternetLink"/>
                  <w:rFonts w:ascii="Times New Roman;sans-serif" w:hAnsi="Times New Roman;sans-serif"/>
                  <w:b w:val="false"/>
                  <w:color w:val="0000FF"/>
                  <w:sz w:val="18"/>
                  <w:u w:val="single"/>
                </w:rPr>
                <w:t>Item 5.</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066">
              <w:r>
                <w:rPr>
                  <w:rStyle w:val="InternetLink"/>
                  <w:rFonts w:ascii="Times New Roman;sans-serif" w:hAnsi="Times New Roman;sans-serif"/>
                  <w:b w:val="false"/>
                  <w:color w:val="0000FF"/>
                  <w:sz w:val="18"/>
                  <w:u w:val="single"/>
                </w:rPr>
                <w:t>Market for Registrant’s Common Equity, Related Stockholder Matters, and Issuer Purchases of Equity Securities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066">
              <w:r>
                <w:rPr>
                  <w:rStyle w:val="InternetLink"/>
                  <w:rFonts w:ascii="Times New Roman;sans-serif" w:hAnsi="Times New Roman;sans-serif"/>
                  <w:b w:val="false"/>
                  <w:color w:val="0000FF"/>
                  <w:sz w:val="18"/>
                  <w:u w:val="single"/>
                </w:rPr>
                <w:t>48</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791">
              <w:r>
                <w:rPr>
                  <w:rStyle w:val="InternetLink"/>
                  <w:rFonts w:ascii="Times New Roman;sans-serif" w:hAnsi="Times New Roman;sans-serif"/>
                  <w:b w:val="false"/>
                  <w:color w:val="0000FF"/>
                  <w:sz w:val="18"/>
                  <w:u w:val="single"/>
                </w:rPr>
                <w:t>Item 6.</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791">
              <w:r>
                <w:rPr>
                  <w:rStyle w:val="InternetLink"/>
                  <w:rFonts w:ascii="Times New Roman;sans-serif" w:hAnsi="Times New Roman;sans-serif"/>
                  <w:b w:val="false"/>
                  <w:color w:val="0000FF"/>
                  <w:sz w:val="18"/>
                  <w:u w:val="single"/>
                </w:rPr>
                <w:t>[Reserved]</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791">
              <w:r>
                <w:rPr>
                  <w:rStyle w:val="InternetLink"/>
                  <w:rFonts w:ascii="Times New Roman;sans-serif" w:hAnsi="Times New Roman;sans-serif"/>
                  <w:b w:val="false"/>
                  <w:color w:val="0000FF"/>
                  <w:sz w:val="18"/>
                  <w:u w:val="single"/>
                </w:rPr>
                <w:t>49</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18">
              <w:r>
                <w:rPr>
                  <w:rStyle w:val="InternetLink"/>
                  <w:rFonts w:ascii="Times New Roman;sans-serif" w:hAnsi="Times New Roman;sans-serif"/>
                  <w:b w:val="false"/>
                  <w:color w:val="0000FF"/>
                  <w:sz w:val="18"/>
                  <w:u w:val="single"/>
                </w:rPr>
                <w:t>Item 7.</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18">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18">
              <w:r>
                <w:rPr>
                  <w:rStyle w:val="InternetLink"/>
                  <w:rFonts w:ascii="Times New Roman;sans-serif" w:hAnsi="Times New Roman;sans-serif"/>
                  <w:b w:val="false"/>
                  <w:color w:val="0000FF"/>
                  <w:sz w:val="18"/>
                  <w:u w:val="single"/>
                </w:rPr>
                <w:t>49</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852">
              <w:r>
                <w:rPr>
                  <w:rStyle w:val="InternetLink"/>
                  <w:rFonts w:ascii="Times New Roman;sans-serif" w:hAnsi="Times New Roman;sans-serif"/>
                  <w:b w:val="false"/>
                  <w:color w:val="0000FF"/>
                  <w:sz w:val="18"/>
                  <w:u w:val="single"/>
                </w:rPr>
                <w:t>Item 7A.</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852">
              <w:r>
                <w:rPr>
                  <w:rStyle w:val="InternetLink"/>
                  <w:rFonts w:ascii="Times New Roman;sans-serif" w:hAnsi="Times New Roman;sans-serif"/>
                  <w:b w:val="false"/>
                  <w:color w:val="0000FF"/>
                  <w:sz w:val="18"/>
                  <w:u w:val="single"/>
                </w:rPr>
                <w:t>Quantitative and Qualitative Disclosures About Market Risk</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852">
              <w:r>
                <w:rPr>
                  <w:rStyle w:val="InternetLink"/>
                  <w:rFonts w:ascii="Times New Roman;sans-serif" w:hAnsi="Times New Roman;sans-serif"/>
                  <w:b w:val="false"/>
                  <w:color w:val="0000FF"/>
                  <w:sz w:val="18"/>
                  <w:u w:val="single"/>
                </w:rPr>
                <w:t>59</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830">
              <w:r>
                <w:rPr>
                  <w:rStyle w:val="InternetLink"/>
                  <w:rFonts w:ascii="Times New Roman;sans-serif" w:hAnsi="Times New Roman;sans-serif"/>
                  <w:b w:val="false"/>
                  <w:color w:val="0000FF"/>
                  <w:sz w:val="18"/>
                  <w:u w:val="single"/>
                </w:rPr>
                <w:t>Item 8.</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830">
              <w:r>
                <w:rPr>
                  <w:rStyle w:val="InternetLink"/>
                  <w:rFonts w:ascii="Times New Roman;sans-serif" w:hAnsi="Times New Roman;sans-serif"/>
                  <w:b w:val="false"/>
                  <w:color w:val="0000FF"/>
                  <w:sz w:val="18"/>
                  <w:u w:val="single"/>
                </w:rPr>
                <w:t>Financial Statements and Supplementary Data</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830">
              <w:r>
                <w:rPr>
                  <w:rStyle w:val="InternetLink"/>
                  <w:rFonts w:ascii="Times New Roman;sans-serif" w:hAnsi="Times New Roman;sans-serif"/>
                  <w:b w:val="false"/>
                  <w:color w:val="0000FF"/>
                  <w:sz w:val="18"/>
                  <w:u w:val="single"/>
                </w:rPr>
                <w:t>60</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74">
              <w:r>
                <w:rPr>
                  <w:rStyle w:val="InternetLink"/>
                  <w:rFonts w:ascii="Times New Roman;sans-serif" w:hAnsi="Times New Roman;sans-serif"/>
                  <w:b w:val="false"/>
                  <w:color w:val="0000FF"/>
                  <w:sz w:val="18"/>
                  <w:u w:val="single"/>
                </w:rPr>
                <w:t>Item 9.</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74">
              <w:r>
                <w:rPr>
                  <w:rStyle w:val="InternetLink"/>
                  <w:rFonts w:ascii="Times New Roman;sans-serif" w:hAnsi="Times New Roman;sans-serif"/>
                  <w:b w:val="false"/>
                  <w:color w:val="0000FF"/>
                  <w:sz w:val="18"/>
                  <w:u w:val="single"/>
                </w:rPr>
                <w:t>Changes in and Disagreements With Accountants on Accounting and Financial Disclosure</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974">
              <w:r>
                <w:rPr>
                  <w:rStyle w:val="InternetLink"/>
                  <w:rFonts w:ascii="Times New Roman;sans-serif" w:hAnsi="Times New Roman;sans-serif"/>
                  <w:b w:val="false"/>
                  <w:color w:val="0000FF"/>
                  <w:sz w:val="18"/>
                  <w:u w:val="single"/>
                </w:rPr>
                <w:t>93</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96">
              <w:r>
                <w:rPr>
                  <w:rStyle w:val="InternetLink"/>
                  <w:rFonts w:ascii="Times New Roman;sans-serif" w:hAnsi="Times New Roman;sans-serif"/>
                  <w:b w:val="false"/>
                  <w:color w:val="0000FF"/>
                  <w:sz w:val="18"/>
                  <w:u w:val="single"/>
                </w:rPr>
                <w:t>Item 9A.</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96">
              <w:r>
                <w:rPr>
                  <w:rStyle w:val="InternetLink"/>
                  <w:rFonts w:ascii="Times New Roman;sans-serif" w:hAnsi="Times New Roman;sans-serif"/>
                  <w:b w:val="false"/>
                  <w:color w:val="0000FF"/>
                  <w:sz w:val="18"/>
                  <w:u w:val="single"/>
                </w:rPr>
                <w:t>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996">
              <w:r>
                <w:rPr>
                  <w:rStyle w:val="InternetLink"/>
                  <w:rFonts w:ascii="Times New Roman;sans-serif" w:hAnsi="Times New Roman;sans-serif"/>
                  <w:b w:val="false"/>
                  <w:color w:val="0000FF"/>
                  <w:sz w:val="18"/>
                  <w:u w:val="single"/>
                </w:rPr>
                <w:t>93</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004">
              <w:r>
                <w:rPr>
                  <w:rStyle w:val="InternetLink"/>
                  <w:rFonts w:ascii="Times New Roman;sans-serif" w:hAnsi="Times New Roman;sans-serif"/>
                  <w:b w:val="false"/>
                  <w:color w:val="0000FF"/>
                  <w:sz w:val="18"/>
                  <w:u w:val="single"/>
                </w:rPr>
                <w:t>Item 9B.</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004">
              <w:r>
                <w:rPr>
                  <w:rStyle w:val="InternetLink"/>
                  <w:rFonts w:ascii="Times New Roman;sans-serif" w:hAnsi="Times New Roman;sans-serif"/>
                  <w:b w:val="false"/>
                  <w:color w:val="0000FF"/>
                  <w:sz w:val="18"/>
                  <w:u w:val="single"/>
                </w:rPr>
                <w:t>Other Information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004">
              <w:r>
                <w:rPr>
                  <w:rStyle w:val="InternetLink"/>
                  <w:rFonts w:ascii="Times New Roman;sans-serif" w:hAnsi="Times New Roman;sans-serif"/>
                  <w:b w:val="false"/>
                  <w:color w:val="0000FF"/>
                  <w:sz w:val="18"/>
                  <w:u w:val="single"/>
                </w:rPr>
                <w:t>94</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011">
              <w:r>
                <w:rPr>
                  <w:rStyle w:val="InternetLink"/>
                  <w:rFonts w:ascii="Times New Roman;sans-serif" w:hAnsi="Times New Roman;sans-serif"/>
                  <w:b w:val="false"/>
                  <w:color w:val="0000FF"/>
                  <w:sz w:val="18"/>
                  <w:u w:val="single"/>
                </w:rPr>
                <w:t>Item 9C.</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011">
              <w:r>
                <w:rPr>
                  <w:rStyle w:val="InternetLink"/>
                  <w:rFonts w:ascii="Times New Roman;sans-serif" w:hAnsi="Times New Roman;sans-serif"/>
                  <w:b w:val="false"/>
                  <w:color w:val="0000FF"/>
                  <w:sz w:val="18"/>
                  <w:u w:val="single"/>
                </w:rPr>
                <w:t>Disclosure Regarding Foreign Jurisdictions that Prevent Inspections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011">
              <w:r>
                <w:rPr>
                  <w:rStyle w:val="InternetLink"/>
                  <w:rFonts w:ascii="Times New Roman;sans-serif" w:hAnsi="Times New Roman;sans-serif"/>
                  <w:b w:val="false"/>
                  <w:color w:val="0000FF"/>
                  <w:sz w:val="18"/>
                  <w:u w:val="single"/>
                </w:rPr>
                <w:t>94</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872">
              <w:r>
                <w:rPr>
                  <w:rStyle w:val="InternetLink"/>
                  <w:rFonts w:ascii="Times New Roman;sans-serif" w:hAnsi="Times New Roman;sans-serif"/>
                  <w:b w:val="false"/>
                  <w:color w:val="0000FF"/>
                  <w:sz w:val="18"/>
                  <w:u w:val="single"/>
                </w:rPr>
                <w:t>Item 10.</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872">
              <w:r>
                <w:rPr>
                  <w:rStyle w:val="InternetLink"/>
                  <w:rFonts w:ascii="Times New Roman;sans-serif" w:hAnsi="Times New Roman;sans-serif"/>
                  <w:b w:val="false"/>
                  <w:color w:val="0000FF"/>
                  <w:sz w:val="18"/>
                  <w:u w:val="single"/>
                </w:rPr>
                <w:t>Directors, Executive Officers, and Corporate Governance</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872">
              <w:r>
                <w:rPr>
                  <w:rStyle w:val="InternetLink"/>
                  <w:rFonts w:ascii="Times New Roman;sans-serif" w:hAnsi="Times New Roman;sans-serif"/>
                  <w:b w:val="false"/>
                  <w:color w:val="0000FF"/>
                  <w:sz w:val="18"/>
                  <w:u w:val="single"/>
                </w:rPr>
                <w:t>95</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891">
              <w:r>
                <w:rPr>
                  <w:rStyle w:val="InternetLink"/>
                  <w:rFonts w:ascii="Times New Roman;sans-serif" w:hAnsi="Times New Roman;sans-serif"/>
                  <w:b w:val="false"/>
                  <w:color w:val="0000FF"/>
                  <w:sz w:val="18"/>
                  <w:u w:val="single"/>
                </w:rPr>
                <w:t>Item 11.</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891">
              <w:r>
                <w:rPr>
                  <w:rStyle w:val="InternetLink"/>
                  <w:rFonts w:ascii="Times New Roman;sans-serif" w:hAnsi="Times New Roman;sans-serif"/>
                  <w:b w:val="false"/>
                  <w:color w:val="0000FF"/>
                  <w:sz w:val="18"/>
                  <w:u w:val="single"/>
                </w:rPr>
                <w:t>Executive Compensation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891">
              <w:r>
                <w:rPr>
                  <w:rStyle w:val="InternetLink"/>
                  <w:rFonts w:ascii="Times New Roman;sans-serif" w:hAnsi="Times New Roman;sans-serif"/>
                  <w:b w:val="false"/>
                  <w:color w:val="0000FF"/>
                  <w:sz w:val="18"/>
                  <w:u w:val="single"/>
                </w:rPr>
                <w:t>95</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10">
              <w:r>
                <w:rPr>
                  <w:rStyle w:val="InternetLink"/>
                  <w:rFonts w:ascii="Times New Roman;sans-serif" w:hAnsi="Times New Roman;sans-serif"/>
                  <w:b w:val="false"/>
                  <w:color w:val="0000FF"/>
                  <w:sz w:val="18"/>
                  <w:u w:val="single"/>
                </w:rPr>
                <w:t>Item 12.</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10">
              <w:r>
                <w:rPr>
                  <w:rStyle w:val="InternetLink"/>
                  <w:rFonts w:ascii="Times New Roman;sans-serif" w:hAnsi="Times New Roman;sans-serif"/>
                  <w:b w:val="false"/>
                  <w:color w:val="0000FF"/>
                  <w:sz w:val="18"/>
                  <w:u w:val="single"/>
                </w:rPr>
                <w:t>Security Ownership of Certain Beneficial Owners and Management and Related Stockholder Matters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910">
              <w:r>
                <w:rPr>
                  <w:rStyle w:val="InternetLink"/>
                  <w:rFonts w:ascii="Times New Roman;sans-serif" w:hAnsi="Times New Roman;sans-serif"/>
                  <w:b w:val="false"/>
                  <w:color w:val="0000FF"/>
                  <w:sz w:val="18"/>
                  <w:u w:val="single"/>
                </w:rPr>
                <w:t>95</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29">
              <w:r>
                <w:rPr>
                  <w:rStyle w:val="InternetLink"/>
                  <w:rFonts w:ascii="Times New Roman;sans-serif" w:hAnsi="Times New Roman;sans-serif"/>
                  <w:b w:val="false"/>
                  <w:color w:val="0000FF"/>
                  <w:sz w:val="18"/>
                  <w:u w:val="single"/>
                </w:rPr>
                <w:t>Item 13.</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29">
              <w:r>
                <w:rPr>
                  <w:rStyle w:val="InternetLink"/>
                  <w:rFonts w:ascii="Times New Roman;sans-serif" w:hAnsi="Times New Roman;sans-serif"/>
                  <w:b w:val="false"/>
                  <w:color w:val="0000FF"/>
                  <w:sz w:val="18"/>
                  <w:u w:val="single"/>
                </w:rPr>
                <w:t>Certain Relationships and Related Transactions, and Director Independence</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929">
              <w:r>
                <w:rPr>
                  <w:rStyle w:val="InternetLink"/>
                  <w:rFonts w:ascii="Times New Roman;sans-serif" w:hAnsi="Times New Roman;sans-serif"/>
                  <w:b w:val="false"/>
                  <w:color w:val="0000FF"/>
                  <w:sz w:val="18"/>
                  <w:u w:val="single"/>
                </w:rPr>
                <w:t>95</w:t>
              </w:r>
            </w:hyperlink>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48">
              <w:r>
                <w:rPr>
                  <w:rStyle w:val="InternetLink"/>
                  <w:rFonts w:ascii="Times New Roman;sans-serif" w:hAnsi="Times New Roman;sans-serif"/>
                  <w:b w:val="false"/>
                  <w:color w:val="0000FF"/>
                  <w:sz w:val="18"/>
                  <w:u w:val="single"/>
                </w:rPr>
                <w:t>Item 14.</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948">
              <w:r>
                <w:rPr>
                  <w:rStyle w:val="InternetLink"/>
                  <w:rFonts w:ascii="Times New Roman;sans-serif" w:hAnsi="Times New Roman;sans-serif"/>
                  <w:b w:val="false"/>
                  <w:color w:val="0000FF"/>
                  <w:sz w:val="18"/>
                  <w:u w:val="single"/>
                </w:rPr>
                <w:t>Principal Accountant Fees and Services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948">
              <w:r>
                <w:rPr>
                  <w:rStyle w:val="InternetLink"/>
                  <w:rFonts w:ascii="Times New Roman;sans-serif" w:hAnsi="Times New Roman;sans-serif"/>
                  <w:b w:val="false"/>
                  <w:color w:val="0000FF"/>
                  <w:sz w:val="18"/>
                  <w:u w:val="single"/>
                </w:rPr>
                <w:t>95</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48">
              <w:r>
                <w:rPr>
                  <w:rStyle w:val="InternetLink"/>
                  <w:rFonts w:ascii="Times New Roman;sans-serif" w:hAnsi="Times New Roman;sans-serif"/>
                  <w:b w:val="false"/>
                  <w:color w:val="0000FF"/>
                  <w:sz w:val="18"/>
                  <w:u w:val="single"/>
                </w:rPr>
                <w:t>Item 15.</w:t>
              </w:r>
            </w:hyperlink>
          </w:p>
        </w:tc>
        <w:tc>
          <w:tcPr>
            <w:tcW w:w="78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48">
              <w:r>
                <w:rPr>
                  <w:rStyle w:val="InternetLink"/>
                  <w:rFonts w:ascii="Times New Roman;sans-serif" w:hAnsi="Times New Roman;sans-serif"/>
                  <w:b w:val="false"/>
                  <w:color w:val="0000FF"/>
                  <w:sz w:val="18"/>
                  <w:u w:val="single"/>
                </w:rPr>
                <w:t>Exhibits and Financial Statement Schedules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48">
              <w:r>
                <w:rPr>
                  <w:rStyle w:val="InternetLink"/>
                  <w:rFonts w:ascii="Times New Roman;sans-serif" w:hAnsi="Times New Roman;sans-serif"/>
                  <w:b w:val="false"/>
                  <w:color w:val="0000FF"/>
                  <w:sz w:val="18"/>
                  <w:u w:val="single"/>
                </w:rPr>
                <w:t>96</w:t>
              </w:r>
            </w:hyperlink>
          </w:p>
        </w:tc>
      </w:tr>
      <w:tr>
        <w:trPr/>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200">
              <w:r>
                <w:rPr>
                  <w:rStyle w:val="InternetLink"/>
                  <w:rFonts w:ascii="Times New Roman;sans-serif" w:hAnsi="Times New Roman;sans-serif"/>
                  <w:b w:val="false"/>
                  <w:color w:val="0000FF"/>
                  <w:sz w:val="18"/>
                  <w:u w:val="single"/>
                </w:rPr>
                <w:t>Item 16.</w:t>
              </w:r>
            </w:hyperlink>
          </w:p>
        </w:tc>
        <w:tc>
          <w:tcPr>
            <w:tcW w:w="78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200">
              <w:r>
                <w:rPr>
                  <w:rStyle w:val="InternetLink"/>
                  <w:rFonts w:ascii="Times New Roman;sans-serif" w:hAnsi="Times New Roman;sans-serif"/>
                  <w:b w:val="false"/>
                  <w:color w:val="0000FF"/>
                  <w:sz w:val="18"/>
                  <w:u w:val="single"/>
                </w:rPr>
                <w:t>Form 10-K Summary</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200">
              <w:r>
                <w:rPr>
                  <w:rStyle w:val="InternetLink"/>
                  <w:rFonts w:ascii="Times New Roman;sans-serif" w:hAnsi="Times New Roman;sans-serif"/>
                  <w:b w:val="false"/>
                  <w:color w:val="0000FF"/>
                  <w:sz w:val="18"/>
                  <w:u w:val="single"/>
                </w:rPr>
                <w:t>97</w:t>
              </w:r>
            </w:hyperlink>
          </w:p>
        </w:tc>
      </w:tr>
      <w:tr>
        <w:trPr/>
        <w:tc>
          <w:tcPr>
            <w:tcW w:w="9365"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51">
              <w:r>
                <w:rPr>
                  <w:rStyle w:val="InternetLink"/>
                  <w:rFonts w:ascii="Times New Roman;sans-serif" w:hAnsi="Times New Roman;sans-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51">
              <w:r>
                <w:rPr>
                  <w:rStyle w:val="InternetLink"/>
                  <w:rFonts w:ascii="Times New Roman;sans-serif" w:hAnsi="Times New Roman;sans-serif"/>
                  <w:b w:val="false"/>
                  <w:color w:val="0000FF"/>
                  <w:sz w:val="18"/>
                  <w:u w:val="single"/>
                </w:rPr>
                <w:t>98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Frequently Used Terms</w:t>
      </w:r>
    </w:p>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20"/>
        </w:rPr>
        <w:t>As used in this Annual Report on Form 10-K, references to</w:t>
      </w:r>
      <w:r>
        <w:rPr>
          <w:rFonts w:ascii="Times New Roman;sans-serif" w:hAnsi="Times New Roman;sans-serif"/>
          <w:b w:val="false"/>
          <w:color w:val="000000"/>
          <w:sz w:val="24"/>
        </w:rPr>
        <w:t>:</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amended and restated merger agreement” are to the agreement and plan of merger, dated as of April 14, 2022,by and among Tuatara, Merger Sub and Legacy SpringBig, as amended and restated by Amendment No. 1, dated as of May 4, 2022;</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amended and restated registration rights agreement” are to the Amended and Restated Registration Rights Agreement entered into, by and among Tuatara, Sponsor, Legacy SpringBig, and the other signatories thereto;</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business combination” are to the transactions contemplated by the merger agreement;</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Canadian CRTC” are to the Canadian Radio-Television and Telecommunications Commission;</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Cannabis Act” are to the Cannabis Act (Canada);</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Cantor” or “Holder” are to CF Principal Investments LLC;</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Cantor Equity Facility” are to the Common Stock Purchase Agreement and Cantor Registration Rights Agreement, related to a committed equity facility by which SpringBig has the right to sell to CF Principal Investments LLC up to $50,000,000 of newly issued common stock;</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Cantor Registration Rights Agreement” are to the registration rights agreement, dated as of April 29, 2022, by and between Tuatara and Cantor;</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Code” are to the Internal Revenue Code of 1986, as amended;</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Common Shares,” “Common Stock” or “Shares” are to the shares of common stock of SpringBig Holdings, Inc., par value $0.0001 per share;</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Common Stock Purchase Agreement” are to the Common Stock Purchase Agreement, dated as of April 29, 2022, by and between Tuatara and the Holder, as amended by Amendment No. 1, dated July 20, 2022;</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Company,” “SpringBig,” “we,” “us,” “our” and similar terms are to SpringBig Holdings, Inc., a Delaware corporation, and its consolidated subsidiaries;</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COVID-19” are to SARS-Cov-2 or COVID-19, and any evolutions thereof or related or associated epidemics, pandemics or disease outbreaks;</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CSA” are to the U.S. Controlled Substances Act of 1970, as amended;</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DGCL” are to the Delaware General Corporation Law, as amended;</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effective time” are to the effective time of the certificate of merger effecting the merger contemplated by the amended and restated merger agreement;</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Exchange Act” are to the Securities Exchange Act of 1934, as amended;</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FCC” are to the United States Federal Communications Commission;</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GAAP” are to United States generally accepted accounting principles;</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Legacy SpringBig” are to SpringBig, Inc., a Delaware corporation, prior to the business combination, and a wholly-owned subsidiary of SpringBig following the business combination;</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merger” are to the merger evidenced by a certificate of merger between Merger Sub and Legacy SpringBig pursuant to which Merger Sub merged with and into Legacy SpringBig, with Legacy SpringBig continuing as the surviving entity and a subsidiary of SpringBig;</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merger agreement” are to the original merger agreement and the amended and restated merger agreement, collectively, as amended or modified from time to time, by and among Tuatara, Merger Sub and Legacy SpringBig;</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Merger Sub” are to HighJump Merger Sub, Inc., a Delaware corporation and a wholly owned direct subsidiary of Tuatara;</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Nasdaq” are to The Nasdaq Stock Market LLC;</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Notes and Warrants Purchase Agreement” are to that certain securities purchase agreement, dated April 29, 2022, as amended by the Amendment to Purchase Agreement, dated December 1, 2022, and Amendment No. 2 to the Purchase Agreement, dated December 28, 2022, between the Company and L1 Capital Global Opportunities Master Fund (the “Investor”), pursuant to which the Company agreed to sell up to (i) a total of up to $16 million of 6% Senior Secured Original Issue Discount Convertible Notes due 2024 (the “L1 Notes”) and (ii) a number of warrants equal to one-half of the principal of the Notes actually issued, divided by the volume weighted average price (“VWAP”) on the trading day prior to such Note issuance date (the “Investor Warrants”), in a private placement.</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 xml:space="preserve">original merger agreement” are to the agreement and plan of merger, dated as of November 8, 2021, by and among Tuatara, Merger Sub and SpringBig;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PIPE subscription financing” are to the aggregate $13,100,000 of proceeds from the issuance of the subscription shares;</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SaaS” are to software-as-a-service;</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Securities Act” are to the Securities Act of 1933, as amended;</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Sponsor” are to TCAC Sponsor, LLC a Delaware limited liability company;</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TCPA” are to the United States Telephone Consumer Protection Act of 1991, as amended;</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transfer agent” are to Continental Stock Transfer &amp; Trust Company, as transfer agent;</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Tuatara,” “we,” “our” or “us” are to Tuatara Capital Acquisition Corporation, an exempted company incorporated under the laws of the Cayman Islands, the predecessor entity to SpringBig; and</w:t>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 “US$” and “U.S. dollar” each refer to the United States dollar.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400" w:before="0" w:after="0"/>
        <w:jc w:val="center"/>
        <w:rPr>
          <w:rFonts w:ascii="Times New Roman;sans-serif" w:hAnsi="Times New Roman;sans-serif"/>
          <w:b/>
          <w:color w:val="000000"/>
          <w:sz w:val="24"/>
        </w:rPr>
      </w:pPr>
      <w:r>
        <w:rPr>
          <w:rFonts w:ascii="Times New Roman;sans-serif" w:hAnsi="Times New Roman;sans-serif"/>
          <w:b/>
          <w:color w:val="000000"/>
          <w:sz w:val="24"/>
        </w:rPr>
        <w:t>Note About Forward-Looking Statements</w:t>
      </w:r>
    </w:p>
    <w:p>
      <w:pPr>
        <w:pStyle w:val="TextBody"/>
        <w:spacing w:before="0" w:after="0"/>
        <w:ind w:left="0" w:right="0" w:firstLine="495"/>
        <w:jc w:val="both"/>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 looking statements that are subject to risks and uncertainties. All statements other than statements of historical fact included in this Annual Report on Form 10-K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 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 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pStyle w:val="TextBody"/>
        <w:spacing w:before="0" w:after="0"/>
        <w:ind w:left="0" w:right="0" w:firstLine="495"/>
        <w:jc w:val="both"/>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risks and uncertainties that could cause actual results to differ materially from the results reflected in these forward-looking statements are identified in the section entitled “Risk Factors” and in our periodic filings with the SEC. Our SEC filings are available publicly on the SEC’s website at www.sec.gov.</w:t>
      </w:r>
    </w:p>
    <w:p>
      <w:pPr>
        <w:pStyle w:val="TextBody"/>
        <w:spacing w:before="0" w:after="0"/>
        <w:ind w:left="0" w:right="0" w:firstLine="360"/>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on Form 10-K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47" w:before="0" w:after="0"/>
        <w:jc w:val="center"/>
        <w:rPr>
          <w:rFonts w:ascii="Times New Roman;sans-serif" w:hAnsi="Times New Roman;sans-serif"/>
          <w:b/>
          <w:color w:val="000000"/>
          <w:sz w:val="24"/>
        </w:rPr>
      </w:pPr>
      <w:r>
        <w:rPr>
          <w:rFonts w:ascii="Times New Roman;sans-serif" w:hAnsi="Times New Roman;sans-serif"/>
          <w:b/>
          <w:color w:val="000000"/>
          <w:sz w:val="24"/>
        </w:rPr>
        <w:t>Risk Factor Summary</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pStyle w:val="TextBody"/>
        <w:spacing w:before="0" w:after="0"/>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have a relatively short operating history in a rapidly evolving industry, which makes it difficult to evaluate our future prospects and may increase the risk that we will not be successful. As our costs increase, we may not be able to generate sufficient revenue to become profitable or maintain profitability in the future.</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If we do not successfully develop and deploy new software, platform features or services to address the needs of our clients, if we fail to retain our existing clients or acquire new clients, and/or if we fail to expand effectively into new markets, our revenue may decrease and our business may be harmed.</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have a significant working capital deficiency and a history of losses, may need to raise additional funds to meet our obligations and sustain our operations, and may not achieve profitability in the future. There is substantial doubt as to our ability to continue as a going concern.</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Some of our clients currently and in the future may not be in compliance with licensing and related requirements under applicable laws and regulations. We further cannot ensure that our clients will conduct their business in a way that complies with all laws.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Our business is dependent on U.S. state laws and regulations and Canadian federal and provincial laws and regulations pertaining to the cannabis industry, its continued legalization, and the rapid changes in applicable laws and regulations may increase the risk that we will not be successful. We are subject to various standards, laws and regulations and any actual or perceived failure to comply with such obligations could harm our business.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Our business is dependent on the market acceptance of cannabis consumers and negative trends could adversely affect our business operations.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Our business is highly dependent upon our brand recognition and reputation, and any erosion or degradation of our brand recognition or reputation would likely adversely affect our business and operating results.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currently face intense competition in marketing and advertising services available to our clients, and we expect competition to further intensify as the cannabis industry continues to evolve.</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If we fail to predict and/or manage our growth effectively, our brand, business and operating results could be harmed.</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If we are unable to recruit, train, retain and motivate key personnel, we may not achieve our business objectives.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If our current marketing model is not effective in attracting new clients, we may need to employ higher-cost sales and marketing methods to attract and retain clients, which could adversely affect our profitability.</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may be unable to scale and adapt our existing technology and network infrastructure in a timely or effective manner to ensure that our platform is accessible, which would harm our reputation, business and operating results.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Real or perceived errors, failures, or bugs in our platform or cyber security breaches, unauthorized access or other events could adversely affect our operating results and growth prospects and/or subject us to significant liability.</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The impact of global, regional or local economic and market conditions or events may adversely affect our business, operating results and financial condition.</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Investors should not rely on outdated financial projections.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may improve our products and solutions in ways that forego short-term gains.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Future investments in our growth strategy, including acquisitions, could disrupt our business and adversely affect our operating results, financial condition and cash flows.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may need to raise additional capital, which may not be available on favorable terms, if at all, causing dilution to our stockholders, restricting our operations or adversely affecting our ability to operate our business. Further, we may be unable to obtain such financing.</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Our obligations to the holder of the L1 Notes are secured by a security interest in substantially all of our assets, so if we default on those obligations, the noteholders could foreclose on, liquidate and/or take possession of our assets. If that were to happen, we could be forced to curtail, or even to cease, our operations. The L1 Notes also restricts our ability obtain additional debt and equity financing, which may restrict our ability to grow and finance our operations.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be subject to potential adverse tax consequences. </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Changes in accounting standards or other factors could negatively impact our future effective tax rate.</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Cannabis remains illegal under federal law, and therefore, strict enforcement of federal laws regarding cannabis would likely result in our inability to execute our business plan.</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Our business and our clients are subject to a variety of U.S. and foreign laws regarding financial transactions related to cannabis, which could subject our clients to legal claims or otherwise adversely affect our business.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are dependent on our banking relations, and we may have difficulty accessing or consistently maintaining banking or other financial services due to our connection with the cannabis industry.</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Due to our involvement in the cannabis industry, we may have a difficult time obtaining the various insurances that are desired to operate our business and/or in enforcing certain of our commercial contracts, which may expose us to additional risk and financial liability.</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may in the future be, subject to disputes and assertions by third parties with respect to alleged violations of intellectual property rights. These disputes could be costly to defend and could harm our business and operating results.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Some of our solutions contain open source software, which may pose particular risks to our proprietary software and solutions.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The success of our business heavily depends on our ability to protect and enforce our intellectual property rights.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If we fail to meet all applicable requirements of the Nasdaq Stock Market LLC (“Nasdaq”), and Nasdaq determines to delist our common stock, the delisting could adversely affect the market liquidity of our common stock and the market price of our common stock could decrease.</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do not intend to pay cash dividends for the foreseeable future.</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may be subject to securities litigation, which is expensive and could divert management attention.</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A significant portion of our total outstanding shares may be issued and/or sold into the market in the near future. This would result in dilution to existing shareholders and could cause the market price of our shares of common stock to drop significantly, even if our business is doing well.</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may amend the terms of our public and private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 holders.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We have and will continue to incur increased costs as a result of operating as a public company and our management has and will continue to devote a substantial amount of time to new compliance initiatives.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jc w:val="center"/>
        <w:rPr/>
      </w:pPr>
      <w:r>
        <w:rPr/>
      </w:r>
    </w:p>
    <w:p>
      <w:pPr>
        <w:pStyle w:val="TextBody"/>
        <w:spacing w:lineRule="auto" w:line="400" w:before="0" w:after="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Our Mission</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clients with an easy-to-use loyalty, digital communications platform that drives their consumers to action. SpringBig empowers our clients to effectively communicate with, increase the loyalty of, and expand their consumer population through the provision of an integrated technology platform supported by robust analytics. Our goal is to become the leading SaaS software platform to cannabis retailers and brands, providing data-driven loyalty, marketing and consumer buying experience solutions throughout the U.S. and Canada, and ultimately expanding internationally and into other regulated markets.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Summary of Our Business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SpringBig is a market-leading software platform providing customer loyalty and marketing automation solutions to retailers and brands. SpringBig believes that it is a market leader in its product categories for a number of factors including, among others, (i) the number of SpringBig customers and consumers enrolled on SpringBig’s platform (and the percentage of known licensed cannabis retailers enrolled in SpringBig’s product service); (ii) scale (SpringBig has operations and clients in all states that have legalized cannabis); (iii) the comprehensive services offered by SpringBig; (iv) the technology offered by SpringBig that, among other things, connects the three categories of participants in the cannabis ecosystem (customers, retailers, and brands) and provides effective communications and marketing to end-consumers; (v) SpringBig’s expertise in loyalty programs and marketing automation; (vi) the quality of SpringBig’s client services; and (vii) SpringBig’s ability to provide data analytics.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in 2016,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 marketing solutions drive new customer acquisition, customer spend and retail foot traffic. Our proven business-to-business-to-customer (“B2B2C”) software platform creates powerful network effects between retailers and brands and provides an ability for both to connect directly with consumers. As retailers and brand scale, a virtuous cycle is created, ultimately expanding SpringBig’s reach, strengthening our value proposition:</w:t>
      </w:r>
    </w:p>
    <w:p>
      <w:pPr>
        <w:pStyle w:val="TextBody"/>
        <w:spacing w:before="0" w:after="0"/>
        <w:jc w:val="both"/>
        <w:rPr/>
      </w:pPr>
      <w:r>
        <w:rPr/>
      </w:r>
    </w:p>
    <w:p>
      <w:pPr>
        <w:pStyle w:val="TextBody"/>
        <w:spacing w:before="0" w:after="0"/>
        <w:jc w:val="both"/>
        <w:rPr/>
      </w:pPr>
      <w:r>
        <w:rPr/>
        <w:drawing>
          <wp:inline distT="0" distB="63500" distL="0" distR="0">
            <wp:extent cx="6505575" cy="29241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6505575" cy="2924175"/>
                    </a:xfrm>
                    <a:prstGeom prst="rect">
                      <a:avLst/>
                    </a:prstGeom>
                  </pic:spPr>
                </pic:pic>
              </a:graphicData>
            </a:graphic>
          </wp:inline>
        </w:drawing>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Today, we serve approximately 1,300 brand and retailer clients across approximately 3,000 distinct retail locations in North America. Our clients distribute in excess of 2 billion messages annually, and in the last year more than $7.5 billion of gross merchandise value (“GMV”) was accounted for by our clients utilizing our platform. SpringBig has successfully grown its revenue at a rapid pace, from $5.7 million in 2019 to $26.6 million in 2022. We have an excellent track record of securing and retaining our clients with our value proposition, which we measure by our “net revenue retention rate.” When evaluating our retention rates and calculating our net revenue retention rate, SpringBig calculates the average recurring monthly revenue from retail clients, adjusted for losses, increases and decreases in monthly subscriptions during the prior twelve months divided by the average recurring monthly subscription revenue over the same trailing twelve-month period. To determine the average recurring monthly revenue, SpringBig calculates monthly subscription revenue (derived from the monthly recurring subscription fees paid by retail clients, excluding the initial monthly contract amount of any new client subscriptions) from all retail clients, averaged over the previous twelve month period. See “Management’s Discussion and Analysis of Financial Condition and Results of Operations - Key Operating and Financial Metrics” for a further discussion of net revenue retention rate.</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SpringBig is well positioned to become the leading software platform for cannabis retailers and brands by providing data-driven loyalty and marketing solutions to enhance a frictionless consumer buying experience.</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What SpringBig Does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commercialized a comprehensive suite of Software-as-a-Service (“SaaS”) solutions for our retailer and brand clients (who we refer to as “clients” and their end-user customers as “customers” or “consumers”).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Through their subscriptions, our retail clients have access to in-depth campaign data, robust analytics, and actionable feedback and summaries to help inform their business decisions and maximize customer engagement and retention. When a client subscribes to our platform, we charge affordable initial set-up fees and the majority of our revenue is derived from a monthly recurring subscription fee. Typically, our subscription agreements extend for twelve months, and unless terminated in accordance with their terms, generally renew for subsequent and recurring 12-month periods. Our client subscriptions cover access to our platform as well as messaging services.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terms of a subscription, a client receives a pre-determined quantum of communication credits per month, and we invoice the client additional amounts if the pre-determined credit volume is exceeded in any month (though the subscription agreements do not stipulate the volume of messages the client must cause to be sent during a month). The fees for such excess use are set forth in the client’s subscription agreement. In some cases, a client has separate subscriptions relating to the use of the software platform and the communications and, in other cases, these are bundled into a single subscription.</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monthly subscription fee charged to SpringBig’s clients is set forth in such client’s subscription agreement and is based on the scope of the subscription, which is determined based on (1) the number of customers on a client’s database (e.g., use of the SpringBig platform) and/or (2) the pre-determined quantum of communication credits that such client may use per month. As noted above, if this pre-determined credit volume is exceeded in any month, SpringBig will invoice the client for such excess use by the client. Excess use revenue has historically accounted for up to 30% of revenue. We expect excess use revenue as a percentage of recurring subscription revenue to decrease as customers scale and progress to higher subscription tiers over their lifetime. SpringBig’s revenue is not based on the success or effectiveness of any marketing campaign communications.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 by empowering brands with direct access to consumers via our brands platform. Our recently introduced brands platform allows brands to advertise and engage cannabis consumers, drive brand awareness, acquire VIP customers with high lifetime value, and access detailed reporting insights into essential campaign attribution metrics. Pricing for the brands platform is either structured on a bulk-pay basis or as a monthly subscription.</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Industry Overview</w:t>
      </w:r>
    </w:p>
    <w:p>
      <w:pPr>
        <w:pStyle w:val="TextBody"/>
        <w:spacing w:before="0" w:after="0"/>
        <w:rPr/>
      </w:pPr>
      <w:r>
        <w:rPr/>
      </w:r>
    </w:p>
    <w:p>
      <w:pPr>
        <w:pStyle w:val="TextBody"/>
        <w:spacing w:lineRule="auto" w:line="268" w:before="0" w:after="0"/>
        <w:ind w:left="0" w:right="0" w:firstLine="400"/>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within the large and expanding cannabis retail market in the United States and Canada. Cannabis is one of the fastest emerging consumer end markets in the U.S, and it is expected to grow from $20 billion in 2020 to in excess of $40 billion by 2025, representing a compound annual growth in excess of 15%. Currently, 37 states plus the District of Columbia have legalized medical cannabis, and 21 states plus the District of Columbia have legalized adult-use cannabis. While there is generally a lag period between the time a market adopts legislation permitting either medical or adult cannabis use and significant revenue generation by SpringBig, states that have recently enacted legalization measures, such as New York and New Jersey, are expected to contribute significant additional sales growth to the market by 2025 when they are expected to be fully operational. Further momentum from the legislative and regulatory changes is expected to drive expansion of the total addressable market as more states continue to legalize cannabis for adult-use and medical use. We operate in all states that have legalized cannabis in some form (be it adult-use or medical), and we plan to be a first-mover in future new markets. Additional tailwinds such as a decrease in raw material costs, intensifying competition amongst cannabis retailers and brands, and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increased marketing spends by clients are also expected to contribute to the expansion of our total addressable market as customer engagement and retention will become ever more critical for cannabis retailers and brands to succeed.</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Current technology offerings to cannabis retailers and brands are rudimentary, and the technology landscape offers a highly fragmented environment with lots of competition within a pool of small players. We believe that SpringBig is the leading loyalty and marketing software platform of scale to the cannabis industry and that we are best positioned to capture the significant uptick expected in marketing spend. There are only a few cannabis-specific companies that provide products similar to our offering, and SpringBig currently does not face competition from traditional loyalty marketing providers due to legal restrictions for cannabis at the federal level; however, as described in “Key Challenges,” below, SpringBig believes it is well-positioned to provide differentiated value as the competitive landscape evolves.</w:t>
      </w:r>
    </w:p>
    <w:p>
      <w:pPr>
        <w:pStyle w:val="TextBody"/>
        <w:spacing w:before="0" w:after="0"/>
        <w:jc w:val="both"/>
        <w:rPr/>
      </w:pPr>
      <w:r>
        <w:rPr/>
      </w:r>
    </w:p>
    <w:p>
      <w:pPr>
        <w:pStyle w:val="TextBody"/>
        <w:spacing w:before="0" w:after="0"/>
        <w:jc w:val="both"/>
        <w:rPr/>
      </w:pPr>
      <w:r>
        <w:rPr/>
        <w:drawing>
          <wp:inline distT="0" distB="63500" distL="0" distR="0">
            <wp:extent cx="6505575" cy="31718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6505575" cy="3171825"/>
                    </a:xfrm>
                    <a:prstGeom prst="rect">
                      <a:avLst/>
                    </a:prstGeom>
                  </pic:spPr>
                </pic:pic>
              </a:graphicData>
            </a:graphic>
          </wp:inline>
        </w:drawing>
      </w:r>
    </w:p>
    <w:p>
      <w:pPr>
        <w:pStyle w:val="TextBody"/>
        <w:spacing w:before="0" w:after="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Key Challenges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stringent and evolving regulations, which also vary state-by-state, restrict retailers’ and brands’ abilities to engage with customers, currently present significant challenges to their marketing efforts. In addition, these retailers and brands lack access to actionable data and analytics tools to market their products to customers efficiently.</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Customer Engagement Needs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cannabis industry is a highly fragmented and competitive industry where price and promotions are key drivers of sales. Further, traditional marketing channels restrict cannabis marketing, preventing businesses from marketing their products and reaching consumers. Google, Facebook, and other social media platforms serve as an outlet for businesses to market their products in most other industries, but they restrict cannabis companies from operating on their platforms. Some SMS providers also restrict licensed cannabis businesses from accessing networks, and these barriers currently make it challenging for cannabis retailers and brands to drive customer acquisition, retention, engagement, and loyalty. Furthermore, the continued penetration by cannabis focused e-commerce providers have increased competition and decreased customer loyalty for bricks and mortar cannabis retailers.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SpringBig has developed and commercialized a comprehensive suite of SaaS solutions to address the challenges that cannabis retailers and brands face in this industry. Further, while cannabis clients do not currently have access to certain traditional marketing channels, including social media platforms, we believe that our platform’s products and services, in particular our data and analytics capabilities, position us well to provide significant value to cannabis retailers and brands whenever these social media platforms become available, by enabling these businesses to determine the effective targeting and focus of their marketing solutions and loyalty programs.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state-by-state legalization continues, we expect cannabis retailers and brands to look to expand and seek new ways to reach and engage customers efficiently.</w:t>
      </w:r>
    </w:p>
    <w:p>
      <w:pPr>
        <w:pStyle w:val="TextBody"/>
        <w:spacing w:before="0" w:after="0"/>
        <w:ind w:left="0" w:right="0" w:firstLine="40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Data and Analytics Needs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In our experience, many cannabis retailers and brands lack access to customer feedback data that is essential to reach customers and build relationships with them efficiently. Additionally, we have found that cannabis retailers and brands do not currently have the technological infrastructure and analytical tools necessary to process the data they collect from customers into actionable data for marketing purposes. Unlike most other industries, the cannabis sector requires market intelligence and data solutions that are tailored to the specific needs of individual retailers, brands and consumers considering the current restrictive and evolving regulatory and legal environment. The current federal regulatory status of cannabis poses barriers of entry for large communication and data solution providers, representing a significant unmet need.</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How SpringBig Addresses These Challenges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solutions are designed to address the key challenges faced by cannabis retailers and brands. Today’s industry participants lack sufficient visibility into customer behavior and need a solution that bridges communication between consumers, retailers and brands. We believe our solutions foster valuable connections and interactions that improve clarity, trust and satisfaction between these stakeholders.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Although carrier-imposed restrictions limit the use of blatant cannabis content being sent directly via SMS, SpringBig has developed a proprietary solution, compliant with TCPA, FCC, and Canadian CRTC, that helps cannabis retailers and brands communicate directly with their consumers, offering a direct communication and engagement channel, using text, images and other forms of media.</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platform empowers our clients to improve and analyze customer acquisition, retention, basket spend and retail foot traffic. Retailers and brands can use SpringBig’s platform to connect with consumers, thus driving improvements in customer engagement and retention and increasing brand exposure. Once customers are engaged, the SpringBig platform enables businesses to amplify consumer spend through differentiated marketing solutions which target the consumer directly in an industry where doing so has been challenging in the past. While brand loyalty in the cannabis market has historically proven challenging, our offerings effectively connect the consumer with brands and drive loyalty.</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retailers with the analytics infrastructure to make data actionable. Our data solutions are purpose-built for the cannabis industry and enable our clients to leverage data to more effectively market their products to consumers. Through our integrations with 19 point of sale (“POS”) providers, 4 major cannabis e-commerce providers and other data providers, our platform offers robust consumer purchasing and marketing feedback data to allow our customers to take direct marketing and promotional actions. These commercial relationships take varying forms, depending on the relationship, including licensing and referral arrangements.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proprietary auto-connect module supports further automation of marketing campaigns based on data. We also offer marketing automation solutions that provide for consistency of customer communication, which retailers and brands can use to drive customer retention and retail foot traffic. Our platform offers functionality to help build brand loyalty through loyalty programs that offer various rewards and offers. Our reporting and analytics offerings deliver valuable insights that our clients utilize to better understand their customer base, purchasing habits and trends. Consumer actions become measurable, thus providing our clients with data that can be leveraged to make better informed business decisions and more targeted marketing campaigns.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In the cannabis industry, the retailer maintains the relationship with the consumer, and it is challenging in the current regulatory environment for brands to directly interact with those consumers. The SpringBig brands platform enables brands to directly interact with consumers in a manner that is otherwise not feasible, short of such brand independently compiling and maintaining a separate consumer database.</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Through SMS marketing, emails, customer feedback system and loyalty programs, we believe our solutions are crucial in managing customer relationships in this emerging industry. In time, as legislation permits, our product offerings will likely be enhanced to incorporate other aspects of the customer experience, including further enhanced data analytics and, when legally permissible, online ordering and payments.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Our Retail Offering</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serve in excess of 1,300 retailers in approximately 3,000 distinct locations providing them with a comprehensive suite of tools needed to attract customers, market products, and analyze key data. We are entrenched with most of the leading multi-state operators which allows us to capture the “enterprise” customer base, while also being equally suited to the smaller cannabis retail operators.</w:t>
      </w:r>
    </w:p>
    <w:p>
      <w:pPr>
        <w:pStyle w:val="TextBody"/>
        <w:spacing w:before="0" w:after="0"/>
        <w:ind w:left="0" w:right="0" w:firstLine="40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anticipated growth of the cannabis retail market presents an opportunity to reach additional retailers as cannabis becomes more widely used and states continue to legalize. The tools that we provide allow retailers to engage and better communicate with their consumers. Further, SpringBig offers retailers robust reporting and analytics tools, which help them understand product and sales trends, track consumer activity, and gain insights that can be leveraged to drive sales.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On the consumer side, we offer a suite of elegant consumer-facing products. The enrollment process is streamlined and designed to provide for compliance and clarity. Once enrolled, consumers can develop their profile, will receive appropriate messages and offers and access their retailer’s specific rewards wallet application, where multiple images, videos, and links can be added for the consumer to explore.</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An important component of our platform is text message marketing, which allows clients to send promotions to existing customers. Our text messaging platform offers a variety of features, including multiple customer segmentations, which automatically groups customers into segments based on their preferences and purchase behavior. Retailers also have access to the “autoconnects” feature, which allows them to easily leverage customer data and send messages directly to consumers based on certain actions and also includes functionality to help clients avoid missed opportunities to send text messages. We also provide an e-signature app, designed to accommodate a proper ‘double opt-in’ procedure, through both implied and expressed consent, to facilitate compliance with the TCPA, FCC, and Canadian CRTC. Finally, campaign performance analytics provide transparency on deliverability and message opening rates. We utilize proprietary technology to filter out fake phone numbers, burner phones, and landlines. In an environment where communication with cannabis consumers is constrained, text messaging is extremely effective in influencing purchase behavior, while also driving foot traffic and continuing to reach new customers and target markets.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Retailers compile highly-targeted marketing campaigns based on the consumer profiles and preferences and are provided with detailed campaign metrics that enable further refinement and enhanced targeting of future campaigns. The consumer application (wallet) itself can easily be customized with a distinct icon, name, layout, and color scheme, thus allowing for brand consistency and a higher-quality and frictionless customer experience. Here, customers can access and check their points, redeem rewards, and view upcoming offers. The wallet fully integrates with cannabis e-commerce providers, allowing customers to place orders directly from their wallet. The features and ease of use that comes with the SpringBig rewards wallet creates customer loyalty and establishes a relationship between the client and the consumer. Customer relationships are a crucial component in retail that has been restricted as a result of the complexities of the cannabis industry. Nonetheless, we have designed our platform to make this connection easy.</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SpringBig platform also provides support for consumer feedback with robust dashboards that track key survey performance indicators that allow clients to measure customer satisfaction. The “Feedback by SpringBig” offering allows businesses to survey customers post-purchase, track and analyze feedback, and then take action based on this information. From the initial online search to in-store purchase, clients possess the ability to track the entire customer experience. Comprehensive reports give clients the tools to better understand customer trends, and allows the retailer to analyze specific operational, product, and promotional opportunities. By identifying key trends, our users are able to improve customer loyalty and increase retention.</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SpringBig offers retailers powerful insight dashboards that provide comprehensive data that can be used to make informed business decisions. Our platform also allows retailers to create marketing campaigns, ensuring that consumers receive all relevant promotions. Once a campaign launches, retailers are able to analyze in-depth data in order to measure campaign success. ERP-level customer data management and analysis also allow retailers to organize their sales funnel and provide a personalized, targeted approach to marketing campaigns.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integrates with many of the leading POS systems in the cannabis industry, which allows retailers to simplify workstreams by automatically collecting a plethora of data on consumers. Integrating our marketing automation software with the retailer’s POS system makes for more efficient management of customer relationships and facilitates using specific POS data in design and implementation of marketing campaigns. With integrations, in real-time retailers can review performance results and the return on investment (“ROI”) for each marketing campaign. Additionally, the SpringBig clients are also able to ascertain which cannabis brands and products perform the best, thus allowing retailers to customize meaningful messaging and offers for their customer base.</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Our Brand Marketing Platform</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brand marketing platform offers a leading direct-to-consumer marketing automation platform in the cannabis industry. The data-rich direct-to-consumer marketing engine allows brands to target and measure the complete transaction cycle from initial engagement through point of sale.</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cannabis brands with the opportunity to provide content that, in turn, our retail clients can utilize in their targeted consumer marketing campaigns. This provides the brand with differentiated access to the consumer and that can be effectively leveraged through the brand and retailer cooperating in a promotional campaign on our platform.</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Brands aim to materially increase their brand awareness, expand retail partnerships and acquire and retain new customers. The SpringBig brands platform provides brand clients with access to detailed reports that offer valuable insights into essential campaign attribution metrics. There are approximately 5,000 existing cannabis brands in the U.S., and this early-stage initiative represents a significant future growth opportunity for us. Our marketing database with over 40 million consumers is a highly-differentiated SpringBig asset that powers cannabis brands in driving brand recognition and promoting awareness.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Our Platform and Data Assets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created a distinct B2B2C platform supported by a wealth of data assets to effectively monetize our large and growing base of cannabis consumers. Currently, the cannabis industry falls significantly short of market intelligence and data solutions that would typically be found in other industries: retailers lack analytics infrastructure to make data actionable for marketing, and lack of feedback data poses challenges for brands to reach and establish relationships with consumers directly. Our leading messaging, loyalty, and customer experience platform recognizes powerful network effects among brands, retailers, and cannabis consumers to enable our clients to make better business decisions. We retain retailers as paying SaaS subscription customers, who then acquire consumers. Brands target retailers that successfully acquire loyal consumers, which drives increased retailer interest and recurring revenue.</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SpringBig platform is also supported by large data assets created by our fully integrated cannabis technology ecosystem. We partner with industry leading data analytics, e-commerce, and POS providers to monetize our base of over 40 million consumers and generate revenue for our clients.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invest in our platform to enhance its functionality and the value of our data assets so that both we and our clients can continue to grow. We anticipate building on our existing platform infrastructure so that we are well positioned to benefit from the further emergence of the burgeoning cannabis and cannabis-tech markets.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Certain Regulatory Considerations and How We Adapt to Changing Regulatory Landscape</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SpringBig helps drive regulatory compliance. We pride ourselves on being ahead of the curve when it comes to changes to regulations to both SMS and to the overall cannabis landscape.</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TCPA prohibits autodialed text messages, unless made with the prior express, written consent of the receiving party, to any telephone number assigned to a cell phone. Additionally, mobile carriers act as gatekeepers between businesses and consumers. The Cellular Telecommunications Industry Association (“CTIA”), a trade organization for mobile carriers (including SpringBig’s messaging distributors), periodically issues industry best practice guidance which currently includes prohibiting messaging content that contains or promotes sex, hate, alcohol, firearms, or tobacco (referred to as “SHAFT”), and interpretation of this guidance includes cannabis within the tobacco category. SpringBig’s platform (including, in particular, its text message marketing) is designed to ensure compliance with TCPA, SHAFT guidelines, and other applicable CTIA guidance; SpringBig proactively monitors and, as necessary, adapts its platform and services to comply with these guidelines and standards. Further, as part of its proactive monitoring of mobile carriers’ guidelines, SpringBig endeavors to maintain close relationships with our messaging distributors, and as such, have been made well aware of any carrier-implemented restrictions that may impact the way cannabis retailers and brands communicate with their consumers via SMS. These relationships have allowed us to continue servicing our customers in a rapidly changing environment, with no disruption of service or restrictions from sending messages from major carriers.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SpringBig’s customers can utilize the platform consent interface or other means to obtain the consumer’s consent that is required to receive messages, and, as an integral part of its services, SpringBig creates templates for its retail customers that are in compliance with SHAFT guidelines to use in promotional messaging. The approved templates do not explicitly discuss or promote cannabis, but rather provide general information about the retailer, the consumer’s reward status and can also incorporate a link that directs opted-in consumers to additional promotional material created by the retailer customers.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a third-party provider of a software platform, state cannabis regulatory marketing rules generally do not apply to SpringBig. SpringBig’s retail customers are responsible for ensuring that their marketing materials comply with state law.</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SpringBig has instituted policies and procedures to verify the licensing status of our clients (which are utilized in on-boarding both retail and brand clients in addition to other client diligence) and to conduct periodic screening to confirm the continued licensing status of our clients. Further, SpringBig is constantly monitoring proposed and pending legislative changes on the state and federal level. We have an emerging markets-focused sales team that is designed to ensure SpringBig is developing relationships with retailers, brands, and partners in emerging markets, so when the legalization status changes, those retailers, brands and potential partners already have a deep partnership formed with SpringBig. One of the primary ways we do this is through our “Greenhouse” program. This program allows licensed retailers who have not yet opened their doors to build their potential consumer list, design their loyalty program, and meet our extensive partnership network to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help inform their tech stack decisions as they move towards being fully operational. We have found that this program has helped us make headway in the emerging cannabis markets and sets up the foundation for a strong partnership in the future.</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are a leading provider of customer loyalty and marketing automation solutions to cannabis retailers and brands, and our key competitive strengths are the following:</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i/>
          <w:color w:val="000000"/>
          <w:sz w:val="20"/>
        </w:rPr>
        <w:t>We are a leading direct-to-consumer marketing and customer loyalty platform in the cannabis industry.</w:t>
      </w:r>
      <w:r>
        <w:rPr>
          <w:color w:val="000000"/>
        </w:rPr>
        <w:t xml:space="preserve"> </w:t>
      </w:r>
      <w:r>
        <w:rPr>
          <w:rFonts w:ascii="Times New Roman;sans-serif" w:hAnsi="Times New Roman;sans-serif"/>
          <w:b w:val="false"/>
          <w:color w:val="000000"/>
          <w:sz w:val="20"/>
        </w:rPr>
        <w:t>We are the largest loyalty &amp; marketing automation provider in the cannabis space with over 40 million consumers enrolled in our platform, and over 1,300 retailer and brand customers with approximately 3,000 discrete retail locations. We started serving the cannabis market in 2016 and were a pioneer in providing SMS marketing solutions to cannabis retailers. As we expanded our customer base, platform and solutions, we now serve approximately one-third of all retail locations in the United States. We partner with the majority of the leading multi-state-operators (“MSOs”). We believe that our differentiated suite of solutions and deep understanding of customer needs will enable us to expand our leadership position as we grow into existing and new markets and expand our offering.</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have a diverse geographic footprint, with operations in all states that have legalized cannabis in some form. We believe that our broader geographic footprint, scope of operations, and established position in the industry all support our efforts to be a first mover in future new markets and also may make it more difficult, time-intensive and costly for competitors to replicate.</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i/>
          <w:color w:val="000000"/>
          <w:sz w:val="20"/>
        </w:rPr>
        <w:t>We provide critical value to our customers demonstrated by leading net retention.</w:t>
      </w:r>
      <w:r>
        <w:rPr>
          <w:color w:val="000000"/>
        </w:rPr>
        <w:t xml:space="preserve"> </w:t>
      </w:r>
      <w:r>
        <w:rPr>
          <w:rFonts w:ascii="Times New Roman;sans-serif" w:hAnsi="Times New Roman;sans-serif"/>
          <w:b w:val="false"/>
          <w:color w:val="000000"/>
          <w:sz w:val="20"/>
        </w:rPr>
        <w:t>Loyalty and messaging are critical for cannabis retailers and brands to directly engage, connect, and retain their customer base. Our suite of solutions is designed to enable our customers to engage with their consumers in an efficient way, sustainably driving customer retention, acquisition, spend and foot-traffic. On average, our clients are able to recover the cost of their monthly subscription for the SpringBig platform within a couple of days of utilizing our offerings each month. In addition, we have successfully integrated with 19 of the industry’s leading POS systems, which enables us to collect and analyze consumer data and feedback, providing our clients with actionable insights for marketing purposes, and we have also completed our initial POS system integration outside of the cannabis industry. Our ability to expand our relationships with customers, and their satisfaction in our product offerings and client service, are demonstrated by our category leading net revenue retention rate being consistently above 100% and having averaged in excess of 110% over the past three years. See “Management’s Discussion and Analysis of Financial Condition and Results of Operations - Key Operating and Financial Metrics” for a further discussion of net revenue retention rate.</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value provided through our platform, we believe that the quality of our client service and our responsiveness to clients provides us with a competitive advantage. Management believes that our established presence in the industry and personal one-on-one service philosophy enhances our ability to compete favorably in attracting and retaining clients.</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i/>
          <w:color w:val="000000"/>
          <w:sz w:val="20"/>
        </w:rPr>
        <w:t xml:space="preserve">We have a deep expertise of marketing regulation in the cannabis industry and the challenges faced by our clients. </w:t>
      </w:r>
      <w:r>
        <w:rPr>
          <w:rFonts w:ascii="Times New Roman;sans-serif" w:hAnsi="Times New Roman;sans-serif"/>
          <w:b w:val="false"/>
          <w:color w:val="000000"/>
          <w:sz w:val="20"/>
        </w:rPr>
        <w:t>We entered the cannabis market in 2016 and have leveraged our management’s expertise in loyalty programs and marketing automation from other sectors to solve the challenges faced by cannabis retailers and brands to engage with their customers and increase retention. We have designed specific campaign and communication solutions that comply with cannabis regulation and are rapidly implementable by our clients as they expand in the high growth and highly competitive cannabis industry. We are highly differentiated from our competitors in several ways. We have integrations with 19 POS providers in the cannabis market, and these integrations allow our clients to offer their consumers a seamless experience for points redemption and loyalty program enrollment. Additionally, we have invested, and continue to invest significantly in ensuring we have a robust, scalable business, with a particular emphasis on client success and engineering. While SpringBig does not obtain customers on behalf of our clients, our client success organization services each client from contract signing throughout their life with SpringBig, providing onboarding services, and on-going education and support. This team is also responsible for guiding our clients through the ever-changing regulatory environment. Our engineering team, primarily based in the U.S., makes up the largest percentage of our staff. The team is constantly working to enhance the platform with the addition of new features and functionality at a regular cadence to ensure we remain significantly ahead of our competitors in this regard. Additionally, after completing the onboarding process, SpringBig customers are assigned a dedicated client success manager who is responsible for overall account management, including monitoring campaign deliverability and providing information on strategic campaign and auto-connect usage. Our client support team is available for all inbound requests from 8am-8pm ET and services all North American time zones.</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i/>
          <w:color w:val="000000"/>
          <w:sz w:val="20"/>
        </w:rPr>
        <w:t>We are the highly regarded platform of choice to consolidate the highly fragmented cannabis technology ecosystem.</w:t>
      </w:r>
      <w:r>
        <w:rPr>
          <w:color w:val="000000"/>
        </w:rPr>
        <w:t xml:space="preserve"> </w:t>
      </w:r>
      <w:r>
        <w:rPr>
          <w:rFonts w:ascii="Times New Roman;sans-serif" w:hAnsi="Times New Roman;sans-serif"/>
          <w:b w:val="false"/>
          <w:color w:val="000000"/>
          <w:sz w:val="20"/>
        </w:rPr>
        <w:t xml:space="preserve">As a leading provider of customer loyalty and marketing automation solutions to cannabis retailer and brands, we are well positioned to be a consolidator of a highly fragmented technology ecosystem. Our growth strategy is informed by our clients’ needs, and we have meaningful visibility into such needs as a result of the wealth of data our platform provides. We plan to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create significant value by leveraging consumer purchasing and feedback data across multiple new vertical software offerings across loyalty, data analytics, and, when legally permissible, online ordering and payments.</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i/>
          <w:color w:val="000000"/>
          <w:sz w:val="20"/>
        </w:rPr>
        <w:t>We assembled a highly experienced senior management team to execute on our strategy.</w:t>
      </w:r>
      <w:r>
        <w:rPr>
          <w:color w:val="000000"/>
        </w:rPr>
        <w:t xml:space="preserve"> </w:t>
      </w:r>
      <w:r>
        <w:rPr>
          <w:rFonts w:ascii="Times New Roman;sans-serif" w:hAnsi="Times New Roman;sans-serif"/>
          <w:b w:val="false"/>
          <w:color w:val="000000"/>
          <w:sz w:val="20"/>
        </w:rPr>
        <w:t>Our Chief Executive Officer and Founder, Jeffrey Harris, has over 35 years of deep industry experience and has successfully founded loyalty marketing businesses in the past. Our Chief Financial Officer, Paul Sykes, has over 20 years of experience as CFO of high-growth SaaS businesses in a public company environment. Our Chief Technology Officer, Navin Anand, has over 10 years of experience in leading large technology groups in SaaS and telecom organizations.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Our Growth Strategies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goal is to become the leading SaaS software platform to cannabis retailers and brands, providing data-driven loyalty, marketing and consumer buying experience solutions. In order to achieve our goal, we plan to implement the following organic and M&amp;A growth strategies along with expanding in keeping with the changing regulatory landscape in the U.S.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Expansion Within Existing Retailers and Brand Customers</w:t>
      </w:r>
    </w:p>
    <w:p>
      <w:pPr>
        <w:pStyle w:val="TextBody"/>
        <w:spacing w:before="0" w:after="0"/>
        <w:rPr/>
      </w:pPr>
      <w:r>
        <w:rPr/>
      </w:r>
    </w:p>
    <w:p>
      <w:pPr>
        <w:pStyle w:val="TextBody"/>
        <w:spacing w:before="0" w:after="0"/>
        <w:jc w:val="center"/>
        <w:rPr/>
      </w:pPr>
      <w:r>
        <w:rPr/>
        <w:drawing>
          <wp:inline distT="0" distB="63500" distL="0" distR="0">
            <wp:extent cx="5876925" cy="318135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5876925" cy="3181350"/>
                    </a:xfrm>
                    <a:prstGeom prst="rect">
                      <a:avLst/>
                    </a:prstGeom>
                  </pic:spPr>
                </pic:pic>
              </a:graphicData>
            </a:graphic>
          </wp:inline>
        </w:drawing>
      </w:r>
    </w:p>
    <w:p>
      <w:pPr>
        <w:pStyle w:val="TextBody"/>
        <w:spacing w:before="0" w:after="0"/>
        <w:jc w:val="center"/>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today, we service approximately 1,300 retailer and brand clients with approximately 3,000 retail locations, which is comprised of most of the largest multi-state cannabis companies and a significant number of single-state operators. Our excellent reputation in the cannabis market and comprehensive solutions offering provide us with the opportunity to expand our footprint and grow these accounts via up-selling and cross-selling. We grow alongside our clients via a “flywheel” effect as we benefit from the growth of their businesses and expansion of their customer base, which is, in turn, enabled by their use of our platform. We have a track record of using our comprehensive product offerings and results-driven proposition to grow our relationships with clients and drive revenue.</w:t>
      </w:r>
    </w:p>
    <w:p>
      <w:pPr>
        <w:pStyle w:val="TextBody"/>
        <w:spacing w:before="0" w:after="0"/>
        <w:ind w:left="0" w:right="0" w:firstLine="72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also plan to grow our business by expanding accounts with existing clients that may not have initially leveraged our platform for all of their locations. Our clients realize significant returns on investment and increased customer engagement, which has historically driven the success of our land and expand strategy. In addition, we expect to further our penetration with existing clients as they enter new markets, as our platform will touch more end-customers and gather more actionable data.</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Further Penetrate Existing Markets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leverage and expand our existing sales force and marketing strategy to acquire additional cannabis retailers and brands as new clients. We have a successful track record of consistently adding new clients. As existing markets in legalized states expand and cannabis becomes more widely used, we believe our existing presence positions us to continue to gain market share. We believe that the continued growth of the cannabis market and evolution of regulation, both in terms of legalizing recreational and medical use cannabis (as described below) as well as regarding communications and advertisements, will drive further adoption of our platform.</w:t>
      </w:r>
    </w:p>
    <w:p>
      <w:pPr>
        <w:pStyle w:val="TextBody"/>
        <w:spacing w:before="0" w:after="0"/>
        <w:ind w:left="0" w:right="0" w:firstLine="40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New Medical and Recreational Markets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an increasing number of states in the U.S. legalize medical cannabis use or transition from medical to recreational cannabis use, a significant growth opportunity presents itself as the number of retailers, the consumer base and total spend all increase. We have historically been responsive as a first-mover into new medical and adult-use markets as they become legal, which gives us a significant competitive advantage to grow as state by state legalization evolves. We believe our deep understanding of the space coupled with our experienced sales force will enable us to quickly enter and execute in new markets and capture new business, which we can sustain via our exceptional product offerings. SpringBig entered the Canadian market in February 2021 through acquiring a Canadian business and we now provide full-servicing of our Canadian clients through our Toronto office. Although the revenues derived from the Canadian market in 2022 were immaterial, we are experiencing significant growth in the number of clients as the market continues to develop in Canada.</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New Features and Functionality</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investing in and developing our technology capabilities to offer our clients more advanced and comprehensive solutions. This will help enable us to extend our platform beyond our core offering which presents significant upsell opportunities. Some of these future offerings may include e-commerce, data and analytics, programmatic advertising, budtender education, payments (when legally permissible), product referral automation, and commerce automation (in-store kiosks).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Monetization of GMV</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$7.5 billion of GMV is currently processed by the retailers that are on our platform. Through our entrenched position with retailers delivering mission critical messaging and loyalty solutions, we believe we are well-positioned to monetize a portion of GMV through payments and reward points. We plan to capture a portion of this spend through the SpringBig rewards wallet solution that our current clients utilize to manage their rewards program. Additionally, with over 40 million consumers and 19 POS integrations, we have access to a wealth of data that drive our proprietary insights. While these integrations assist in our ability to offer feedback to our customers, these commercial relationships do not represent a material amount of SpringBig’s revenues, constitute a material amount of shared revenue, or constitute a material distribution source for SpringBig. However, we believe there is a path to monetize this data and create new revenue opportunities.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Brands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expect brand revenue to drive a significant part of our growth going forward, and we are focused on capturing a portion of the over 5,000 brands that are in the cannabis space today. We rolled out the SpringBig brands offering in 2020, which has allowed us to grow spend across our client base. As the cannabis industry matures, we believe the continued proliferation of branded products will meaningfully drive their sales and marketing spend to the cannabis industry, with a trajectory that will surpass that of retailers in the future. As brands grow in scale and become nationally recognizable, we are well positioned to capture a significant share of the communication, engagement and loyalty dollars spent by brands and therefore Brands clients will start to represent a more significant proportion of SpringBig’s total revenue.</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M&amp;A</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a leading provider of customer loyalty and marketing automation solutions to cannabis retailer and brands, we have differentiated insights into the critical needs of the cannabis industry. Our M&amp;A strategy is informed by our client feedback, and we have identified the following needs that guide our M&amp;A strategic focus:</w:t>
      </w:r>
    </w:p>
    <w:p>
      <w:pPr>
        <w:pStyle w:val="TextBody"/>
        <w:spacing w:before="0" w:after="0"/>
        <w:ind w:left="0" w:right="0" w:firstLine="400"/>
        <w:jc w:val="both"/>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Cannabis retailers and brands lack actionable data and need better insight and recommendation technology.</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Purpose-built marketing technology and targeting is necessary to improve consumer acquisition and retention.</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cannabis industry lacks robust fintech solutions, including processing of payments and consumer credit.</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cannabis technology space is highly fragmented, and we believe that we are well positioned to be a leading consolidator. We intend to explore M&amp;A opportunities in adjacencies that address our client’s critical needs, and enable us to expand our product and service offerings, expand our geographic reach, increase our scale and realize material revenue and cost synergies. We are well positioned to consolidate the technology ecosystem with clear strategic rationale and value creation across loyalty, data analytics, online ordering, and, when legally permissible, POS/payment opportunities. </w:t>
      </w:r>
    </w:p>
    <w:p>
      <w:pPr>
        <w:pStyle w:val="TextBody"/>
        <w:spacing w:before="0" w:after="0"/>
        <w:ind w:left="0" w:right="0" w:firstLine="400"/>
        <w:jc w:val="both"/>
        <w:rPr/>
      </w:pPr>
      <w:r>
        <w:rPr/>
      </w:r>
    </w:p>
    <w:p>
      <w:pPr>
        <w:pStyle w:val="TextBody"/>
        <w:spacing w:before="0" w:after="0"/>
        <w:ind w:left="0" w:right="0" w:firstLine="400"/>
        <w:jc w:val="both"/>
        <w:rPr/>
      </w:pPr>
      <w:r>
        <w:rPr/>
      </w:r>
    </w:p>
    <w:p>
      <w:pPr>
        <w:pStyle w:val="TextBody"/>
        <w:spacing w:before="0" w:after="0"/>
        <w:ind w:left="0" w:right="0" w:firstLine="400"/>
        <w:jc w:val="both"/>
        <w:rPr/>
      </w:pPr>
      <w:r>
        <w:rPr/>
      </w:r>
    </w:p>
    <w:p>
      <w:pPr>
        <w:pStyle w:val="TextBody"/>
        <w:spacing w:before="0" w:after="0"/>
        <w:ind w:left="0" w:right="0" w:firstLine="40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Sales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sales team is primarily based out of our Boca Raton, Florida headquarters with additional team members in our Canadian office in Toronto, Ontario and client services support staff at both these locations and in Seattle, Washington to assist new and existing clients. As of December 31, 2022, of the 126 people we employed, 64 individuals focused exclusively on selling and client service. Our sales force is well versed in our offerings, including consumer facing, retailer platform, and brand platform products.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scale, we expect to continue to recognize significant efficiencies with our sales effort. Currently, our primary focus revolves around converting inbound leads, as cannabis retailers and brands look to join our platform upon beginning their operations. We also utilize state cannabis regulators’ lists of licensees to internally generate client leads.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Marketing</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our sales efforts, we expect to continue to achieve marketing efficiency as we scale our business. We believe our platform’s scale and strong customer loyalty market themselves, however we still intend to implement a variety of marketing efforts to attract additional retailers and brands not yet on our platform. Marketing efforts include multiple strategies designed to attract and retain both retail and brands subscribers.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invested significantly to create a fully integrated technology stack that connects the three categories of participants in the cannabis ecosystem, namely the customers, retailers, and brands. By partnering with other industry leaders through various data analytics, e-commerce and POS platforms, we help to enhance engagement, analytics, and create a truly omni-channel experience for our clients and their customers.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suite of SaaS-based solutions provides cutting-edge technologies, and we continue to be the database of record for over a thousand cannabis businesses, with customer profiles being created first through our loyalty platform, and through integration of our platform with POS systems, where we can collect crucial data points through POS transactions. Below is a summary of how our technology supports our clients:</w:t>
      </w:r>
    </w:p>
    <w:p>
      <w:pPr>
        <w:pStyle w:val="TextBody"/>
        <w:spacing w:before="0" w:after="0"/>
        <w:ind w:left="0" w:right="0" w:firstLine="400"/>
        <w:jc w:val="both"/>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Powerful POS Integration Sync: Powerful POS integrations allow us to provide real-time redemptions for both loyalty rewards and promotional offers, real-time campaign analytics, and deep transaction data.</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Customizable Permission Settings: Our platform enables clients to establish their own levels of user permissions for their retail and marketing staff to ensure the correct people have the correct access to data and marketing tools.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Datahub: The robust data warehouse provides clients with access to all of their data and allows them to create their own insights.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Insight Data Dashboards: Our customizable dashboards help clients conveniently visualize the most meaningful data and organize it for easy review.</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Budz: Our customer referral engine, allows retailers’ best customers to become brand ambassadors by referring new customers to their favorite stores.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Feedback by SpringBig: Our customer feedback tool allows retailers to capture post-transaction feedback about their store, products, and staff.</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Autoconnect: Allow retailers to reach their consumers at critical stages during the consumer buying journey including win-back, abandon cart, and purchase behavior messaging.</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Revenue Concentration</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have a diversified client base of approximately 1,300 clients with approximately 3,000 retail locations. No single client accounted for more than 11% of revenue for the year ended December 31, 2022, and 11% of revenue for the year ended December 31, 2021. Our top 10 clients accounted for 27% and 24% of total revenue over the same periods. In addition, our revenue is well-diversified across the U.S. and Canada. No single state or province generated more than 15% our revenue for the years ended December 31, 2022 and December 31, 2021. We do not currently generate a material amount of revenue in Canada.</w:t>
      </w:r>
    </w:p>
    <w:p>
      <w:pPr>
        <w:pStyle w:val="TextBody"/>
        <w:spacing w:before="0" w:after="0"/>
        <w:ind w:left="0" w:right="0" w:firstLine="40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Research &amp; Development</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concerted product development efforts focused on implementing new, value-add features to our platform, as well as developing new solutions that increase functionality, data-driven actionable insights and enhance ease of use throughout the customer journey. We expect our research and development expenses to remain consistent as a percentage of total revenue with increased growth continuing to support product enhancements.</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 significant impact on our results due to seasonality. However, our clients may experience seasonality in their businesses that, in turn, can impact the revenue generated from them. Our business may become more seasonal in the future and historical patterns in our business may not be a reliable indicator of future performance.</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direct competitors for various elements of our offerings and services include businesses both within and outside of the cannabis industry that are specifically focused on marketing and customer engagement, commerce and POS solutions or SaaS software, as well as companies focused on technology solutions focused on the cannabis industry.</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principal competitive factors in our market include: the scale of our operations in all states that have legalized cannabis in some form and the ability to be a first mover in future new markets, the ability to offer comprehensive services across customer relationship management (“CRM”) and marketing software, the ability to support client promotions and the building of loyalty with end-consumers and increase retention, the ability to collect and analyze consumer data and feedback (and providing clients with actionable insights for marketing purposes), and effective communications and marketing to end-customers. We believe we compete favorably based on these factors.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the risks to our business related to competition, see the section captioned “Risk Factors—Risks Related to SpringBig’s Business and Industry—We currently face intense competition in marketing and advertising services available to our clients, and we expect competition to further intensify as the cannabis industry continues to evolve.”</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have an ongoing trademark and service mark registration program pursuant to which we register our brand names in the United States. As of December 31, 2022, we have been issued trademark registrations in the United States, covering among other marks, “SpringBig.”</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Circumstances outside our control could pose a threat to our intellectual property rights. For more information, see the section entitled “Risk Factors—Risks Related to SpringBig’s Intellectual Property.”</w:t>
      </w:r>
    </w:p>
    <w:p>
      <w:pPr>
        <w:pStyle w:val="TextBody"/>
        <w:spacing w:before="0" w:after="0"/>
        <w:ind w:left="0" w:right="0" w:firstLine="40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126 full-time employees, including employees focused on engineering, client success, corporate development, brands, digital message and general and administrative and professional services. We also engage independent contractors to supplement our permanent workforce. 114 employees are located in the United States and 12 employees are located in Canada.</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being able to attract and retain top talent is both a strategic advantage for SpringBig and necessary to realize our objectives for our business. We consider our relations with our employees to be good. None of our employees are represented by a labor union or covered by collective bargaining agreements, and we have not experienced any work stoppages.</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originally formed on January 24, 2020 under the name “Tuatara Capital Acquisition Corporation,” as a blank check company incorporated as a Cayman Islands exempted company, incorporated for the purpose of effecting a merger, amalgamation, share exchange, asset acquisition, share purchase, reorganization or similar business combination with one or more businesses. On June 13, 2022, in anticipation of the consummation of the previously announced business combination among Tuatara, Merger Sub and Legacy SpringBig, Tuatara changed its jurisdiction of incorporation by deregistering as a Cayman Islands exempted company and continuing and domesticating as a corporation incorporated under the laws of the State of Delaware and it then changed its name to SpringBig Holdings, Inc.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 is located at 621 NW 53rd Street, Suite 260, Boca Raton, Florida 33487. Our telephone number is (800) 772-9172. Our website address is www.springbig.com. Information contained on our website is not a part of this prospectus, and the inclusion of our website address in this prospectus is an inactive textual reference only.</w:t>
      </w:r>
    </w:p>
    <w:p>
      <w:pPr>
        <w:pStyle w:val="TextBody"/>
        <w:spacing w:before="0" w:after="0"/>
        <w:ind w:left="0" w:right="0" w:firstLine="4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400"/>
        <w:jc w:val="both"/>
        <w:rPr/>
      </w:pPr>
      <w:r>
        <w:rPr/>
      </w:r>
    </w:p>
    <w:p>
      <w:pPr>
        <w:pStyle w:val="TextBody"/>
        <w:spacing w:lineRule="auto" w:line="400"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6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business involves a high degree of risk. You should carefully consider the risks described below, together with the other information contained in this Annual Report on Form 10-K, as well as the risks, uncertainties and other information set forth in the reports and other materials filed or furnished by us with the SEC. We cannot assure you that any of the events discussed in the risk factors below will not occur. These risks could have a material and adverse impact on our business, prospects, results of operations, financial condition and cash flows. </w: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have a relatively short operating history in a rapidly evolving industry, which makes it difficult to evaluate our future prospects and may increase the risk that we will not be successful. As our costs increase, we may not be able to generate sufficient revenue to maintain profitability in the future.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relatively short operating history in a quickly evolving industry that may not develop as we anticipate, if at all. Both our relatively short operating history and the pace of dramatic change in the cannabis industry, and the complex, multiple and sometimes conflicting regulatory regimes applicable to it, makes it difficult to assess our future prospects, and you should evaluate our business in light of the risks and difficulties we may encounter as the industry continues to evolve. While our revenue has grown in recent periods, this growth may not be sustainable due to a number of factors, including the maturation of our business, increased competition and the eventual decline in the number of new major geographic markets in which the sale of cannabis is permitted and to which we have not already expanded. We may not be able to generate sufficient revenue to achieve and sustain profitability. Additionally, we expect our costs to increase in future periods as we expend substantial financial and other resources on, among other things:</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sales and marketing, including continued investment in our current marketing efforts and future marketing initiatives;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successfully compete with existing and future providers of other forms of marketing and customer engagement;</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managing complex, disparate and rapidly evolving regulatory regimes imposed by U.S. and Canadian federal, state and provincial, local and other non-U.S. governments around the world applicable to cannabis and cannabis-related businesses;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executing our growth strategy;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hiring, integrating and retaining talented sales and other personnel;</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expansion domestically and internationally in an effort to increase our client usage, client base, retail locations we serve, and our sales to our clients;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development of new products and services, and increased investment in the ongoing development of our existing products and services;</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continuing to invest in scaling our business, particularly around client success and engineering;</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avoiding interruptions or disruptions in our platform or services; and</w:t>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do not successfully develop and deploy new software, platform features or services to address the needs of our clients, our business, financial condition, and results of operations could suffer.</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has been based on our ability to design software, platform features and services that address the needs of our clients. We spend substantial amounts of time and money researching and developing new technologies and enhanced versions of existing platform features, as well as new features, to meet our clients’ rapidly evolving needs. As consumers and clients demand comprehensive data analysis from platforms such as us, in conjunction with their point-of-sale providers, our ability to integrate with a client’s POS system and other third party technology integrations may become increasingly important. If we are unable to arrange or complete new integrations, or improve our existing integrations, we may lose market share to competitors. There is no assurance that enhancements to our software, platform features or new services or capabilities will be compelling to our clients or gain market acceptance. If our research and development investments do not accurately anticipate market demand or if we fail to develop our software, platform features or services in a manner that satisfies client preferences in a timely and cost-effective manner, we may fail to retain our existing clients or increase demand for our services.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introduction of new products and services by competitors or the development of entirely new technologies to replace existing service offerings could make our platforms obsolete or adversely affect our business, financial condition, and results of operations. We may experience difficulties with software development, design, or marketing that delay or prevent our development, introduction or implementation of new platforms, platform features or capabilities, or cause errors to arise with our existing software. We have in the past experienced delays in our internally planned release dates of new features and capabilities, and there can be no assurance that new platforms, platform features, or capabilities will be released according to schedule. Any delays or other disruptions could result in adverse publicity, loss of revenue or market acceptance, or claims by consumers or suppliers brought against us, any of which could harm our business. Moreover, the design and development of new platforms or new platform features and capabilities to our existing platform may require substantial investment, and we have no assurance that such investments will be successful. If consumers in the market do not widely adopt our new platforms, platform features, and capabilities, we may not be able to realize a return on our investment and our business, financial condition, and results of operations may be adversely affected.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retain our existing clients and consumers or to acquire new clients and consumers in a cost-effective manner, our revenue may decrease and our business may be harmed.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in a dynamic, innovative, and fairly new market, which we expect will continue to evolve rapidly. We believe that our success is dependent on our ability to continue identifying and anticipating the needs of our clients and, in turn, their consumers, and retaining our existing clients and adding new clients. While we have historically been able to grow and retain our client base, we may grow more slowly than we expect or than we have grown in the past. Our ability to retain clients depends in part on our ability to create and maintain high levels of client satisfaction, which we may not always be capable of providing, including for reasons outside of our control. Any decrease in client satisfaction or other change negatively affecting our ability to retain clients could result in a rapid, concentrated impact to our results going forward. Therefore, our failure to retain existing clients, even if such losses are offset by an increase in revenue resulting from the acquisition of new clients, could have an adverse effect on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expand effectively into new markets, our revenue and business will be adversely affected.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a key part of our business strategy is to add clients in our existing geographic markets, we intend to expand our operations into new markets if and as cannabis continues to be legalized in new markets.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have a significant working capital deficiency and a history of losses, may need to raise additional funds to meet our obligations and sustain our operations and may not achieve profitability in the future. There is substantial doubt as to our ability to continue as a going concern.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is an early-stage company with a history of losses. We incurred net losses of $13.1 million and $5.8 million for the years ended December 31, 2022 and December 31, 2021, respectively. In addition, as of December 31, 2022, we had a working capital deficiency of $1.5 million and we may need to raise additional funds to meet our obligations and sustain our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In their report for the year ended December 31, 2022, our auditors have expressed substantial doubt about our ability to continue as a going concern. In addition, based on the factors described under “Management’s Discussion and Analysis of Financial Condition and Results of Operations – Liquidity &amp; Capital Resources,” as of December 31, 2022, we concluded that there was substantial doubt about our ability to continue to operate as a going concern for the 12 months following the issuance of the financial statements in this Annual Report on Form 10-K. SpringBig may not achieve or maintain profitability in the future. We may continue to incur net losses in the future, and such losses may fluctuate significantly from quarter to quarter. We will need to generate and sustain higher revenue for our business generally, and achieve greater scale and generate greater operating cash flows in future periods in order to achieve and maintain profitability.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efforts to grow our business may be more costly than we expect, and we may not be able to increase our revenue sufficiently to offset our higher operating expenses. We may continue to incur significant losses, and we may not achieve or maintain future profitability, due to a number of reasons, including the risks described in this report, unforeseen expenses, difficulties, complications and delays, and other unknown events. Furthermore, if our future growth and operating performance fail to meet investor or analyst expectations, or if we have future negative cash flow or losses resulting from our investment in acquiring customers or expanding our operations, this could make it difficult for you to evaluate our current business and our future prospects and may have a material adverse effect on our business, financial condition and results of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to the extent any law enforcement actions require us to respond to subpoenas, or undergo search warrants, for client records, cannabis businesses could elect to cease using our products and services. Until the U.S. federal government changes the laws with respect to cannabis, and particularly if the U.S. Congress does not extend the omnibus spending bill’s protection of state medical cannabis programs, described below under the caption “Cannabis remains illegal under federal law, and therefore, strict enforcement of federal laws regarding cannabis would likely result in our inability to execute our business plan,”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instituted policies and procedures in connection with the verification and periodic screening of the licensing status of our clients operating cannabis retail businesses (and our contracts with clients generally provide for client representations relating to compliance, termination of services in the case of client noncompliance, and client indemnification obligations), some of our clients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legal or regulatory enforcement against us based on our platform, the content provided by clients, the marketing campaigns created by clients on our platform or noncompliance by our clients with licensing and other legal requirements, could subject us to various risks, including monetary penalties and/or required changes to our platform or business model, and would likely cause us to experience negative publicity. Any of these developments could materially and adversely impact our business, operating results, financial condition, brand, and reputation.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generally do not, and cannot, ensure that our clients will conduct their business activities in a manner compliant with the complex, disparate and constantly evolving regulations and requirements affecting the legal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our solutions provide features to support our clients’ compliance with certain regulations and other legal requirements applicable to the cannabis industry, and we have policies and procedures regarding the verification and periodic screening of the licensing status of our clients, we generally do not, and cannot, ensure that at all times our clients will conduct their business activities in a manner compliant with such regulations and requirements, in whole or in part. Their legal noncompliance could result in regulatory and even criminal actions against them, which could lead to a material adverse impact on our business and operating results or financial condition, and as a result, our investors could lose their entire investment. For additional information, see the other risk factors in this section, including “Some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business is dependent on U.S. state laws and regulations and Canadian federal and provincial laws and regulations pertaining to the cannabis industry.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the concentration of our revenue from the sale of access to our platforms and services,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Because our business is dependent, in part, upon continued market acceptance of cannabis by consumers, any negative trends in the market could adversely affect our business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Expansion of our business is dependent on the continued legalization of cannabis.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Expansion of our business is, in part, dependent upon continued legislative authorization, including by voter initiatives and referenda, of cannabis in various jurisdictions worldwide, including the legalization of recreational and medical use cannabis. Any number of factors could slow, halt, or even reverse progress in this area.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upon our brand recognition and reputation, and any erosion or degradation of our brand recognition or reputation would likely adversely affect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business is highly dependent on the SpringBig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efficacy of our marketing efforts;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maintain a high-quality, innovative, and error- and bug-free platform and similarly high quality client service;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maintain high satisfaction among clients (and our clients’ consumers);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quality and perceived value of our platforms and services;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successfully implementing and developing new features and revenue streams;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obtain, maintain and enforce trademarks and other indicia of origin that are valuable to our brand;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successfully differentiate our platforms and services from competitors’ offerings;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continue to integrate with POS systems;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provide our clients with accurate and actionable insights from the consumer data and feedback collected through our platform;</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compliance with laws and regulations;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address any environmental, social, and governance expectations of our various stakeholders;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provide client support;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any actual or perceived data breach or data loss, or misuse or perceived misuse of our platforms.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our brand recognition and reputation may be affected by factors that are outside our control, such as: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actions of competitors or other third parties;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consumers’ experiences with retailers or brands using our platform;</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public perception of cannabis and cannabis-related businesses;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positive or negative publicity, including with respect to events or activities attributed to us, our employees, partners or others associated with any of these parties;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interruptions, delays or attacks on our platforms;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litigation or regulatory developments.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currently face intense competition in marketing and advertising services available to our clients, and we expect competition to further intensify as the cannabis industry continues to evolve.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cannabis marketing and software services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CRM and marketing solutions market. Competitors for individual components of our service platforms include businesses both within and outside of the cannabis industry. These include businesses focused on marketing and customer engagement, commerce and POS solutions, and SaaS or other technology solutions for brands and retailers. In addition, if legal market for cannabis becomes more accepted and/or the regulatory regime for cannabis evolves, it may eliminate existing barriers preventing our clients from using traditional marketing and advertising channels. This could result in increased competition in our industry from both products and solutions offered by internet search engines and advertising networks, like Google, social media platforms, like Instagram and Facebook, various other newspaper, television, media companies, outdoor billboard advertising, and online merchant platforms, as well as new participants entering into the cannabis CRM and marketing services market. Such potential competitors may have substantially greater financial, technical, and other resources than existing market participants. Additionally, as consumers and cannabis industry clients demand richer data, integrations with other cannabis industry participants such as point-of-sale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the legalization of cannabis continues, cannabis cultivators, product manufacturers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access to our services and platform and result in decreased margins. Further, heightened competition between cannabis businesses could ultimately have a negative impact on the viability of individual market participants, which could reduce or eliminate their ability to purchase our services and solutions.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compete effectively for any of these reasons, we may be unable to maintain our operations or develop our products and solutions, and as a result our business and operating results may be adversely affected.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manage our growth effectively, our brand, business and operating results could be harmed.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organic growth in our operations, which places substantial demands on management and our operational infrastructure. To manage the expected growth of our operations and personnel, we expect we will be required to improve existing, and implement new systems, procedures and controls including, among others, financial and operational systems. We will also be required to expand our finance, administrative and operations staff. We intend to continue making substantial investments in our sales, service and marketing workforce.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growth of our business depends on our ability to accurately predict consumer trends, successfully offer new services, improve existing services and expand into new markets.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depends, in part, on our ability to successfully offer new platforms, products and services and improve and reposition our existing platforms and services to meet the requirements of our clients and their customers. This, in turn, depends on our ability to predict and respond to evolving consumer trends, demands and preferences. Our strategy is based on certain key trends and the projected growth of our key markets. However, historical trends may not be indicative of future trends and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forecasts or estimated growth rates may not be accurate, in whole or part, or ever materialize. Further, underlying markets could decline, overall growth rates in our product categories could be slower than anticipated.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offering of innovative new platforms, products and services and expansion into new offerings involves considerable costs. Any new platform, product or service offering may not generate sufficient consumer interest and sales to become profitable or to cover the costs of its development and promotion and, as a result, may reduce our operating income. In addition, any such unsuccessful effort may adversely affect our brand and reputation. If we are unable to anticipate, identify, develop or market new offerings, that respond to changes in consumer requirements and preferences, or if our new offerings fail to gain consumer acceptance, we may be unable to grow our business as anticipated, our sales may decline and our margins and profitability may decline or not improve. As a result, our business, financial condition, and results of operations may be materially and adversely affected.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recruit, train, retain and motivate key personnel, we may not achieve our business objectives.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ability to recruit, train, retain and motivate key personnel, including our CEO, Jeffrey Harris, our CFO, Paul Sykes, our CTO, Navin Anand, and certain other key members of management. Competition for qualified personnel in the technology industry is intense. Additionally, we face challenges in attracting, retaining and motivating highly qualified personnel due to our relationship to the cannabis industry, which is rapidly evolving and has varying levels of social acceptance. Any failure to attract, train, retain and motivate qualified personnel could materially harm our operating results and growth prospects.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our current marketing model is not effective in attracting new clients, we may need to employ higher-cost sales and marketing methods to attract and retain clients, which could adversely affect our profitability.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sales team to build relationships with our client base. Our sales team builds and maintains relationships with clients primarily through phone, email and other virtual contact, which is typically designed to allow us to cost-effectively service a large number of clients. We may need to employ more resource-intensive sales methods, such as increasing sales teams, to continue to attract and retain clients, particularly as we increase the number of our clients and our client base employs more sophisticated marketing operations, strategies and processes.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 increased spending in connection with growing our sales, service and marketing operation and we expect to incur higher sales and marketing expenses, which could adversely affect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be unable to scale and adapt our existing technology and network infrastructure in a timely or effective manner to ensure that our platform is accessible, which would harm our reputation,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critical to our success that clients and consumers within our geographic markets be able to access our platform at all times.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or dependent on integration with third parties, or as usage or traffic increases. If our platform is unavailable when our clients (or their consumers) attempt to access it or it does not load as quickly as they expect, they may seek other solutions and may seek to cancel and not renew subscriptions for our services.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we are not able to continue successfully improving and enhancing our platform, our business could be adversely affected.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or perceived errors, failures, or bugs in our platform could adversely affect our operating results and growth prospects.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third-party “cloud-based” providers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rely upon cloud-based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impact of global, regional or local economic and market conditions may adversely affect our business, operating results and financial condition.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is subject to global economic conditions and economic conditions in one or more of our key markets, which impact spending by our clients and consumers. A majority of our clients’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Economic conditions may also adversely impact retail sales of cannabis. Declining retail sales of cannabis could result in our clients going out of business or deciding, to stop using our platform to conserve financial resources or move to different marketing solutions. Negative economic conditions may also affect third parties with whom we have entered into relationships and upon whom we depend in order to grow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economic downturns could also lead to limitations on our ability to obtain debt or equity financing on favorable terms or at all, reduced liquidity, decreases in the market price of SpringBig’s securities, decreases in the fair market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value of our financial or other assets, and write-downs of and increased credit and collectability risk on our trade receivables, any of which could have a material adverse effect on our business, operating results or financial condition.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Negative economic conditions may be created or exacerbated by catastrophic events or health crises, including, among others, re-occurrence of the COVID-19 pandemic or similar wide-spread public health crises.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Catastrophic events may disrupt our business and impair our ability to provide our platform to clients and consumers, resulting in costs for remediation, client and consumer dissatisfaction, and other business or financial losses.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depend, in part, on our ability to protect our operations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marketing services, any of which could harm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SpringBig’s operations and employees face risks related to health crises, such as the recent COVID-19 pandemic, that could adversely affect SpringBig’s financial condition and operating results. These widespread public health events such as a pandemic could materially affect SpringBig’s operations, including at SpringBig’s headquarters or anywhere else SpringBig operates, and the business or operations of SpringBig’s clients, consumers, partners or other third parties with whom SpringBig conducts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recent COVID-19 pandemic, governments have, at various times, implemented significant measures intended to control the spread of the virus, including closures, quarantines, travel restrictions, health mandates and social distancing directives, and fiscal stimulus, and legislation designed to deliver monetary aid and other relief. In response to the risks posed by events like the COVID-19 pandemic and to comply with applicable governmental orders, SpringBig has taken active measures to promote the health and safety of our employees. These and other operational changes SpringBig has implemented or may implement in the future may negatively impact productivity and disrupt SpringBig’s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these restrictions are reinstated and/or remain in place, additional prevention and mitigation measures are implemented in the future, or there is uncertainty about the effectiveness of these or any other measures to contain or treat COVID-19 or other human public health contagions or hazards, there is likely to be an adverse impact on global economic conditions and consumer confidence and spending, which could materially and adversely affect SpringBig’s operations as well as SpringBig’s relationships with clients and consumers.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Reinstating shelter-in-place orders and similar regulations promulgated in response to pandemics or other public health crises could impact the ability of SpringBig’s clients to operate their businesses. Such events have in the past caused, and may in the future cause, a temporary closure or disruption of SpringBig’s clients’ businesses, either due to government mandate or voluntary preventative measures. In the event of mandated business operations limitations, clients may not be able to withstand prolonged interruptions to their businesses, and may be forced to go out of business. Even if SpringBig’s clients are able to continue to operate their businesses, many may operate with limited hours and capacity and other limitations. Any limitations on or disruptions or closures of SpringBig’s clients’ businesses could in turn adversely affect SpringBig’s business. Further, we may experience a decrease in new clients due to a lack of financial resources or a decline in new markets as businesses and financial markets deal with the impact of and efforts to curb pandemic events. Further, these conditions may impact our ability to access financial markets to obtain the necessary funding to expand our business as currently contemplated, which may adversely affect our liquidity and working capital.</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of COVID-19’s ultimate effects on SpringBig’s operational and financial performance will depend on future developments, including the steps taken to prevent its resurgence or further spread, all of which are still uncertain and difficult to predict considering the rapidly evolving landscape. Given the continuing uncertainty about the pandemic’s continued effects, it is not currently possible to fully ascertain the overall ultimate impact of COVID-19 on SpringBig’s business. However, if the pandemic reemerges and/or persists as a severe worldwide health crisis, the disease may harm SpringBig’s business, and may also have the effect of heightening many of the other risks described in this “Risk Factors” section.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Fluctuations in our quarterly and annual operating results may adversely affect our business and prospects.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consider our business and prospects in light of the risks and difficulties we encounter in the uncertain and rapidly evolving market for our solutions. Because the cannabis CRM, marketing services and technology markets are new and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evolving, predicting their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attract new clients and retain existing clients;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accurately forecast revenue and appropriately plan our expenses;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effects of increased competition on our business;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successfully expand in existing markets and successfully enter new markets;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impact of global, regional or economic conditions;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ability of licensed cannabis markets to successfully grow and outcompete illegal cannabis markets;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protect our intellectual property;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and effectively manage an adequate rate of growth;</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and increase traffic to our platform;</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costs associated with defending claims, including intellectual property infringement claims and related judgments or settlements;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governmental or other regulation affecting our business;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interruptions in platform availability and any related impact on our business, reputation or brand;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attraction and retention of qualified personnel;</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effects of natural or man-made catastrophic events and/or health crises (including COVID-19);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effectiveness of our internal controls.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Investors should not rely on outdated financial projections.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In connection with the business combination, we disclosed certain projections of SpringBig’s potential financial performance in future years. As previously disclosed, in connection with the sale process, certain financial forecasts for fiscal years</w:t>
      </w:r>
      <w:r>
        <w:rPr>
          <w:color w:val="000000"/>
        </w:rPr>
        <w:t xml:space="preserve"> </w:t>
      </w:r>
      <w:r>
        <w:rPr>
          <w:rFonts w:ascii="Times New Roman;sans-serif" w:hAnsi="Times New Roman;sans-serif"/>
          <w:b w:val="false"/>
          <w:color w:val="000000"/>
          <w:sz w:val="20"/>
        </w:rPr>
        <w:t>through 2024 were prepared by Legacy SpringBig’s management and made available to Tuatara. Also, as previously disclosed, the projections were not prepared with a view toward public disclosure or with a view toward complying with U.S. GAAP, the published guidelines of the SEC or the guidelines established by the American Institute of Certified Public Accountants for preparation and presentation of prospective financial information. Readers were cautioned not to rely on the prospective financial information because actual results are likely to differ materially from the prospective financial information. We reiterate our prior caution not to rely on the previously published and now outdated financial projections. We have not undertaken any obligation to publish any financial projections.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improve our products and solutions in ways that forego short-term gains.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provide the best experience for the clients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clients across the United States and Canada using our platform.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w:t>
      </w:r>
    </w:p>
    <w:p>
      <w:pPr>
        <w:pStyle w:val="TextBody"/>
        <w:spacing w:before="0" w:after="0"/>
        <w:ind w:left="0" w:right="0" w:firstLine="360"/>
        <w:jc w:val="both"/>
        <w:rPr/>
      </w:pPr>
      <w:r>
        <w:rPr/>
      </w:r>
    </w:p>
    <w:p>
      <w:pPr>
        <w:pStyle w:val="TextBody"/>
        <w:spacing w:lineRule="auto" w:line="276"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business is subject to regulation by various federal, state, provincial and foreign governmental agencies responsible for monitoring and enforcing privacy and data protection laws and regulations. Numerous foreign, federal and state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which has resulted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currently subject to a variety of, and may in the future become subject to additional U.S. federal, state and local laws and regulations on advertising that are continuously evolving and developing, including the Telephone Consumer Protection Act, or the TCPA, the Telemarketing Sales Rule, the Controlling the Assault of Non-Solicited Pornography and Marketing Act, or the CAN-SPAM Act, and, at the state level, the CCPA (as described above), the Virginia Consumer Data Protection Act of 2021, or VCDPA, and the Colorado Privacy Act, or CPA. Many states are discussing potentially adopting similar comprehensive privacy legislation and we expect many of these will be implemented over the course of the next few years. These laws and regulations directly impact our business and require ongoing compliance, monitoring and internal and external audits as they continue to evolve, and may result in ever-increasing public and regulatory scrutiny and escalating levels of enforcement and sanctions. Subsequent changes to data protection and privacy laws and regulations could also impact how we process personal information and, therefore, limit the effectiveness of our product offerings or our ability to operate or expand our business, including limiting strategic relationships that may involve the sharing of personal information.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foreign countries and governmental bodies, including Canada and other relevant jurisdictions where we conduct or may, in the future,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policies, industry standards, governmental standards, contractual obligations, or other legal obligations, could result in additional cost and liability to us, damage our reputation, inhibit sales, restrict our ability to utilize collected personal information, and adversely affect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expect that there will continue to be new proposed laws, regulations and industry standards concerning privacy, data protection and information security in the United States, Canada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Payment Card Industry Data Security Standard (also known as the “PCI-DSS”), which is designed to protect the information of credit card users.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Governmental regulation of the internet continues to develop, and unfavorable changes could substantially harm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investments in our growth strategy, including acquisitions, could disrupt our business and adversely affect our operating results, financial condition and cash flows.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expand using both organic and M&amp;A growth strategies in keeping with the changing regulatory landscape in the U.S. Expanding accounts with existing clients, adding new clients, entering new markets, adding new features and functionality to our platform and/or acquisitions may involve significant investments of capital, time, resources and managerial attention. There can be no assurance that we will successfully implement any new products or solutions. External factors, such as additional regulatory compliance obligations, may also affect the successful implementation of new products and solutions through our platform.</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may make acquisitions that could be material to our business, operating results, financial condition and cash flows. Our ability as an organization to successfully acquire and integrate technologies, services, platforms or businesses is unproven. Acquisitions involve many risks, including the following:</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acquired business may not perform at levels and on the timelines anticipated by our management and/or we may not be able to achieve expected synergies;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an acquisition may disrupt our ongoing business, divert resources, increase our expenses and distract our management;</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an acquisition may result in a delay or reduction of sales for both us and the company we acquire due to uncertainty about continuity and effectiveness of products or support from either company;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may encounter difficulties in, or may be unable to, successfully sell any acquired products or services;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an acquisition may involve the entry into geographic or business markets in which we have little or no prior experience or where competitors have stronger market positions;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potential strain on our financial and managerial controls and reporting systems and procedures;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potential known and unknown liabilities associated with an acquired company;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if we incur debt to fund such acquisitions, such debt may subject us to material restrictions on our ability to conduct our business as well as financial maintenance covenants;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risk of impairment charges related to potential write-downs of acquired assets or goodwill in future acquisitions;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to the extent that we issue a significant amount of equity or convertible debt securities in connection with future acquisitions, existing equity holders may be diluted and earnings per share may decrease;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managing the varying intellectual property protection strategies and other activities of an acquired company.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which may not be available on favorable terms, if at all, causing dilution to our stockholders, restricting our operations or adversely affecting our ability to operate our business.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SpringBig may require additional financing to fund its operations or growth.</w:t>
      </w:r>
      <w:r>
        <w:rPr>
          <w:color w:val="000000"/>
        </w:rPr>
        <w:t xml:space="preserve"> </w:t>
      </w:r>
      <w:r>
        <w:rPr>
          <w:rFonts w:ascii="Times New Roman;sans-serif" w:hAnsi="Times New Roman;sans-serif"/>
          <w:b w:val="false"/>
          <w:color w:val="000000"/>
          <w:sz w:val="20"/>
        </w:rPr>
        <w:t>In addition, we have substantial fixed expenses including rent and monthly principal and interests payments on the L1 Notes. The failure to secure additional financing could have a material adverse effect on the continued development or growth of SpringBig.</w:t>
      </w:r>
      <w:r>
        <w:rPr>
          <w:color w:val="000000"/>
        </w:rPr>
        <w:t xml:space="preserve"> </w:t>
      </w:r>
      <w:r>
        <w:rPr>
          <w:rFonts w:ascii="Times New Roman;sans-serif" w:hAnsi="Times New Roman;sans-serif"/>
          <w:b w:val="false"/>
          <w:color w:val="000000"/>
          <w:sz w:val="20"/>
        </w:rPr>
        <w:t>We may need to raise additional capital and the funding provided by the L1 Notes and potentially available under the Cantor Equity Facility may not be sufficient or available in full.</w:t>
      </w:r>
      <w:r>
        <w:rPr>
          <w:color w:val="000000"/>
        </w:rPr>
        <w:t xml:space="preserve"> </w:t>
      </w:r>
      <w:r>
        <w:rPr>
          <w:rFonts w:ascii="Times New Roman;sans-serif" w:hAnsi="Times New Roman;sans-serif"/>
          <w:b w:val="false"/>
          <w:color w:val="000000"/>
          <w:sz w:val="20"/>
        </w:rPr>
        <w:t>Such additional capital may cause dilution to our stockholders. Further, the likelihood that our warrant holders will exercise their warrants, and therefore the amount of cash proceeds that we would receive, is dependent upon the trading price of our shares of common stock, which is currently below the applicable exercise price. If the trading price for our shares of common stock remains less than the applicable exercise price, we believe the warrant holders will be unlikely to exercise their warrants.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w:t>
      </w:r>
      <w:r>
        <w:rPr>
          <w:color w:val="000000"/>
        </w:rPr>
        <w:t xml:space="preserve"> </w:t>
      </w:r>
      <w:r>
        <w:rPr>
          <w:rFonts w:ascii="Times New Roman;sans-serif" w:hAnsi="Times New Roman;sans-serif"/>
          <w:b w:val="false"/>
          <w:color w:val="000000"/>
          <w:sz w:val="20"/>
        </w:rPr>
        <w:t>Any funds we raise may not be sufficient to enable us to continue to implement our long-term business strategy. Further, our ability to raise additional capital may be adversely impacted by potential worsening global economic conditions, increasing interest rates and the recent disruptions to and volatility in the credit and financial markets in the United States.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and satisfy our financial obligations, our stock price may fall, and you may lose your investment.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obligations to the holder of the L1 Notes are secured by a security interest in substantially all of our assets, so if we default on those obligations, the noteholder could foreclose on, liquidate and/or take possession of our assets. If that were to happen, we could be forced to curtail, or even to cease, our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the Company entered into the Notes and Warrants Purchase Agreement with the Investor, pursuant to which the Company, on June 14, 2022, issued the L1 Notes and the Investor Warrants exercisable for shares of Common Stock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Company at an exercise price of $12 per share. Simultaneously, Legacy SpringBig entered into a guaranty agreement to guarantee the Company’s obligations under the L1 Notes and the Company and Legacy SpringBig entered into a security agreement, pursuant to which the Investor was granted a security interest in all of the assets of the Company and Legacy SpringBig to secure repayment of amounts due under the L1 Notes. As a result, if we default on our obligations under the L1 Note, the Investor could foreclose on its security interests and liquidate or take possession of some or all of the assets of the Company, Legacy SpringBig and its subsidiaries, which would harm our business, financial condition and results of operations and could require us to curtail, or even to cease our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notes and related agreements restrict our ability to obtain additional debt and equity financing which may restrict our ability to grow and finance our operations and, further, no assurances can be made that we will receive additional cash proceeds from the exercise of the Investor Warrants.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related to the sale of the L1 Notes and Investor Warrants contain a number of restrictive covenants that may impose significant operating and financial restrictions on us while L1 Notes remain outstanding or unless the restrictions are waived by consent of each noteholder, including restrictions on our ability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enter into variable rate transactions (exclusive of the Cantor Equity Facility); and adopt certain amendments to our governing documents, among other restrictions. In addition, the terms of the L1 Notes restrict our ability to issue additional equity capital under certain circumstances. A breach of the covenants or restrictions under the agreements governing our indebtedness could result in an event of default under these agreements. As a result of these restrictions, we may be limited in how we conduct our business, unable to raise additional debt or equity financing to operate during general economic or business downturns and/or unable to compete effectively or to take advantage of new business opportunities. The Company may not have the ability to prepay the L1 Notes prior to maturity except to the limited extent of proceeds from the Cantor Equity Facility to the extent available.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while we could potentially receive substantial gross proceeds from the exercise of the Investor Warrants, assuming the exercise in full of all of the Investor Warrants, no assurances can be made that the Investor will elect to exercise any or all of such Investor Warrants and, accordingly, no assurance that we will receive any proceeds from the exercise of the Investor Warrants. We believe the likelihood that the Investor will exercise the Investor Warrants, and therefore the amount of cash proceeds that we would receive, is dependent upon the trading price of our shares of common stock, which is currently substantially below the $12.00 exercise price. If the trading price for our shares of common stock remains less than $12.00 per share (or the adjusted exercise price in the event of dilutive issuances), we believe the Investor will be unlikely to exercise its warrants. Accordingly, we may not receive cash proceeds with respect to the Investor Warrants and we are restricted in our ability to raise additional debt or equity financing.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laws or regulations, or a failure to comply with any laws and regulations, may adversely affect our business, investments and results of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 regulations and rules enacted by national, regional and local governments and the Nasdaq stock exchange. In particular, we are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our business, investments and results of operations. In addition, a failure to comply with applicable laws, regulations and rules, as interpreted and applied, could have a material adverse effect on our business and results of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be subject to potential adverse tax consequences both domestically and in Canada.</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Delaware corporation that is treated as a C-corporation for U.S. federal and most applicable state and local income tax purposes.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and will continue to comply,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our management, which could limit their ability to focus on other aspects of our business and impact our business in the future.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ability of SpringBig to utilize net operating loss and tax credit carryforwards is conditioned upon SpringBig attaining profitability and generating taxable income. SpringBig has incurred significant net losses since inception and it is anticipated that SpringBig will continue to incur significant losses. Additionally, SpringBig’s ability to utilize net operating loss and tax credit carryforwards to offset future taxable income may be limited.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SpringBig had approximately $26.4 million of U.S. federal net operating loss carryforwards available to reduce future taxable income, which can be carried forward indefinitely. The Tax Cuts and Jobs Act (the “Tax Act”) included a reduction to the maximum deduction allowed for net operating losses generated in tax years after December 31, 2017 and the elimination of carrybacks of net operating losses.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ownership by “5% shareholders” that exceeds 50 percentage points over a rolling three-year period. If SpringBig has experienced an ownership change at any time since its incorporation, SpringBig may already be subject to limitations on its ability to utilize its existing net operating loss carryforwards and other tax attributes to offset taxable income or tax liability. In addition, the business combination, and future changes in SpringBig’s stock ownership, which may be outside of SpringBig’s control, may trigger an ownership change. Similar provisions of state tax law may also apply to limit SpringBig’s use of accumulated state tax attributes. As a result, even if SpringBig earns net taxable income in the future, its ability to use its pre-change net operating loss carryforwards and other tax attributes to offset such taxable income or tax liability may be subject to limitations, which could potentially result in increased future income tax liability to SpringBig.</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accounting standards or other factors could negatively impact our future effective tax rate.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tax estimates are reasonable, we cannot ensure that the final determination of tax audits or tax disputes will not be different from what is reflected in our historical income tax provisions and accruals.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tax laws or regulations and compliance in multiple jurisdictions may have a material adverse effect on our business, cash flow, financial condition or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income tax laws of the United States and Canada.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 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Certain taxing authorities may successfully assert that SpringBig should have collected or that in the future SpringBig should collect sales and use or similar taxes for certain services which could adversely affect our results of operations.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We do not collect sales and use or similar taxes in the United States or Canada based on our determination that such taxes are not applicable to our platform. Based on the U.S. Supreme Court’s ruling in </w:t>
      </w:r>
      <w:r>
        <w:rPr>
          <w:rFonts w:ascii="Times New Roman;sans-serif" w:hAnsi="Times New Roman;sans-serif"/>
          <w:b w:val="false"/>
          <w:i/>
          <w:color w:val="000000"/>
          <w:sz w:val="20"/>
        </w:rPr>
        <w:t>South Dakota v. Wayfair</w:t>
      </w:r>
      <w:r>
        <w:rPr>
          <w:rFonts w:ascii="Times New Roman;sans-serif" w:hAnsi="Times New Roman;sans-serif"/>
          <w:b w:val="false"/>
          <w:color w:val="000000"/>
          <w:sz w:val="20"/>
        </w:rPr>
        <w:t>, certain state taxing authorities may assert that SpringBig had economic nexus with their state and was required to collect sales and use or similar taxes with respect to certain past services that SpringBig has provided (or with respect to future services that SpringBig will provide), which could result in tax assessments and penalties and interest. A successful assertion that SpringBig should be collecting additional sales and use or similar taxes or remitting such sales and use or similar taxes directly to states or other jurisdictions could have an adverse effect on SpringBig and its business.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Additional Risks Related to the Cannabis Industry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Cannabis remains illegal under federal law, and therefore, strict enforcement of federal laws regarding cannabis would likely result in our inability to execute our business plan.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Cannabis, other than hemp (defined by the U.S. government as Cannabis sativa L. with a THC concentration of not more than 0.3% on a dry weight basis), is a Schedule I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many years, however, the U.S. government has not prioritized the enforcement of those laws against cannabis companies complying with state law and their vendors. No reversal of that policy of prosecutorial discretion is expected under the Biden administration, although prosecutions against state-legal entities cannot be ruled out.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nearly three years ago, however, U.S. Attorneys have generally not prioritized the targeting of state law compliant entities.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Attorney General William Barr testified in his confirmation hearing on January 15, 2019, that he would not upset “settled expectations,” “investments,” or other “reliance interest[s]” arising as a result of the Cole Memo, and that he did not intend to devote federal resources to enforce federal cannabis laws in states that have legalized cannabis “to the extent people are complying with the state laws.” He stated: “My approach to this would be not to upset settled expectations and the reliance interests that have arisen as a result of the Cole Memorandum and investments have been made and so there has been reliance on it, so I don’t think it’s appropriate to upset those interests.” He also implied that the CSA’s prohibitions of cannabis may be implicitly nullified in states that have legalized cannabis: “[T]he current situation … is almost like a back-door nullification of federal law.” Industry observers generally have not interpreted Attorney General Barr’s comments to suggest that the DOJ would proceed with cases against participants who entered the state-legal industry after the Cole Memo’s rescission.</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As such, 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In </w:t>
      </w:r>
      <w:r>
        <w:rPr>
          <w:rFonts w:ascii="Times New Roman;sans-serif" w:hAnsi="Times New Roman;sans-serif"/>
          <w:b w:val="false"/>
          <w:i/>
          <w:color w:val="000000"/>
          <w:sz w:val="20"/>
        </w:rPr>
        <w:t>USA vs. McIntosh</w:t>
      </w:r>
      <w:r>
        <w:rPr>
          <w:rFonts w:ascii="Times New Roman;sans-serif" w:hAnsi="Times New Roman;sans-serif"/>
          <w:b w:val="false"/>
          <w:color w:val="000000"/>
          <w:sz w:val="20"/>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Certain of our clients that are retailers currently (and may in the future) sell adult-use cannabis, if permitted by such state and local laws now or in the future, and therefore may be outside any protections extended to medical-use cannabis under the spending bill provision. This could subject such retailer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2021, Merrick Garland was sworn in as the U.S. Attorney General. During his campaign, President Biden stated a policy goal to decriminalize possession of cannabis at the federal level, but he has not publicly supported the full legalization of cannabis. In response to questions posed by Senator Cory Booker, Merrick Garland stated during February 2021 congressional testimony that he would reinstitute a version of the Cole Memorandum. He reiterated the statement that the Justice Department under his leadership would not pursue cases against Americans “complying with the laws in states that have legalized and are effectively regulating marijuana,” in written responses to the Senate Judiciary Committee provided around March 1. It is not yet known whether the Department of Justice under President Biden and Attorney General Garland, will re-adopt the Cole Memorandum or announce a substantive marijuana enforcement policy. Justice Garland indicated at a confirmation hearing before the United States Senate that it did not seem to him to be a useful use of limited resources to pursue prosecutions in states that have legalized and that are regulating the use of marijuana, either medically or otherwise. It is unclear what impact, if any, the current or any new administration will or would have on U.S. federal government enforcement policy on cannabis. Nonetheless, there is no guarantee that the position of the Department of Justice will not change.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Industry observers are hopeful that the current U.S. political environment will increase the chances of federal cannabis policy reform. However, we cannot provide assurances about the content, timing or chances of passage of a bill legalizing cannabis or liberalizing cannabis regulations. Accordingly, we cannot predict the timing of any change in federal law or possible changes in federal enforcement. In the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business and our clients are subject to a variety of U.S. and foreign laws regarding financial transactions related to cannabis, which could subject our clients to legal claims or otherwise adversely affect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are dependent on our banking relations, and we may have difficulty accessing or consistently maintaining banking or other financial services due to our connection with the cannabis industry.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the banking industry to support the financial functions of our products and solutions. Our business operating functions including payroll for our employees, real estate leases, and other expenses are handled and reliant on traditional banking.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or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or the IRS, a Form 8300 report within 15 days of receiving a cash payment of over $10,000. While we do not receive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platforms,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sell cannabis, or products that contain cannabis; accordingly, our company is not part of the cannabis industry that would be restricted from using federal and federally insured banks. However, because of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SpringBig and could materially adversely affect our business and operations. In addition to banks and financial institutions, merchant processors may take a similar view of the risks of working with SpringBig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have difficulty using bankruptcy courts due to our involvement in the regulated cannabis industry.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conduct of third parties may jeopardize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policies and procedures to review cannabis license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for operational cannabis retail clients to ensure validity and accuracy of such license information. We cannot ensure that the conduct of our clients, who are third parties, and their actions could expose them to legal sanctions and costs, which would in turn, adversely affect our business and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 failure to comply with laws and regulations regarding our use of telemarketing, including the TCPA, could increase our operating costs and materially and adversely impact our business, financial condition, results of operations, and prospects.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allows dispensaries to send outbound text communications to their customers. While we believe that it is each dispensary’s responsibility for compliance with state and federal laws regulating outbound communications, we recognize that SpringBig may be named in actions alleging violations of these laws or otherwise have to be involved in demands and actions stemming from alleged violations of these laws (e.g., through subpoenas). There are a number of state and federal laws regulating outbound telephonic communications, including the TCPA and Telemarketing Sales Rule. The U.S. Federal Communications Commission, or the FCC, and the FTC have responsibility for regulating various aspects of these laws. Individual states, like Washington and Florida, also separately regulate outbound telephonic communications. Among other requirements, the TCPA and other laws require the sender of the message to obtain prior express written consent for telemarketing calls and to adhere to state and national “do-not-call” registry requirements and implement various compliance procedures. These laws impact dispensary customers’ ability to communicate with their customers and can impact effectiveness of our marketing programs. These laws also raise the risk that SpringBig could be named directly or involved indirectly in litigation. The TCPA and other similar laws do not distinguish between voice and data communications, and, as such, SMS/MMS messages are also “calls” for the purpose of these outbound telephonic communication statutes.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TCPA and similar state laws provide for a private right of action under which a plaintiff may bring suit and, oftentimes, allow the recovery of statutory damages. The TCPA, by way of example, imposes statutory damages of between $500 and $1,500 per violation. There is no statutory cap on maximum aggregate exposure (although some courts have applied in TCPA class actions constitutional limits on excessive penalties). An action may be brought by the FCC, a state attorney general, an individual on behalf of the individual or a class of individuals. Like other companies that play an intermediary role between the sender (the dispensary) and the recipient (the dispensary customer) of telephonic communications, we have been sued under the TCPA and have received a number of subpoenas in TCPA cases brought against dispensaries. If in the future we are found to have violated the TCPA or any similar state law, particularly on a class-wide basis, the amount of damages and potential liability could be extensive and materially and adversely impact our business, financial condition, results of operations, and prospects.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continue to be subject to constraints on marketing our products.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states in which we operate have enacted strict regulations regarding marketing and sales activities on cannabis products, which could affect our cannabis retail clients’ demand for our platform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Cannabis businesses are subject to unfavorable U.S. tax treatment.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Section 280E of the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of the Code may have a lesser impact on cannabis cultivation and manufacturing operations than on sales operations, which directly affects our suppliers, who are cannabis retailers and brands. However, Section 280E of the Code and related IRS enforcement activity have had a significant impact on the operations of all cannabis companies. While Section 280E of the Code does not directly affect SpringBig, it lowers SpringBig’s clients’ profitability, and could result in decreased demand or higher price sensitivity for SpringBig’s listing, marketing, and customer loyalty services. An otherwise profitable cannabis business may operate at a loss after taking into account its U.S. income tax expenses. This affects SpringBig because SpringBig’s sales and operating results could be adversely affected if SpringBig’s clients decrease their marketing budgets and are operating on lower profit margins as a result of unfavorable treatment by the Code.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Service providers to cannabis businesses may also be subject to unfavorable U.S. tax treatment.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not believe that Section 280E of the Code applies to our business, and, generally, ancillary service providers who work with state-licensed cannabis businesses have not been subject to Section 280E of the Code, because they are providing services or products other than cannabis, if the IRS interprets the section to apply, it would significantly and materially affect our profitability and financial condition.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MORE Act, which was passed by the House of Representatives in 2020 and reintroduced in the Senate for consideration on September 30, 2021, would remove marijuana from the CSA, which would effectively carve out state-legal cannabis businesses from Section 280E of the Code. However,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the activities of SpringBig. Similarly, the recently introduced States Reform Act would also effectively carve out state-legal cannabis businesses from Section 280E of the Code but at the same time impose a new excise tax on cannabis businesses (albeit at a lower rate than the proposed MORE Act).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Cannabis businesses may be subject to civil asset forfeiture.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Due to our involvement in the cannabis industry, we may have a difficult time obtaining the various insurances that are desired to operate our business, which may expose us to additional risk and financial liability.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operate our business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There may be difficulty enforcing certain of our commercial agreements and contracts.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Courts will not enforce a contract deemed to involve a violation of law or public policy. Because cannabis remains illegal under U.S. federal law, certain parties to contracts involving the state-legal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all of our commercial agreements in court for this reason. We cannot be assured that we will have a remedy for breach of contract, which would have a material adverse effect on our business.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in the future be, subject to disputes and assertions by third parties with respect to alleged violations of intellectual property rights. These disputes could be costly to defend and could harm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from time to time in the future, face allegations that we have violated the intellectual property rights of third parties, including patent, trademark, copyright and other intellectual property rights. Even if the claims are without merit, defending these types of claims may result in substantial costs, the diversion of the attention of management, and the disruption of our operations. In particular, patent and other intellectual property litigation may be protracted and expensive, and the results are difficult to predict. We may be required to stop offering certain features, purchase licenses or modify our products and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features while we develop non-infringing substitutes, or become subject to significant settlement costs. These claims also could subject us to significant liability for damages and could result in our having to stop using or hosting technology, content, branding or business methods found to be in violation of another party’s rights. We do not own any patents and, therefore, may be unable to deter competitors or others from pursuing patent or other intellectual property infringement claims against us through the threat of counter-suit.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Companies in the software-as-a-service (SaaS) vertical in which we operate and other industries may own large numbers of patents, copyrights, and trademarks and may frequently request license agreements, threaten litigation or file suit against us based on allegations of infringement or other violations of intellectual property rights. Our platform features third-party brands, which may themselves infringe third party intellectual property rights and could bring us into litigation between the parties. Further, although we contractually seek indemnification protection from our clients, clients may not be solvent or financially able to indemnify us. We may be required or may opt to seek a license of intellectual property rights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content, branding, or business methods, which could require significant effort and expense and which we may not be able to accomplish efficiently, or at all. If we cannot use, license, or develop technology, content, branding, or business methods for any allegedly infringing aspect of our business, we may be unable to compete effectively. Further, as we face increasing competition and as our business grows, we will face an increasing likelihood of claims of infringement.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litigation and claims to which we may be subject cannot be predicted with certainty. Even if these matters do not result in litigation or are resolved in our favor or without significant cash settlements, these matters, and the time and resources necessary to litigate or resolve them, could harm our business, reputation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Some of our solutions contain open source software, which may pose particular risks to our proprietary software and solutions.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open source software that we have obtained from third parties or is included in software packages in our solutions and will continue to use open source software in the future. Open source software is generally freely accessible, usable and modifiable, and is made available to the general public on an “as-is” basis under the terms of a non-negotiable license. From time to time, we may face claims from third parties claiming ownership of, or demanding release of, the open source software and/or derivative works that we developed using such software (which could include our proprietary source code), or otherwise seeking to enforce the terms of the applicable open source license. These claims could result in litigation and could require us to purchase a costly license or cease offering the implicated solutions unless and until we can re-engineer them to avoid infringement. This re-engineering process could require significant additional research and development resources. In addition to risks related to license requirements, use of certain open source software can lead to greater risks than use of third party commercial software, as open source licensors generally do not provide warranties or controls on the origin of software. Any of these risks could be difficult to eliminate or manage, and, if not addressed, could have a negative effect on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success of our business heavily depends on our ability to protect and enforce our intellectual property rights.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our intellectual property, the protection of which is crucial to the success of our business. We rely on a combination of trademark, trade secret and other intellectual property rights and laws and contractual restrictions to protect our intellectual property. As examples of such restrictions, we attempt to protect our intellectual property, technology and confidential information by entering into confidentiality and inventions assignment agreements and non-competition agreements with employees, contractors, consultants and business partners who develop intellectual property on our behalf, and entering into non-disclosure agreements with our business partners.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as examples, may copy aspects of our website features, software and functionality or obtain and use information that we consider proprietary.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our efforts to protect our intellectual property rights, including trademarks, they may not be recognized in the future, or may be invalidated, circumvented or challenged. For example, we have registered, among numerous other trademarks, “SpringBig” as a trademark in the U.S. Competitors have and may continue to adopt service names similar to ours, thereby harming our ability to build brand identity and possibly leading to consumer confusion. In addition, there could be potential trade name or trademark infringement claims brought by owners of other trademarks that are similar to our trademarks. Litigation or proceedings before the U.S. Patent and Trademark Office or other governmental authorities and administrative bodies in the U.S. and abroad may be necessary in the future to enforce our intellectual property rights and to determine the validity and scope of the proprietary rights of others. Our efforts to enforce or protect our proprietary rights may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 ineffective and could result in substantial costs and diversion of resources, which could harm our business and operating results.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may be subject, from time-to-time, to claims that former employees, collaborators or other third parties have an interest in our intellectual property as an inventor or co-inventor.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If we are subject to a dispute challenging our rights in or to patents or other intellectual property, such a dispute could be expensive and time consuming. If we were unsuccessful, we could lose valuable rights in intellectual property that we regard as our own, which could have a material adverse effect on our business, financial condition, results of operations and prospects.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Risks Related to Our Securities and Certain Tax Matters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On September 7, 2022, we received a letter from the listing qualifications department staff of Nasdaq (the “Nasdaq Staff”) notifying us that for the last 30 consecutive business days, our minimum Market Value of Listed Securities (“MVLS”) was below the minimum of $50 million required for continued listing on The Nasdaq Global Market pursuant to Nasdaq listing rule 5450(b)(2)(A).</w:t>
      </w:r>
      <w:r>
        <w:rPr>
          <w:color w:val="000000"/>
        </w:rPr>
        <w:t xml:space="preserve"> </w:t>
      </w:r>
      <w:r>
        <w:rPr>
          <w:rFonts w:ascii="Times New Roman;sans-serif" w:hAnsi="Times New Roman;sans-serif"/>
          <w:b w:val="false"/>
          <w:color w:val="000000"/>
          <w:sz w:val="20"/>
        </w:rPr>
        <w:t>The notice had no immediate effect on the listing of our common stock or warrants.</w:t>
      </w:r>
      <w:r>
        <w:rPr>
          <w:color w:val="000000"/>
        </w:rPr>
        <w:t xml:space="preserve"> </w:t>
      </w:r>
      <w:r>
        <w:rPr>
          <w:rFonts w:ascii="Times New Roman;sans-serif" w:hAnsi="Times New Roman;sans-serif"/>
          <w:b w:val="false"/>
          <w:color w:val="000000"/>
          <w:sz w:val="20"/>
        </w:rPr>
        <w:t>In accordance with Nasdaq listing rule 5810(c)(3)(C), the Company has 180 calendar days, or until March 6, 2023, to regain compliance. The notice states that to regain compliance, the Company’s MVLS must close at $50 million or more for a minimum of ten consecutive business days during the compliance period ending March 6, 2023. On March 7, 2023, we received formal notice from the Nasdaq Staff indicating that we continued to be non-compliant with the MVLS requirement and that our common stock and warrants were subject to delisting unless the Company timely requests a hearing before the Nasdaq Hearings Panel (the “Panel”). The Company has timely requested a hearing before the Panel, which request will stay any further action by Nasdaq at least pending the issuance of a decision by the Panel and the expiration of any extension that the Panel may grant to the Company following the hearing. If the Company is unable to satisfy the MVLS requirement, the Company may be eligible to transfer the listing of its common stock and warrants to the Nasdaq Capital Market (provided that it then satisfies the requirements for continued listing on that market).</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On December 20, 2022, we received a letter from the Nasdaq Staff providing notification that, for the previous 30 consecutive business days, the bid price for the Company’s common stock had closed below the $1.00 per share minimum bid price requirement for continued listing under Nasdaq Listing Rule 5450(a)(1). The notice had no immediate effect on the listing of the Company’s common stock or warrants.</w:t>
      </w:r>
      <w:r>
        <w:rPr>
          <w:color w:val="000000"/>
        </w:rPr>
        <w:t xml:space="preserve"> </w:t>
      </w:r>
      <w:r>
        <w:rPr>
          <w:rFonts w:ascii="Times New Roman;sans-serif" w:hAnsi="Times New Roman;sans-serif"/>
          <w:b w:val="false"/>
          <w:color w:val="000000"/>
          <w:sz w:val="20"/>
        </w:rPr>
        <w:t>In accordance with Nasdaq Listing Rule 5810(c)(3)(A) the Company has been provided an initial period of 180 calendar days, or until June 19, 2023 to regain compliance with the minimum bid requirement. To regain compliance, the closing bid price of the Company’s common stock must be $1.00 per share or higher for a minimum of 10 consecutive business days any time before June 19, 2023, unless Nasdaq exercises its discretion to extend this 10-day period pursuant to Nasdaq Listing Rule 5810(c)(3)(H).</w:t>
      </w:r>
      <w:r>
        <w:rPr>
          <w:color w:val="000000"/>
        </w:rPr>
        <w:t xml:space="preserve"> </w:t>
      </w:r>
      <w:r>
        <w:rPr>
          <w:rFonts w:ascii="Times New Roman;sans-serif" w:hAnsi="Times New Roman;sans-serif"/>
          <w:b w:val="false"/>
          <w:color w:val="000000"/>
          <w:sz w:val="20"/>
        </w:rPr>
        <w:t>If the Company does not regain compliance by June 19, 2023, the Company may be eligible for an additional 180 calendar days compliance period. To qualify, the Company would need to transfer the listing of its common stock to the Nasdaq Capital Market, provided that it meets the continued listing requirement for market value of publicly held shares and all other initial listing standards for the Nasdaq Capital Market, with the exception of the minimum bid price requirement, and would need to provide written notice of its intention to cure the deficiency during the second compliance period by effecting a reverse stock split if necessary.</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regain compliance with the requirements for listing our common stock and/or warrants on Nasdaq. If we are unable to satisfy the Nasdaq criteria for continued listing, our common stock and/or warrants would be subject to delisting. A delisting of our common stock could negatively impact us by, among other things, reducing the liquidity and market price of our common stock and/or warrants; reducing the number of investors willing to hold or acquire our common stock and/or warrants,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our performance does not meet market expectations, the price of our securities may decline and the market for our securities may be volatile.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performance does not meet market expectations, the price of our shares of common stock may decline. In addition, even if an active market for our shares of common stock develops and continues, the trading price of our shares of common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could be volatile and subject to wide fluctuations in response to various factors, some of which are beyond our control. Any of the factors listed below could have a material adverse effect on the price of our shares of common stock.</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shares of common stock may include:</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actual or anticipated fluctuations in our quarterly and annual financial results or the quarterly and annual financial results of companies perceived to be similar to us;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the market’s expectations about operating results;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operating results failing to meet market expectations in a particular period, which could impact the market price our shares of common stock;</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laws and regulations affecting our businesses;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commencement of, or involvement in, litigation involving the Company;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debt;</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any significant change in our Board of Directors or management;</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sales of substantial amounts of our shares of common stock by the Company, Cantor, the Investor or our directors, executive officers or significant shareholders or the perception that such sales could occur;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interest rates, fuel prices, inflation, international currency fluctuations and acts of war or terrorism.</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depress the market price of our shares of common stock irrespective of our operating performance. The stock market in general has experienced price and volume fluctuations that have often been unrelated or disproportionate to the operating performance of the particular companies affected. The trading prices and valuations of these shares, and of our securities, may not be predictable. A loss of investor confidence in the market for companies engaging in digital payments or the shares of other companies which investors perceive to be similar to us could depress our stock price regardless of our business, prospects, financial conditions or results of operations. A decline in the market price of our shares of common stock also could adversely affect our ability to issue additional securities and our ability to obtain additional financing in the future.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Because there are no current plans to pay cash dividends on our shares of common stock for the foreseeable future, you may not receive any return on investment unless you sell our shares of common stock for a price greater than that which you paid for it; furthermore, there is no guarantee that the value of the shares of common stock will increase to a price greater than that which you paid for it.</w:t>
      </w:r>
    </w:p>
    <w:p>
      <w:pPr>
        <w:pStyle w:val="TextBody"/>
        <w:spacing w:before="0" w:after="0"/>
        <w:rPr/>
      </w:pPr>
      <w:r>
        <w:rPr/>
      </w:r>
    </w:p>
    <w:p>
      <w:pPr>
        <w:pStyle w:val="TextBody"/>
        <w:spacing w:lineRule="auto" w:line="276"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shares of common stock unless you sell your shares of for a price greater than that which you paid for them; provided, however, that there is no guarantee that the value of the shares of common stock will increase to a price greater than the price for which such shares were purchased.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issuance of our shares of common stock in connection with the Notes and Warrants Purchase Agreement or that may otherwise be issued and/or sold by the Company or selling securityholders, could cause substantial dilution, which could materially affect the trading price of our shares of common stock.</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the L1 Notes and/or Investor Warrants are converted into or exercised for shares of common stock, substantial amounts of our shares of common stock will be issued. Under certain default circumstances the L1 Notes and Investor Warrants may become exercisable at prevailing prices or discounts to prevailing prices, and the original $12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price of the L1 Notes and $12 exercise price of the Investor Warrants will be adjusted in the event that the Company issues additional equity securities under certain issuances below the original conversion/exercise price. In addition, we have the ability under certain circumstances to make payments on the L1 Notes in shares of common stock at then prevailing market prices. We are required to reserve three times the original number of shares obtainable under the L1 Notes and Investor Warrants to provide for these circumstances. Although we cannot predict the number of our shares of common stock that will actually be issued in connection with any such conversions and/or sales, such issuances could result in substantial decreases to our stock price.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substantial amounts of our shares of common stock may also be issued, sold and/or resold under Cantor Equity Facility and pursuant to the Company’s equity incentive plan, which could cause further substantial dilution of our shares of common stock and materially impact the trading price of our shares of common stock.</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In addition, the way we account for the L1 Notes and the Investor Warrants may impact our reported or future financial results and the market price of our shares of common stock. For example, we have adopted ASU 2020-06, </w:t>
      </w:r>
      <w:r>
        <w:rPr>
          <w:rFonts w:ascii="Times New Roman;sans-serif" w:hAnsi="Times New Roman;sans-serif"/>
          <w:b w:val="false"/>
          <w:i/>
          <w:color w:val="000000"/>
          <w:sz w:val="20"/>
        </w:rPr>
        <w:t>Accounting for Convertible Instruments and Contracts in an Entity's Own Equity</w:t>
      </w:r>
      <w:r>
        <w:rPr>
          <w:color w:val="000000"/>
        </w:rPr>
        <w:t xml:space="preserve"> </w:t>
      </w:r>
      <w:r>
        <w:rPr>
          <w:rFonts w:ascii="Times New Roman;sans-serif" w:hAnsi="Times New Roman;sans-serif"/>
          <w:b w:val="false"/>
          <w:color w:val="000000"/>
          <w:sz w:val="20"/>
        </w:rPr>
        <w:t>and elected to carry the L1 Notes and Investor Warrants at amortized cost. See the section titled “Effective Accounting Pronouncements” in Note 2 “Summary of Significant Accounting Policies,” and Note 11 “Senior Secured Convertible Notes” in our audited consolidated financial statements included in this report for more information.</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total outstanding shares may be sold into the market in the near future. This could cause the market price of our shares of common stock to drop significantly, even if our business is doing well.</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common stock in the public market could occur at any time as a result of issuances and resales of shares of common stock under the Cantor Equity Facility along with other issuances and resales of shares of common stock including shares subject to the L1 Notes, the Investor Warrants and our other public and private warrants, as well as the resale of shares of common stock by other holders, and pursuant to the Company’s equity incentive plan. These sales, or the perception in the market that the holders of a large number of shares intend to sell shares, could reduce the market price of our shares of common stock.</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Sales of our shares of common stock, or the perception of such sales, including by selling securityholders in the public market or otherwise could cause the market price for our shares of common stock to decline the securityholders selling such securities may still receive significant proceeds.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our shares of common stock in the public market or otherwise, or the perception that such sales could occur, could harm the prevailing market price of our shares of common stock. These sales, or the possibility that these sales may occur, also might make it more difficult for us to sell equity securities in the future at a time and at a price that it deems appropriate (which ability to sell equity securities is also subject to restrictions under the terms of the L1 Notes and related agreements). Institutional investors and our founder that collectively beneficially own in excess of 50% of the Company’s outstanding shares in the aggregate will be able to resell their shares for so long as a registration statement is available for use. Resales of our shares of common stock may cause the market price of our securities to drop significantly, regardless of the performance of our business.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We have filed registration statements relating to the resale of a large number of shares of common stock representing a large percentage of our public float pursuant to the Notes and Warrants Purchase Agreement, the Cantor Equity Facility, and securities held by certain existing shareholders for which such securityholders have registration rights.</w:t>
      </w:r>
      <w:r>
        <w:rPr>
          <w:color w:val="000000"/>
        </w:rPr>
        <w:t xml:space="preserve"> </w:t>
      </w:r>
      <w:r>
        <w:rPr>
          <w:rFonts w:ascii="Times New Roman;sans-serif" w:hAnsi="Times New Roman;sans-serif"/>
          <w:b w:val="false"/>
          <w:color w:val="000000"/>
          <w:sz w:val="20"/>
        </w:rPr>
        <w:t>As such, sales of a substantial number of shares of common stock in the public market could occur at any time. Given the substantial number of shares of common stock being registered for potential resale or the perception in the market that the stockholders of a large number of shares intend to sell shares, could increase the volatility of the market price of our common stock or result in a significant decline in the public trading price of our common stock.</w:t>
      </w:r>
      <w:r>
        <w:rPr>
          <w:color w:val="000000"/>
        </w:rPr>
        <w:t xml:space="preserve"> </w:t>
      </w:r>
      <w:r>
        <w:rPr>
          <w:rFonts w:ascii="Times New Roman;sans-serif" w:hAnsi="Times New Roman;sans-serif"/>
          <w:b w:val="false"/>
          <w:color w:val="000000"/>
          <w:sz w:val="20"/>
        </w:rPr>
        <w:t>Further, certain shares of our common stock that are being registered for resale include shares that were purchased at prices that may be significantly below the trading price of our shares of common stock and the sale of which would result in such selling securityholders realizing a significant gain. Even if our trading price remains low, certain selling securityholders may still have an incentive to sell shares of our common stock because they purchased the shares at prices lower than the public investors or the current trading price of our common stock. Public holders of our shares of common stock may not experience a similar rate of return on their shares.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or cease publishing research or reports about us, our business, or our market, or if they change their recommendations regarding our common stock adversely, the price and trading volume of our common stock could decline.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be influenced by the research and reports that industry or securities analysts may publish about us, our business, our market, or our competitors. If any of the analysts who may cover SpringBig change their recommendation regarding our stock adversely, or provide more favorable relative recommendations about our competitors, the price of our common stock would likely decline. If any analyst who may cover SpringBig were to cease their coverage or fail to regularly publish reports on us, we could lose visibility in the financial markets, which could cause our stock price or trading volume to decline.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amend the terms of our public and private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securityholders.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public warrants were issued in registered form under the warrant agreement between Continental Stock Transfer &amp; Trust Company, as warrant agent, and the Company. The warrant agreement provides that the terms of the warrants may be amended without the consent of any holder for the purpose of curing any ambiguity or curing, correcting or supplementing any defective provision or adding or changing any other provisions with respect to matters or questions arising under the warrant agreement, but requires the approval by the holders of at least 65% of then outstanding public warrants to make any change that adversely affects the interests of the registered holders. Accordingly, we may amend the terms of the public warrants in a manner adverse to a holder if holders of at least 65% of then outstanding public warrants approve of such amendment. Examples of such amendments could be amendments to, among other things, increase the exercise price of the warrants, shorten the exercise period or decrease the number of shares of common stock purchasable upon the exercise of a warrant.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remain an emerging growth company for up to five years from the date of our IPO, although circumstances could cause us to lose that status earlier, including if the market value of our shares of common stock held by non-affiliates exceeds $700,000,000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have and will continue to incur increased costs as a result of operating as a public company and our management has and will continue to devote a substantial amount of time to new compliance initiatives.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have and will continue to incur significant legal, accounting and other expenses that we did not incur as a private company, and these expenses may increase even more after we are no longer an emerging growth company, as defined in Section 2(a) of the Securities Act. In addition, we expect to record incremental share-based compensation expense in connection with the consummation of the business combination.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and the Dodd-Frank Act, as well as rules adopted, and to be adopted, by the SEC and the Nasdaq Stock Market LLC. Our management and other personnel have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director and officer liability insurance and forced us to accept reduced policy limits. We cannot predict or estimate the amount or timing of additional costs we have and will continue to incur to respond to these requirements. The impact of these requirements could also make it more difficult for us to attract and retain qualified persons to serve on our Board of Directors, our board committees or as executive officers.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failure to timely and effectively implement controls and procedures required by Section 404(a) of the Sarbanes-Oxley Act could have a material adverse effect on our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pStyle w:val="TextBody"/>
        <w:spacing w:before="0" w:after="0"/>
        <w:ind w:left="0" w:right="0" w:firstLine="360"/>
        <w:jc w:val="both"/>
        <w:rPr/>
      </w:pPr>
      <w:r>
        <w:rPr/>
      </w:r>
    </w:p>
    <w:p>
      <w:pPr>
        <w:pStyle w:val="TextBody"/>
        <w:spacing w:lineRule="auto" w:line="244"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elsewhere in this Annual Report on Form 10-K, we completed the business combination on June 14, 2022. Prior to the business combination, Legacy SpringBig was a private company and, therefore, its controls were not required to be designed or maintained in accordance with Rules 13a-15 and 15d-15 under the Exchange Act. The design and implementation of internal control over financial reporting for the Company post-business combination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 comprehensive assessment of our internal control over financial reporting as of December 31, 2022. Accordingly, we are excluding management's report on internal control over financial reporting pursuant to Section 215.02 of the SEC Division of Corporation Finance's Regulation S-K Compliance &amp; Disclosure Interpretations. However, management concluded that as of December 31, 2022, the Company had a material weakness. </w:t>
      </w:r>
    </w:p>
    <w:p>
      <w:pPr>
        <w:pStyle w:val="TextBody"/>
        <w:spacing w:before="0" w:after="0"/>
        <w:ind w:left="0" w:right="0" w:firstLine="360"/>
        <w:jc w:val="both"/>
        <w:rPr/>
      </w:pPr>
      <w:r>
        <w:rPr/>
      </w:r>
    </w:p>
    <w:p>
      <w:pPr>
        <w:pStyle w:val="TextBody"/>
        <w:spacing w:lineRule="auto" w:line="244"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combination of deficiencies, in internal control over financial reporting, such that there is more than a reasonable possibility that a material misstatement of the Company's annual or interim financial statements will not be prevented or detected on a timely basis. Management concluded that we did not have accounting personnel with adequate expertise in GAAP to ensure that complex material and/or non-routine transactions are properly reflected in our consolidated financial statements. We also noted that we did not perform adequate independent reviews and maintain effective controls related to the preparation of consolidated financial statements, related notes thereto, account analyses, account summaries and account reconciliations. We have taken and are continuing to take additional steps to remedy this material weakness.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properly implement internal controls on a timely basis may lead to the identification of one or more additional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shares of common stock to decline. If we have additional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shares of common stock.</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laws or regulations, or a failure to comply with any laws and regulations, may adversely affect our business, investments and results of operations.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certificate of incorporation and bylaws and under Delaware law could delay or prevent a change in control, limit the price investors may be willing to pay in the future for our shares of common stock and could entrench management.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make it more difficult for a third-party to acquire us without the consent of our Board of Directors. These provisions provide for:</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 classified Board of Directors with staggered three-year terms;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ability of our Board of Directors to determine the powers, preferences and rights of preference shares and to cause us to issue the preference shares without shareholder approval;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requiring advance notice for shareholder proposals and nominations and placing limitations on convening shareholder meetings.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shareholders to elect directors of their choosing and cause us to take corporate actions other than those shareholders may desire, any of which could harm our share price.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largest shareholders and certain members of our management own a significant percentage of our shares of common stock and are able to exert significant control over matters subject to shareholder approval.</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founder and certain of our largest shareholders hold a significant percentage of our shares of common stock.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shares of common stock, including pursuant to our equity incentive and other compensatory plans, will result in additional dilution of the percentage ownership of our shareholders and could cause our share price to fall.</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We may need additional capital in the future to continue our planned operations. To the extent we raise additional capital by issuing equity securities, our shareholders may experience substantial dilution. We may sell shares of common stock, convertible securities or other equity securities in one or more transactions at prices and in a manner we determine from time to time. If we sell shares of common stock, convertible securities or other equity securities in more than one transaction, investors may be materially diluted by subsequent sales. In addition, new investors could gain rights superior to our existing shareholders.</w:t>
      </w:r>
      <w:r>
        <w:rPr>
          <w:color w:val="000000"/>
        </w:rPr>
        <w:t xml:space="preserve">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SpringBig Holdings, Inc. 2022 Long-Term Incentive Plan (the “Incentive Plan”), we are authorized to grant options and other share-based awards to our employees, directors and consultants. The number of shares of our common stock initially reserved for issuance under the Incentive Plan was 1,525,175, but we may seek shareholder approval to increase this amount from time to time. Shares subject to stock awards granted under the Incentive Plan that expire or terminate without being exercised in full, or that are paid out in cash rather than in shares, will not reduce the number of shares available for issuance under the Incentive Plan.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Boca Raton, Florida pursuant to a lease that expires in November 2024. In addition, SpringBig leases office space in Seattle, Washington and Toronto, Ontario.</w:t>
      </w:r>
    </w:p>
    <w:p>
      <w:pPr>
        <w:pStyle w:val="TextBody"/>
        <w:spacing w:before="0" w:after="0"/>
        <w:ind w:left="0" w:right="0" w:firstLine="400"/>
        <w:jc w:val="both"/>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current facilities are adequate to meet our ongoing needs. However, from time to time we may evaluate additional or substitute office spaces. We believe that we will be able to obtain additional facilities, as needed, on commercially reasonable terms.</w:t>
      </w:r>
    </w:p>
    <w:p>
      <w:pPr>
        <w:pStyle w:val="TextBody"/>
        <w:spacing w:before="0" w:after="0"/>
        <w:ind w:left="0" w:right="0" w:firstLine="4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developments to legal proceedings during the year ended December 31, 2022, see "Litigation" under Note 17, "Commitments and Contingencies" to our consolidated financial statements.</w:t>
      </w:r>
    </w:p>
    <w:p>
      <w:pPr>
        <w:pStyle w:val="TextBody"/>
        <w:spacing w:before="0" w:after="0"/>
        <w:ind w:left="0" w:right="0" w:firstLine="4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4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Information</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and warrants, each exercisable for one share of our common stock at an exercise price of $11.50 per share, are listed on The Nasdaq Global Market under the symbols “SBIG” and SBIGW,” respectively. As of March 28, 2023, there were 39 holders of record of our common stock, and this number was derived from our shareholder records and does not include The Depository Trust Company participants or beneficial owners holding shares through nominee names.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Policy</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declared or paid any dividends on our common stock to date.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Sales of Unregistered Securities</w:t>
      </w:r>
    </w:p>
    <w:p>
      <w:pPr>
        <w:pStyle w:val="TextBody"/>
        <w:spacing w:before="0" w:after="0"/>
        <w:ind w:left="0" w:right="0" w:firstLine="450"/>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2022, at the first closing under the Notes and Warrants Purchase Agreement, we issued and sold to the Investor (i) a Note in the principal amount of $11,000,000 and (ii) a five-year warrant to purchase 586,980 shares of our common stock at an exercise price of $12.00 per share, for total cash consideration to the Company of $10,000,000</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2022, we issued 1,310,000 shares of our common stock pursuant to the Subscription Agreements entered into in connection with the PIPE Subscription Financing for aggregate consideration of $13.1 million, plus 31,356 shares paid to certain investors pursuant to the convertible notes with such investors.</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9, 2022, we issued 877,193 shares of our common stock (such shares, the “Commitment Fee Shares”) to Cantor. We issued the Commitment Fee Shares as consideration for Cantor’s irrevocable commitment to purchase additional Common Shares at our election in our sole discretion, from time to time upon the terms and subject to the satisfaction of the conditions set forth in the Common Stock Purchase Agreement. The Common Stock Purchase Agreement established a committed equity facility pursuant to which we may in the future, from time to time, at our election in our sole discretion, upon the terms and subject to the satisfaction of the conditions set forth in the Common Stock Purchase Agreement issue and sell to the Cantor additional shares of our Common Stock.</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6, 9, and 13, 2022, we issued 80,770, 80,770, 91,481, and 98,224, respectively, for a total of 351,245 shares of our common stock (such shares, the “L1 Shares”) to the Investor. We issued the L1 Shares as consideration for repayment of a portion of the amounts payable under the L1 Notes.</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issued the foregoing securities in transactions not involving an underwriter and not requiring registration under Section 5 of the Securities Act of 1933, as amended, in reliance on the exemption afforded by Section 4(a)(2) thereof.</w:t>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spacing w:before="0" w:after="0"/>
        <w:ind w:left="0" w:right="0" w:firstLine="470"/>
        <w:rPr/>
      </w:pPr>
      <w:r>
        <w:rPr/>
      </w:r>
    </w:p>
    <w:p>
      <w:pPr>
        <w:pStyle w:val="TextBody"/>
        <w:spacing w:lineRule="auto" w:line="268" w:before="0" w:after="0"/>
        <w:ind w:left="0" w:right="0" w:firstLine="47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Securities Authorized for Issuance under Equity Compensation Plan</w:t>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definitive Proxy Statement for our 2023 annual meeting of stockholders (the “Proxy Statement”),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spacing w:before="0" w:after="0"/>
        <w:ind w:left="0" w:right="0" w:firstLine="4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before="40" w:after="283"/>
        <w:rPr/>
      </w:pPr>
      <w:r>
        <w:rPr/>
      </w:r>
    </w:p>
    <w:p>
      <w:pPr>
        <w:pStyle w:val="TextBody"/>
        <w:spacing w:lineRule="auto" w:line="26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"SpringBig," "the Company," "we," "us" or "our" refer to SpringBig Holdings, Inc. and its subsidiaries, unless the context otherwise requires.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other than statements of historical facts contained in this report, including statements regarding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objectives, and financial needs. Our actual results could differ materially from those anticipated due to various factors discussed under “Risk Factors” in this Annual Report on Form 10-K.</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Business Overview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SpringBig Holdings, Inc. (the “Company” or “SpringBig”)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serves approximately 1,300 brand and retailer clients across more than 3,000 distinct retail locations in North America. Our clients distribute more than 2.0 billion messages annually, and in the last year more than $7.5 billion of gross merchandise value was accounted for by clients utilizing our platform. </w:t>
      </w:r>
    </w:p>
    <w:p>
      <w:pPr>
        <w:pStyle w:val="TextBody"/>
        <w:spacing w:before="0" w:after="0"/>
        <w:ind w:left="0" w:right="0" w:firstLine="360"/>
        <w:jc w:val="both"/>
        <w:rPr/>
      </w:pPr>
      <w:r>
        <w:rPr/>
      </w:r>
    </w:p>
    <w:p>
      <w:pPr>
        <w:pStyle w:val="TextBody"/>
        <w:spacing w:lineRule="auto" w:line="276"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Business Combination and Public Company Cost</w:t>
      </w:r>
    </w:p>
    <w:p>
      <w:pPr>
        <w:pStyle w:val="TextBody"/>
        <w:spacing w:before="0" w:after="0"/>
        <w:ind w:left="0" w:right="0" w:firstLine="360"/>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2022, SpringBig Holdings, Inc., a Delaware corporation (formerly known as Tuatara Capital Acquisition Corporation (“Tuatara” or “TCAC”)), consummated the previously announced business combination (the “business combination”) of Tuatara and SpringBig, Inc.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 Legacy SpringBig was deemed to be the accounting acquirer in the business combination based on an analysis of the criteria outlined in Accounting Standards Codification 805. While Tuatara was the legal acquirer in the business combination, because Legacy SpringBig was deemed the accounting acquirer, the historical financial statements of Legacy SpringBig became the historical financial statements of the combined company, upon the Closing.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combination was accounted for as a “reverse recapitalization.” A reverse recapitalization does not result in a new basis of accounting, and the financial statements of the combined entity represent the continuation of the financial statements of Legacy SpringBig in many respects. Under this method of accounting, Tuatara was treated as the “acquired” company for financial reporting purposes. For accounting purposes, Legacy SpringBig was deemed to be the accounting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acquirer in the transaction and, consequently, the transaction was treated as a recapitalization of Legacy SpringBig (i.e., a capital transaction involving the issuance of stock by Tuatara for stock of Legacy SpringBig). Accordingly, the consolidated assets, liabilities and results of operations of Legacy SpringBig became the historical financial statements of the combined company, and Tuatara’s assets, liabilities and results of operations were consolidated with Legacy SpringBig beginning on the acquisition date. Operations prior to the business combination are presented as those of Legacy SpringBig. The net assets of Tuatara were recognized at historical cost (which are consistent with carrying value), with no goodwill or other intangible assets recorded.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consequence of the business combination, Legacy SpringBig became the successor to an SEC-registered and Nasdaq-listed company, which requires us to incur additional expenses and implement procedures and processes to address public company regulatory requirements and customary practices. We have and expect to continue to incur additional annual expenses as a public company for, amongst other things, directors’ and officers’ liability insurance, director fees and additional internal and external accounting, legal and administrative resources, including increased audit and legal fees.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Key Operating and Financial Metrics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monitor the following key financial and operational metrics to evaluate our business, measure our performance, identify trends affecting our business, formulate business plans, and make strategic decisions. The following is our analysis for the years ended December 31, 2022 and 2021, in thousands:</w:t>
      </w:r>
    </w:p>
    <w:p>
      <w:pPr>
        <w:pStyle w:val="TextBody"/>
        <w:spacing w:before="0" w:after="0"/>
        <w:ind w:left="0" w:right="0" w:firstLine="360"/>
        <w:jc w:val="both"/>
        <w:rPr/>
      </w:pPr>
      <w:r>
        <w:rPr/>
      </w:r>
    </w:p>
    <w:tbl>
      <w:tblPr>
        <w:tblW w:w="5640" w:type="dxa"/>
        <w:jc w:val="left"/>
        <w:tblInd w:w="0" w:type="dxa"/>
        <w:tblCellMar>
          <w:top w:w="28" w:type="dxa"/>
          <w:left w:w="28" w:type="dxa"/>
          <w:bottom w:w="28" w:type="dxa"/>
          <w:right w:w="28" w:type="dxa"/>
        </w:tblCellMar>
      </w:tblPr>
      <w:tblGrid>
        <w:gridCol w:w="915"/>
        <w:gridCol w:w="806"/>
        <w:gridCol w:w="814"/>
        <w:gridCol w:w="109"/>
        <w:gridCol w:w="109"/>
        <w:gridCol w:w="109"/>
        <w:gridCol w:w="211"/>
        <w:gridCol w:w="721"/>
        <w:gridCol w:w="271"/>
        <w:gridCol w:w="109"/>
        <w:gridCol w:w="109"/>
        <w:gridCol w:w="109"/>
        <w:gridCol w:w="211"/>
        <w:gridCol w:w="721"/>
        <w:gridCol w:w="316"/>
      </w:tblGrid>
      <w:tr>
        <w:trPr/>
        <w:tc>
          <w:tcPr>
            <w:tcW w:w="91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retail clients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retention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messages (million)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reconciliation of net loss to Adjusted EBITDA see “EBITDA and Adjusted EBITDA,” below.</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12-month periods unless notice of cancellation is provided in advance.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w:t>
      </w:r>
      <w:r>
        <w:rPr>
          <w:color w:val="000000"/>
        </w:rPr>
        <w:t xml:space="preserve"> “</w:t>
      </w:r>
      <w:r>
        <w:rPr>
          <w:rFonts w:ascii="Times New Roman;sans-serif" w:hAnsi="Times New Roman;sans-serif"/>
          <w:b w:val="false"/>
          <w:color w:val="000000"/>
          <w:sz w:val="20"/>
        </w:rPr>
        <w:t>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Other Key Operating Metrics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Number of Retail Clients.</w:t>
      </w:r>
      <w:r>
        <w:rPr>
          <w:color w:val="000000"/>
        </w:rPr>
        <w:t xml:space="preserve"> </w:t>
      </w:r>
      <w:r>
        <w:rPr>
          <w:rFonts w:ascii="Times New Roman;sans-serif" w:hAnsi="Times New Roman;sans-serif"/>
          <w:b w:val="false"/>
          <w:color w:val="000000"/>
          <w:sz w:val="20"/>
        </w:rPr>
        <w:t>We disclose in the table above the number of discrete SpringBig platforms used by clients of the business at the end of the relevant period. We view this number as an important metric to assess the performance of our business because an increased number of clients drives growth, increases brand awareness and helps contribute to our reach and strengthening our value proposition.</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Net Revenue Retention.</w:t>
      </w:r>
      <w:r>
        <w:rPr>
          <w:color w:val="000000"/>
        </w:rPr>
        <w:t xml:space="preserve"> </w:t>
      </w:r>
      <w:r>
        <w:rPr>
          <w:rFonts w:ascii="Times New Roman;sans-serif" w:hAnsi="Times New Roman;sans-serif"/>
          <w:b w:val="false"/>
          <w:color w:val="000000"/>
          <w:sz w:val="20"/>
        </w:rPr>
        <w:t>We believe that the growth in the use of our platform by our clients is an important metric in evaluating our business and 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average recurring monthly revenue from retail clients, adjusted for losses, increases and decreases in monthly subscriptions during the prior twelve months divided by the average recurring monthly subscription revenue over the same trailing twelve-month period.</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view a net revenue retention rate exceeding 100% as positive because this is indicative of increasing subscription revenue without including the impact of the initial recurring revenue from new clients during the month in which they are on-boarded. We believe that we can drive this metric by continuing to focus on existing clients and by revenue-increasing activities, such as client upgrades. Net revenue retention is measured over the twelve-month ending at the reporting date and if the ratio exceeds 100% this is an indication of upgrades from clients exceeding the value of any lost clients and downgrades in subscriptions. The net revenue retention is calculated based on subscription revenues only and does not include the impact of excess use revenue. </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Number of Messages Sent.</w:t>
      </w:r>
      <w:r>
        <w:rPr>
          <w:color w:val="000000"/>
        </w:rPr>
        <w:t xml:space="preserve"> </w:t>
      </w:r>
      <w:r>
        <w:rPr>
          <w:rFonts w:ascii="Times New Roman;sans-serif" w:hAnsi="Times New Roman;sans-serif"/>
          <w:b w:val="false"/>
          <w:color w:val="000000"/>
          <w:sz w:val="20"/>
        </w:rPr>
        <w:t>We believe that the volume of messages sent, measured in standardized message size, is important as it indicates the frequency of use and level of engagement of our platform by our clients. Messages are distributed by text, email, and direct push notifications to mobile applications.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EBITDA and Adjusted EBITDA</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To provide investors with additional information regarding our financial results, we have disclosed EBITDA, which is a non-GAAP financial measure that we calculate as net income before interest, taxes, depreciation and amortization and </w:t>
      </w:r>
      <w:r>
        <w:rPr>
          <w:rFonts w:ascii="Times New Roman;sans-serif" w:hAnsi="Times New Roman;sans-serif"/>
          <w:b w:val="false"/>
          <w:color w:val="000000"/>
          <w:sz w:val="20"/>
          <w:highlight w:val="white"/>
        </w:rPr>
        <w:t>Adjusted EBITDA, which represents EBITDA adjusted for certain unusual, infrequent items, or non-cash items</w:t>
      </w:r>
      <w:r>
        <w:rPr>
          <w:color w:val="000000"/>
        </w:rPr>
        <w:t xml:space="preserve"> </w:t>
      </w:r>
      <w:r>
        <w:rPr>
          <w:rFonts w:ascii="Times New Roman;sans-serif" w:hAnsi="Times New Roman;sans-serif"/>
          <w:b w:val="false"/>
          <w:color w:val="000000"/>
          <w:sz w:val="20"/>
        </w:rPr>
        <w:t>(such as bad debt expense and stock-based compensation).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EBITDA and Adjusted EBITDA do not reflect changes in, or cash requirements for, our working capital needs;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EBITDA and Adjusted EBITDA do not reflect tax payments that may represent a reduction in cash available.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EBITDA and Adjusted EBITDA alongside other financial performance measures, including net loss and our other GAAP results.</w:t>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before taxes to non-GAAP EBITDA and Adjusted EBITDA is as follows (in thousands):</w:t>
      </w:r>
    </w:p>
    <w:p>
      <w:pPr>
        <w:pStyle w:val="TextBody"/>
        <w:spacing w:before="0" w:after="0"/>
        <w:ind w:left="0" w:right="0" w:firstLine="360"/>
        <w:rPr/>
      </w:pPr>
      <w:r>
        <w:rPr/>
      </w:r>
    </w:p>
    <w:tbl>
      <w:tblPr>
        <w:tblW w:w="6125" w:type="dxa"/>
        <w:jc w:val="left"/>
        <w:tblInd w:w="0" w:type="dxa"/>
        <w:tblCellMar>
          <w:top w:w="28" w:type="dxa"/>
          <w:left w:w="28" w:type="dxa"/>
          <w:bottom w:w="28" w:type="dxa"/>
          <w:right w:w="28" w:type="dxa"/>
        </w:tblCellMar>
      </w:tblPr>
      <w:tblGrid>
        <w:gridCol w:w="1197"/>
        <w:gridCol w:w="1044"/>
        <w:gridCol w:w="1058"/>
        <w:gridCol w:w="109"/>
        <w:gridCol w:w="109"/>
        <w:gridCol w:w="109"/>
        <w:gridCol w:w="211"/>
        <w:gridCol w:w="796"/>
        <w:gridCol w:w="109"/>
        <w:gridCol w:w="109"/>
        <w:gridCol w:w="109"/>
        <w:gridCol w:w="109"/>
        <w:gridCol w:w="211"/>
        <w:gridCol w:w="691"/>
        <w:gridCol w:w="154"/>
      </w:tblGrid>
      <w:tr>
        <w:trPr/>
        <w:tc>
          <w:tcPr>
            <w:tcW w:w="1197"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loan forgiveness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related bonus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Overall Economic Trends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pStyle w:val="TextBody"/>
        <w:spacing w:before="0" w:after="0"/>
        <w:ind w:left="0" w:right="0" w:firstLine="360"/>
        <w:jc w:val="both"/>
        <w:rPr/>
      </w:pPr>
      <w:r>
        <w:rPr/>
      </w:r>
    </w:p>
    <w:p>
      <w:pPr>
        <w:pStyle w:val="TextBody"/>
        <w:spacing w:lineRule="auto" w:line="28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Growth and Retention of Customers</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Regulation and Maturation of Cannabis Markets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our brand identity and our reputation is critical to maintaining and growing our relationships with customers and to our ability to attract new customers.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value of our brand may be costly and time consuming, and such efforts may not ultimately be successful.</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fixed fees for credits (up to pre-contracted amount) and optional purchases of additional credits. </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amounts payable to distributors of messages on behalf of the Company’s customers across cellular networks and integrations. </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Selling, Servicing and Marketing Expenses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 </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Technology and Software Development Expenses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costs consist of salaries and benefits for employees, including engineering and technical teams who are responsible for building new products, as well as maintaining and improving existing products. We capitalize certain costs associated with technology and software development in accordance with ACS 350-40, Intangibles – Goodwill and Other – Internal Use Software, but these are limited in quantum as we are constantly and regularly making enhancements to our technology platform and do not consider appropriate to be capitalized. Capitalized costs are generally amortized over a three-year period commencing on the date that the specific software product is placed in service. We believe that continued investment in our platform is important for our growth.</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indicated:</w:t>
      </w:r>
    </w:p>
    <w:tbl>
      <w:tblPr>
        <w:tblW w:w="9347" w:type="dxa"/>
        <w:jc w:val="left"/>
        <w:tblInd w:w="0" w:type="dxa"/>
        <w:tblCellMar>
          <w:top w:w="28" w:type="dxa"/>
          <w:left w:w="28" w:type="dxa"/>
          <w:bottom w:w="28" w:type="dxa"/>
          <w:right w:w="28" w:type="dxa"/>
        </w:tblCellMar>
      </w:tblPr>
      <w:tblGrid>
        <w:gridCol w:w="1188"/>
        <w:gridCol w:w="1046"/>
        <w:gridCol w:w="1050"/>
        <w:gridCol w:w="109"/>
        <w:gridCol w:w="109"/>
        <w:gridCol w:w="109"/>
        <w:gridCol w:w="212"/>
        <w:gridCol w:w="803"/>
        <w:gridCol w:w="109"/>
        <w:gridCol w:w="109"/>
        <w:gridCol w:w="109"/>
        <w:gridCol w:w="109"/>
        <w:gridCol w:w="228"/>
        <w:gridCol w:w="779"/>
        <w:gridCol w:w="117"/>
        <w:gridCol w:w="109"/>
        <w:gridCol w:w="109"/>
        <w:gridCol w:w="109"/>
        <w:gridCol w:w="360"/>
        <w:gridCol w:w="1179"/>
        <w:gridCol w:w="186"/>
        <w:gridCol w:w="109"/>
        <w:gridCol w:w="109"/>
        <w:gridCol w:w="109"/>
        <w:gridCol w:w="232"/>
        <w:gridCol w:w="234"/>
        <w:gridCol w:w="316"/>
      </w:tblGrid>
      <w:tr>
        <w:trPr/>
        <w:tc>
          <w:tcPr>
            <w:tcW w:w="118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Forgiveness of PPP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68" w:before="0" w:after="0"/>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Revenues increased by $3.3 million for the year ended December 31, 2022, a 14% increase compared with the year ended December 31, 2021. Our subscription revenue was $20.4 million for the year ended December 31, 2022 compared with $14.8 million in for the year ended December 31, 2021, representing 38% year over year growth. The excess use revenue declined by 29% year over year from $8.3 million for the year ended December 31, 2021 to $5.9 million for the year ended December 31, 2022. This decrease was due in part to the weaker economy and more significantly to the fact that some prior year excess use revenue has now converted into recurring subscription revenues due to clients upgrading their subscriptions. Our revenue from Brands clients increased by 44% year over year and was $940,000 for the year ended December 31, 2022, as compared to $654,000 for the year ended December 31, 2021.</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Gross profit increased to $19.9 million for the year ended December 31, 2022 from $17.1 million for the year ended December 31, 2021, representing a 17% increase. The cost of revenue increased by $0.4 million, representing a 7% increase, for the year ended December 31, 2022. The increase was primarily due to the increasing volume of messages distributed by clients, with a total of approximately 2.1 billion messages during the year ended December 31, 2022, representing an increase of 238 million, or 13.0% higher, than in the same period last year. The percentage increase in cost of revenue is lower than our revenue growth over the same period and therefore our gross margin percentage increased by 1.7% compared with the same period in 2021 to 74.8% for the year ended December 31, 2022.</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 xml:space="preserve">Operating Expenses. </w:t>
      </w:r>
      <w:r>
        <w:rPr>
          <w:rFonts w:ascii="Times New Roman;sans-serif" w:hAnsi="Times New Roman;sans-serif"/>
          <w:b w:val="false"/>
          <w:color w:val="000000"/>
          <w:sz w:val="20"/>
        </w:rPr>
        <w:t xml:space="preserve">SpringBig continues to prioritize revenue growth while ensuring expenses are managed in an appropriate manner to ensure we are able to handle the growth with appropriate personnel, infrastructure and processes and also ensuring net loss is maintained within an acceptable range.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increased by $12.6 million, or 53%, for the year ended December 31, 2022 compared with the year ended December 31, 2021.</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servicing and marketing expenses increased by $2.1 million, or 21%, for the year ended December 31, 2022, compared to the year ended December 31, 2021. The increase in expenses is primarily due to the full year effect of expanding the size of our operations during the latter half of 2021 in response to growth in the business and increased travel and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conference activity in the year ended December 31, 2022 after this had been curtailed in the prior year due to the Covid-19 pandemic.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and software development expenses increased by $2.9 million, or 35%, for year ended December 31, 2022, compared to the year ended December 31, 2021, with the increase being attributable to higher headcount primarily through using offshore contract engineering resources to enable an acceleration in the pace of developing and enhancing our software platform.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$7.5 million, or 149%, for the year ended December 31, 2022, compared to the year ended December 31, 2021 due to higher personnel-related costs as we increased headcount and additional expenses related to preparing for and becoming a publicly listed company, specifically relating to legal, accounting and auditing fees and directors’ and officers’ liability insurance premiums. In addition, higher stock compensation and bad debt expenses in the year ended December 31, 2022 compared with the prior year are included in this category. The increase in bad debt expense from $0.2 million for the year ended December 31, 2021 to $1.5 million for the year ended December 31, 2022 was due to the deterioration of the macroeconomy which resulted in many smaller clients closing their businesses.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Interest Income (Expense)</w:t>
      </w:r>
      <w:r>
        <w:rPr>
          <w:rFonts w:ascii="Times New Roman;sans-serif" w:hAnsi="Times New Roman;sans-serif"/>
          <w:b w:val="false"/>
          <w:color w:val="000000"/>
          <w:sz w:val="20"/>
        </w:rPr>
        <w:t>. Interest expense was $949,000 for the year ended December 31, 2022 due to interest on the 15% Convertible Notes and the 6% Convertible Notes issued in connection with the business combination consummated on June 14, 2022. Interest expense was immaterial for the year ended December 31, 2021.</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Change in fair value of warrants</w:t>
      </w:r>
      <w:r>
        <w:rPr>
          <w:rFonts w:ascii="Times New Roman;sans-serif" w:hAnsi="Times New Roman;sans-serif"/>
          <w:b w:val="false"/>
          <w:color w:val="000000"/>
          <w:sz w:val="20"/>
        </w:rPr>
        <w:t>. The liability relating to warrants issued by SpringBig is included on the balance sheet at the value prevailing at the end of the accounting period and any change in value is reported in the income statement. As at December 31, 2022, the value of the public warrants, which are listed on the Nasdaq stock exchange was $0.0211 per warrant. These warrants did not exist at December 31, 2021, and were recorded in connection with accounting related to the June 14, 2022 business combination. As of the business combination date, the fair value per warrant was $0.2810. The liability relating to warrants issued by SpringBig is included on the balance sheet at the value prevailing at the end of the accounting period. During the year ended December 31, 2022, a $4.2 million gain related to the change in value of the warrants is reported in the income statement.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Liquidity &amp; Capital Resources</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incurred net losses since inception, and experienced negative cash flows from operations. Prior to the business combination, we financed our operations and capital expenditures primarily through the private sales of equity securities and revenue. Our primary uses of cash in the short-term are to fund our operations as we continue to grow our business.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highlight w:val="white"/>
        </w:rPr>
        <w:t xml:space="preserve">In connection with the execution of the merger agreement in November 2021, Legacy SpringBig and TCAC entered into </w:t>
      </w:r>
      <w:r>
        <w:rPr>
          <w:rFonts w:ascii="Times New Roman;sans-serif" w:hAnsi="Times New Roman;sans-serif"/>
          <w:b w:val="false"/>
          <w:color w:val="000000"/>
          <w:sz w:val="20"/>
        </w:rPr>
        <w:t>subscription agreements, pursuant to which certain investors (the “PIPE Investors”) agreed to purchase an aggregate of 1,310,000 shares of common stock of the combined company, for $10.00 per share, for an aggregate purchase price of $13,100,000.</w:t>
      </w:r>
      <w:r>
        <w:rPr>
          <w:color w:val="000000"/>
          <w:highlight w:val="white"/>
        </w:rPr>
        <w:t xml:space="preserve"> </w:t>
      </w:r>
      <w:r>
        <w:rPr>
          <w:rFonts w:ascii="Times New Roman;sans-serif" w:hAnsi="Times New Roman;sans-serif"/>
          <w:b w:val="false"/>
          <w:color w:val="000000"/>
          <w:sz w:val="20"/>
          <w:highlight w:val="white"/>
        </w:rPr>
        <w:t xml:space="preserve">On February 25, 2022, SpringBig entered into convertible notes (the "Convertible Notes”) with certain of the </w:t>
      </w:r>
      <w:r>
        <w:rPr>
          <w:rFonts w:ascii="Times New Roman;sans-serif" w:hAnsi="Times New Roman;sans-serif"/>
          <w:b w:val="false"/>
          <w:color w:val="000000"/>
          <w:sz w:val="20"/>
        </w:rPr>
        <w:t>PIPE Investors for a principal sum of $7.0 million in aggregate. On the consummation of the business combination, closing of the merger, the outstanding principal balance of the Convertible Notes became due and payable and was satisfied, along with the interest due on such notes, by the issuance to holders of such notes shares of the Company’s common stock and the remainder of the investment from the PIPE Investors was funded and paid to the Company.</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following the execution of the merger agreement, we entered into two incremental financing agreements. An institutional investor through the Notes and Warrants Purchase Agreement agreed to purchase $11.0 million of 6% Senior Secured Original Issue Discount Convertible Notes due in 2024 and a number of warrants equal to one-half of the principal amount of notes divided by the volume weighted average price on the trading day prior to closing. This financing closed immediately after the business combination.</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entered into the Cantor Equity Facility for up to $50.0 million in aggregate gross purchase price of newly issued shares of our common stock after the closing of the business combination.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from time to time at its option, sell to Cantor newly issued shares of common stock pursuant to the terms of the Cantor Equity Facility. The use of the Cantor Equity Facility is subject to certain conditions, including the effectiveness of a registration statement relating to the resale of the common stock issuable under the Cantor Equity Facility. Therefore, funds from the $50.0 million gross purchase price will not be immediately available, if at all, to SpringBig, and there can be no assurances that the Cantor Equity Facility will be available to the Company at all times during its terms or that such purchase price will ever become available.</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accounts receivable and working capital at December 31, 2022 and December 31, 2021 (in thousands):</w:t>
      </w:r>
    </w:p>
    <w:p>
      <w:pPr>
        <w:pStyle w:val="TextBody"/>
        <w:spacing w:before="0" w:after="0"/>
        <w:ind w:left="0" w:right="0" w:firstLine="360"/>
        <w:rPr/>
      </w:pPr>
      <w:r>
        <w:rPr/>
      </w:r>
    </w:p>
    <w:tbl>
      <w:tblPr>
        <w:tblW w:w="6411" w:type="dxa"/>
        <w:jc w:val="left"/>
        <w:tblInd w:w="0" w:type="dxa"/>
        <w:tblCellMar>
          <w:top w:w="28" w:type="dxa"/>
          <w:left w:w="28" w:type="dxa"/>
          <w:bottom w:w="28" w:type="dxa"/>
          <w:right w:w="28" w:type="dxa"/>
        </w:tblCellMar>
      </w:tblPr>
      <w:tblGrid>
        <w:gridCol w:w="820"/>
        <w:gridCol w:w="720"/>
        <w:gridCol w:w="724"/>
        <w:gridCol w:w="109"/>
        <w:gridCol w:w="109"/>
        <w:gridCol w:w="109"/>
        <w:gridCol w:w="387"/>
        <w:gridCol w:w="1135"/>
        <w:gridCol w:w="202"/>
        <w:gridCol w:w="109"/>
        <w:gridCol w:w="109"/>
        <w:gridCol w:w="109"/>
        <w:gridCol w:w="380"/>
        <w:gridCol w:w="1110"/>
        <w:gridCol w:w="279"/>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highlight w:val="white"/>
        </w:rPr>
        <w:t xml:space="preserve">We are committed to ensuring our balance sheet supports the business and our growth objectives and are considering a supplemental capital raise. As of December 31, 2022, based on the factors described in this sub-section, we concluded that there was substantial doubt about our ability to continue to operate as a going concern for the 12 months following the issuance of the financial statements in this Annual Report on Form 10-K. </w:t>
      </w:r>
      <w:r>
        <w:rPr>
          <w:rFonts w:ascii="Times New Roman;sans-serif" w:hAnsi="Times New Roman;sans-serif"/>
          <w:b w:val="false"/>
          <w:color w:val="000000"/>
          <w:sz w:val="20"/>
        </w:rPr>
        <w:t>T</w:t>
      </w:r>
      <w:r>
        <w:rPr>
          <w:rFonts w:ascii="Times New Roman;sans-serif" w:hAnsi="Times New Roman;sans-serif"/>
          <w:b w:val="false"/>
          <w:color w:val="000000"/>
          <w:sz w:val="20"/>
          <w:highlight w:val="white"/>
        </w:rPr>
        <w:t>his estimate is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in the section entitled “Risk Factors” in this Annual Report on Form 10-K.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To the extent existing cash and investments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Secured Convertible Notes also contain a number of restrictive covenants that may impose significant restrictions on obtaining future financings, including restrictions on SpringBig’s ability to do any of each following while the Secured Convertible Notes remain outstanding: </w:t>
      </w:r>
      <w:r>
        <w:rPr>
          <w:rFonts w:ascii="Times New Roman;sans-serif" w:hAnsi="Times New Roman;sans-serif"/>
          <w:b w:val="false"/>
          <w:color w:val="000000"/>
          <w:sz w:val="20"/>
          <w:highlight w:val="white"/>
        </w:rPr>
        <w:t xml:space="preserve">(i)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the equity facility, issuances under our equity compensation plan and other limited exceptions until a resale registration statement registering all of the common stock underlying the notes and warrants with the Investor is declared effective by the SEC); (vii) entering into variable rate transactions (exclusive of the equity facility); and (viii) adopting certain amendments to our governing documents, among other restrictions. In addition, the noteholders have the right, for 18 months following the first closing of the notes and warrants with the Investor, to purchase up to 30% of the securities we may offer in subsequent financings. </w:t>
      </w:r>
      <w:r>
        <w:rPr>
          <w:rFonts w:ascii="Times New Roman;sans-serif" w:hAnsi="Times New Roman;sans-serif"/>
          <w:b w:val="false"/>
          <w:color w:val="000000"/>
          <w:sz w:val="20"/>
        </w:rPr>
        <w:t>Accordingly, we may be limited in our ability to raise additional capital on acceptable terms or at all within such limitations. Such restrictions may be waived by consent of the noteholder.</w:t>
      </w:r>
    </w:p>
    <w:p>
      <w:pPr>
        <w:pStyle w:val="TextBody"/>
        <w:spacing w:before="0" w:after="0"/>
        <w:ind w:left="0" w:right="0" w:firstLine="36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SpringBig’s ability to continue as a going concern is dependent on its ability to meet its liquidity needs through a combination of factors including, but not limited to, cash and cash equivalents, the ongoing increase in revenue through increased usage by customers and new customers, its Common Stock Purchase Agreement and strategic capital raises. The ultimate success of these plans is not guaranteed. See the section titled “Going Concern and Liquidity” in Note 2 of the notes to our audited consolidated financial statements included in this report for more information</w:t>
      </w:r>
      <w:r>
        <w:rPr>
          <w:rFonts w:ascii="Times New Roman;sans-serif" w:hAnsi="Times New Roman;sans-serif"/>
          <w:b w:val="false"/>
          <w:color w:val="000000"/>
          <w:sz w:val="20"/>
        </w:rPr>
        <w:t>.</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47"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before="0" w:after="0"/>
        <w:rPr/>
      </w:pPr>
      <w:r>
        <w:rPr/>
      </w:r>
    </w:p>
    <w:p>
      <w:pPr>
        <w:pStyle w:val="TextBody"/>
        <w:spacing w:lineRule="auto" w:line="247"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from operating, investing and financing activities for the years ended December 31, 2022 and 2021 (in thousands):</w:t>
      </w:r>
    </w:p>
    <w:p>
      <w:pPr>
        <w:pStyle w:val="TextBody"/>
        <w:spacing w:before="0" w:after="0"/>
        <w:ind w:left="0" w:right="0" w:firstLine="495"/>
        <w:rPr/>
      </w:pPr>
      <w:r>
        <w:rPr/>
      </w:r>
    </w:p>
    <w:p>
      <w:pPr>
        <w:pStyle w:val="TextBody"/>
        <w:spacing w:before="0" w:after="0"/>
        <w:ind w:left="0" w:right="0" w:firstLine="495"/>
        <w:rPr/>
      </w:pPr>
      <w:r>
        <w:rPr/>
      </w:r>
    </w:p>
    <w:tbl>
      <w:tblPr>
        <w:tblW w:w="6816" w:type="dxa"/>
        <w:jc w:val="left"/>
        <w:tblInd w:w="0" w:type="dxa"/>
        <w:tblCellMar>
          <w:top w:w="28" w:type="dxa"/>
          <w:left w:w="28" w:type="dxa"/>
          <w:bottom w:w="28" w:type="dxa"/>
          <w:right w:w="28" w:type="dxa"/>
        </w:tblCellMar>
      </w:tblPr>
      <w:tblGrid>
        <w:gridCol w:w="1444"/>
        <w:gridCol w:w="1271"/>
        <w:gridCol w:w="1275"/>
        <w:gridCol w:w="109"/>
        <w:gridCol w:w="109"/>
        <w:gridCol w:w="109"/>
        <w:gridCol w:w="211"/>
        <w:gridCol w:w="796"/>
        <w:gridCol w:w="109"/>
        <w:gridCol w:w="109"/>
        <w:gridCol w:w="109"/>
        <w:gridCol w:w="109"/>
        <w:gridCol w:w="211"/>
        <w:gridCol w:w="691"/>
        <w:gridCol w:w="154"/>
      </w:tblGrid>
      <w:tr>
        <w:trPr/>
        <w:tc>
          <w:tcPr>
            <w:tcW w:w="1444"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left w:val="single" w:sz="8" w:space="0" w:color="DBDBDB"/>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Cash Flows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(used in) provided by: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47" w:before="0" w:after="0"/>
        <w:ind w:left="0" w:right="0" w:firstLine="495"/>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before="0" w:after="0"/>
        <w:ind w:left="0" w:right="0" w:firstLine="495"/>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pStyle w:val="TextBody"/>
        <w:spacing w:before="0" w:after="0"/>
        <w:ind w:left="0" w:right="0" w:firstLine="495"/>
        <w:jc w:val="both"/>
        <w:rPr/>
      </w:pPr>
      <w:r>
        <w:rPr/>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net loss was $13.1 million and the cash used in operating activities was $14.5 million. The difference of $1.4 million is due to $2.0 million in non-cash items comprising a $4.2 million change in the value of warrants offset by $2.6 million relating to stock compensation expense and depreciation and amortization, and a $0.6 million reduction in working capital.</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net loss and loss from operations was $5.8 million and cash used in operating activities was $7.9 million, with the difference of $2.1 million being due to an increase in accounts receivable.</w:t>
      </w:r>
    </w:p>
    <w:p>
      <w:pPr>
        <w:pStyle w:val="TextBody"/>
        <w:spacing w:before="0" w:after="0"/>
        <w:ind w:left="0" w:right="0" w:firstLine="495"/>
        <w:jc w:val="both"/>
        <w:rPr/>
      </w:pPr>
      <w:r>
        <w:rPr/>
      </w:r>
    </w:p>
    <w:p>
      <w:pPr>
        <w:pStyle w:val="TextBody"/>
        <w:spacing w:lineRule="auto" w:line="247"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SpringBig has low capital investment requirements, with our needs comprising primarily computer equipment and office furniture and related items. Cash used in investing activities was $0.4 million for the year ended December 31, 2022 and $0.4 million for the year ended December 31, 2021.</w:t>
      </w:r>
    </w:p>
    <w:p>
      <w:pPr>
        <w:pStyle w:val="TextBody"/>
        <w:spacing w:before="0" w:after="0"/>
        <w:ind w:left="0" w:right="0" w:firstLine="495"/>
        <w:jc w:val="both"/>
        <w:rPr/>
      </w:pPr>
      <w:r>
        <w:rPr/>
      </w:r>
    </w:p>
    <w:p>
      <w:pPr>
        <w:pStyle w:val="TextBody"/>
        <w:spacing w:lineRule="auto" w:line="247"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net cash provided by financing activities was $16.3 million, comprising $8.8 million from TCAC non-redeeming shareholders, $13.1 million from the issuance of new common stock pursuant to the PIPE financing and $10.0 million from the Secured Convertible Note less merger related expenses of $14.8 million to provide net cash of $17.1 million associated with the closing of the business combination with Tuatara. Subsequent to the business combination $1.0 million of the Secured Convertible Note has been repaid prior to December 31, 2022 and during the year ended December 31, 2022, $0.1 million was received due to the exercise of employee stock options.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financing activities were immaterial during the year ended December 31, 2021.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spacing w:before="0" w:after="0"/>
        <w:rPr/>
      </w:pPr>
      <w:r>
        <w:rPr/>
      </w:r>
    </w:p>
    <w:p>
      <w:pPr>
        <w:pStyle w:val="TextBody"/>
        <w:spacing w:lineRule="auto" w:line="247"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pStyle w:val="TextBody"/>
        <w:spacing w:before="0" w:after="0"/>
        <w:ind w:left="0" w:right="0" w:firstLine="495"/>
        <w:jc w:val="both"/>
        <w:rPr/>
      </w:pPr>
      <w:r>
        <w:rPr/>
      </w:r>
    </w:p>
    <w:p>
      <w:pPr>
        <w:pStyle w:val="TextBody"/>
        <w:spacing w:lineRule="auto" w:line="247" w:before="0" w:after="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firstLine="495"/>
        <w:jc w:val="both"/>
        <w:rPr/>
      </w:pPr>
      <w:r>
        <w:rPr/>
      </w:r>
    </w:p>
    <w:p>
      <w:pPr>
        <w:pStyle w:val="TextBody"/>
        <w:spacing w:lineRule="auto" w:line="247"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software development costs, income taxes, and equity-based compensation have the greatest potential impact on our consolidated financial statements. Therefore, we consider these to be our critical accounting policies and estimates. For further information on all of our significant accounting policies, see the Company's audited consolidated financial statements and accompanying notes included in this report.</w:t>
      </w:r>
    </w:p>
    <w:p>
      <w:pPr>
        <w:pStyle w:val="TextBody"/>
        <w:spacing w:before="0" w:after="0"/>
        <w:jc w:val="both"/>
        <w:rPr/>
      </w:pPr>
      <w:r>
        <w:rPr/>
      </w:r>
    </w:p>
    <w:p>
      <w:pPr>
        <w:pStyle w:val="TextBody"/>
        <w:spacing w:lineRule="auto" w:line="247"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before="0" w:after="0"/>
        <w:ind w:left="0" w:right="0" w:firstLine="360"/>
        <w:jc w:val="both"/>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adopted ASC 606, Revenue from Contracts with Customers, which provides guidance on the recognition, presentation, and disclosure of revenue in financial statements. The Company recognizes revenue upon transfer of control of promised services to customers in an amount that reflects the consideration the Company expects to receive in exchange for those services.</w:t>
      </w:r>
    </w:p>
    <w:p>
      <w:pPr>
        <w:pStyle w:val="TextBody"/>
        <w:spacing w:before="0" w:after="0"/>
        <w:ind w:left="0" w:right="0" w:firstLine="360"/>
        <w:jc w:val="both"/>
        <w:rPr/>
      </w:pPr>
      <w:r>
        <w:rPr/>
      </w:r>
    </w:p>
    <w:p>
      <w:pPr>
        <w:pStyle w:val="TextBody"/>
        <w:spacing w:lineRule="auto" w:line="247"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Software Development Costs</w:t>
      </w:r>
    </w:p>
    <w:p>
      <w:pPr>
        <w:pStyle w:val="TextBody"/>
        <w:spacing w:before="0" w:after="0"/>
        <w:ind w:left="0" w:right="0" w:firstLine="360"/>
        <w:jc w:val="both"/>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certain costs associated with technology and software development in accordance with ASC 350-40, Intangibles - Goodwill and Other - Internal Use Software. Capitalized costs are generally amortized over a three-year period commencing on the date that the specific software product is placed in service. In practice, we have not capitalized any material software development costs since expenditures are deemed to be outside of the scope of those required to be capitalized in accordance with ASC 350-40.</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ASU 2016-17, </w:t>
      </w:r>
      <w:r>
        <w:rPr>
          <w:rFonts w:ascii="Times New Roman;sans-serif" w:hAnsi="Times New Roman;sans-serif"/>
          <w:b w:val="false"/>
          <w:i/>
          <w:color w:val="000000"/>
          <w:sz w:val="20"/>
        </w:rPr>
        <w:t>Balance Sheet Classification of Deferred Taxes</w:t>
      </w:r>
      <w:r>
        <w:rPr>
          <w:rFonts w:ascii="Times New Roman;sans-serif" w:hAnsi="Times New Roman;sans-serif"/>
          <w:b w:val="false"/>
          <w:color w:val="000000"/>
          <w:sz w:val="20"/>
        </w:rPr>
        <w:t xml:space="preserve">. The guidance requires that all deferred tax assets and liabilities, along with any related valuation allowance, be classified as noncurrent on the balance sheet. As a result, each jurisdiction will only have one net noncurrent deferred tax asset or liability.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2022 and 2021, there are no uncertain tax positions taken, or expected to be taken, that would require recognition of a liability or disclosure in the financial statements.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ASC 718, Compensation - Stock Compensation,</w:t>
      </w:r>
      <w:r>
        <w:rPr>
          <w:color w:val="000000"/>
        </w:rPr>
        <w:t xml:space="preserve"> </w:t>
      </w:r>
      <w:r>
        <w:rPr>
          <w:rFonts w:ascii="Times New Roman;sans-serif" w:hAnsi="Times New Roman;sans-serif"/>
          <w:b w:val="false"/>
          <w:color w:val="000000"/>
          <w:sz w:val="20"/>
        </w:rPr>
        <w:t xml:space="preserve">addresses accounting for share-based awards, including stock options, restricted stock, performance shares and 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consolidated statements of operations.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 </w:t>
      </w:r>
    </w:p>
    <w:p>
      <w:pPr>
        <w:pStyle w:val="TextBody"/>
        <w:spacing w:before="0" w:after="0"/>
        <w:jc w:val="both"/>
        <w:rPr/>
      </w:pPr>
      <w:r>
        <w:rPr/>
      </w:r>
    </w:p>
    <w:p>
      <w:pPr>
        <w:pStyle w:val="TextBody"/>
        <w:spacing w:lineRule="auto" w:line="268" w:before="0" w:after="0"/>
        <w:ind w:left="0" w:right="0" w:firstLine="360"/>
        <w:rPr>
          <w:rFonts w:ascii="Times New Roman;sans-serif" w:hAnsi="Times New Roman;sans-serif"/>
          <w:b/>
          <w:color w:val="231F20"/>
          <w:sz w:val="20"/>
        </w:rPr>
      </w:pPr>
      <w:r>
        <w:rPr>
          <w:rFonts w:ascii="Times New Roman;sans-serif" w:hAnsi="Times New Roman;sans-serif"/>
          <w:b/>
          <w:color w:val="231F20"/>
          <w:sz w:val="20"/>
        </w:rPr>
        <w:t>Recent Accounting Pronouncements</w:t>
      </w:r>
    </w:p>
    <w:p>
      <w:pPr>
        <w:pStyle w:val="TextBody"/>
        <w:spacing w:before="0" w:after="0"/>
        <w:rPr/>
      </w:pPr>
      <w:r>
        <w:rPr/>
      </w:r>
    </w:p>
    <w:p>
      <w:pPr>
        <w:pStyle w:val="TextBody"/>
        <w:spacing w:lineRule="auto" w:line="268" w:before="0" w:after="0"/>
        <w:ind w:left="0" w:right="0" w:firstLine="399"/>
        <w:jc w:val="both"/>
        <w:rPr>
          <w:rFonts w:ascii="Times New Roman;sans-serif" w:hAnsi="Times New Roman;sans-serif"/>
          <w:b w:val="false"/>
          <w:color w:val="231F20"/>
          <w:sz w:val="20"/>
        </w:rPr>
      </w:pPr>
      <w:r>
        <w:rPr>
          <w:rFonts w:ascii="Times New Roman;sans-serif" w:hAnsi="Times New Roman;sans-serif"/>
          <w:b w:val="false"/>
          <w:color w:val="231F20"/>
          <w:sz w:val="20"/>
        </w:rPr>
        <w:t>See the section titled “Summary of Significant Accounting Policies” in Note 2 of the notes to our audited consolidated financial statements included in this report for more information.</w:t>
      </w:r>
    </w:p>
    <w:p>
      <w:pPr>
        <w:pStyle w:val="TextBody"/>
        <w:spacing w:before="0" w:after="0"/>
        <w:rPr/>
      </w:pPr>
      <w:r>
        <w:rPr/>
      </w:r>
    </w:p>
    <w:p>
      <w:pPr>
        <w:pStyle w:val="TextBody"/>
        <w:spacing w:lineRule="auto" w:line="26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Emerging Growth Company and Smaller Reporting Company Status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107 of the JOBS Act provides that an "emerging growth company" can take advantage of the extended transition period provided in Section 7(a)(2)(B) of the Securities Act for complying with new or revised accounting standards. In other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Interest Rate Fluctuation Risk</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with an original maturity of three months or less to be cash equivalents.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Exchange Rate Risk</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We have operations in Toronto, Canada and customers located in Canada.</w:t>
      </w:r>
      <w:r>
        <w:rPr>
          <w:color w:val="000000"/>
        </w:rPr>
        <w:t xml:space="preserve"> </w:t>
      </w:r>
      <w:r>
        <w:rPr>
          <w:rFonts w:ascii="Times New Roman;sans-serif" w:hAnsi="Times New Roman;sans-serif"/>
          <w:b w:val="false"/>
          <w:color w:val="000000"/>
          <w:sz w:val="20"/>
        </w:rPr>
        <w:t>Given our reporting currency is US dollars, this results in exchange rate translation risk. The effect is minimized by matching our Canadian income and expense with our Canadian customers being invoiced in their local currency.</w:t>
      </w:r>
      <w:r>
        <w:rPr>
          <w:color w:val="000000"/>
        </w:rPr>
        <w:t xml:space="preserve"> </w:t>
      </w:r>
      <w:r>
        <w:rPr>
          <w:rFonts w:ascii="Times New Roman;sans-serif" w:hAnsi="Times New Roman;sans-serif"/>
          <w:b w:val="false"/>
          <w:color w:val="000000"/>
          <w:sz w:val="20"/>
        </w:rPr>
        <w:t>The exchange rate risk to our financial statements is immaterial.</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 Financial Statements</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SPRINGBIG HOLDINGS,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INDEX TO CONSOLIDATED FINANCIAL STATEMENTS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491"/>
        <w:gridCol w:w="3065"/>
        <w:gridCol w:w="3077"/>
        <w:gridCol w:w="167"/>
        <w:gridCol w:w="167"/>
        <w:gridCol w:w="238"/>
      </w:tblGrid>
      <w:tr>
        <w:trPr/>
        <w:tc>
          <w:tcPr>
            <w:tcW w:w="3491" w:type="dxa"/>
            <w:tcBorders/>
            <w:shd w:fill="auto" w:val="clear"/>
            <w:vAlign w:val="center"/>
          </w:tcPr>
          <w:p>
            <w:pPr>
              <w:pStyle w:val="TableContents"/>
              <w:spacing w:before="0" w:after="283"/>
              <w:rPr>
                <w:sz w:val="4"/>
                <w:szCs w:val="4"/>
              </w:rPr>
            </w:pPr>
            <w:r>
              <w:rPr>
                <w:sz w:val="4"/>
                <w:szCs w:val="4"/>
              </w:rPr>
            </w:r>
          </w:p>
        </w:tc>
        <w:tc>
          <w:tcPr>
            <w:tcW w:w="3065" w:type="dxa"/>
            <w:tcBorders/>
            <w:shd w:fill="auto" w:val="clear"/>
            <w:vAlign w:val="center"/>
          </w:tcPr>
          <w:p>
            <w:pPr>
              <w:pStyle w:val="TableContents"/>
              <w:spacing w:before="0" w:after="283"/>
              <w:rPr>
                <w:sz w:val="4"/>
                <w:szCs w:val="4"/>
              </w:rPr>
            </w:pPr>
            <w:r>
              <w:rPr>
                <w:sz w:val="4"/>
                <w:szCs w:val="4"/>
              </w:rPr>
            </w:r>
          </w:p>
        </w:tc>
        <w:tc>
          <w:tcPr>
            <w:tcW w:w="307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Audited Financial Statements</w:t>
            </w:r>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377">
              <w:r>
                <w:rPr>
                  <w:rStyle w:val="InternetLink"/>
                  <w:rFonts w:ascii="Times New Roman;sans-serif" w:hAnsi="Times New Roman;sans-serif"/>
                  <w:b w:val="false"/>
                  <w:color w:val="0000FF"/>
                  <w:sz w:val="20"/>
                  <w:u w:val="single"/>
                </w:rPr>
                <w:t xml:space="preserve">Report of Independent Registered Public Accounting Firm (PCAOB ID No. </w:t>
              </w:r>
            </w:hyperlink>
            <w:r>
              <w:rPr>
                <w:rFonts w:ascii="Times New Roman;sans-serif" w:hAnsi="Times New Roman;sans-serif"/>
                <w:b w:val="false"/>
                <w:color w:val="000000"/>
                <w:sz w:val="20"/>
              </w:rPr>
              <w:t>688</w:t>
            </w:r>
            <w:hyperlink w:anchor="i62b29e04d9b64495a6d4e9842671b8ca_1377">
              <w:r>
                <w:rPr>
                  <w:rStyle w:val="InternetLink"/>
                  <w:rFonts w:ascii="Times New Roman;sans-serif" w:hAnsi="Times New Roman;sans-serif"/>
                  <w:b w:val="false"/>
                  <w:color w:val="0000FF"/>
                  <w:sz w:val="20"/>
                  <w:u w:val="single"/>
                </w:rPr>
                <w:t>)</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61</w:t>
            </w:r>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6">
              <w:r>
                <w:rPr>
                  <w:rStyle w:val="InternetLink"/>
                  <w:rFonts w:ascii="Times New Roman;sans-serif" w:hAnsi="Times New Roman;sans-serif"/>
                  <w:b w:val="false"/>
                  <w:color w:val="0000FF"/>
                  <w:sz w:val="20"/>
                  <w:u w:val="single"/>
                </w:rPr>
                <w:t>Consolidated Balance Sheets as of December 31, 2022 and 2021</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6">
              <w:r>
                <w:rPr>
                  <w:rStyle w:val="InternetLink"/>
                  <w:rFonts w:ascii="Times New Roman;sans-serif" w:hAnsi="Times New Roman;sans-serif"/>
                  <w:b w:val="false"/>
                  <w:color w:val="0000FF"/>
                  <w:sz w:val="20"/>
                  <w:u w:val="single"/>
                </w:rPr>
                <w:t>62</w:t>
              </w:r>
            </w:hyperlink>
          </w:p>
        </w:tc>
      </w:tr>
      <w:tr>
        <w:trPr/>
        <w:tc>
          <w:tcPr>
            <w:tcW w:w="96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19">
              <w:r>
                <w:rPr>
                  <w:rStyle w:val="InternetLink"/>
                  <w:rFonts w:ascii="Times New Roman;sans-serif" w:hAnsi="Times New Roman;sans-serif"/>
                  <w:b w:val="false"/>
                  <w:color w:val="0000FF"/>
                  <w:sz w:val="20"/>
                  <w:u w:val="single"/>
                </w:rPr>
                <w:t>Consolidated Statements of Operations for the Years Ended December 31, 2022 and 2021</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19">
              <w:r>
                <w:rPr>
                  <w:rStyle w:val="InternetLink"/>
                  <w:rFonts w:ascii="Times New Roman;sans-serif" w:hAnsi="Times New Roman;sans-serif"/>
                  <w:b w:val="false"/>
                  <w:color w:val="0000FF"/>
                  <w:sz w:val="20"/>
                  <w:u w:val="single"/>
                </w:rPr>
                <w:t>63</w:t>
              </w:r>
            </w:hyperlink>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22">
              <w:r>
                <w:rPr>
                  <w:rStyle w:val="InternetLink"/>
                </w:rPr>
                <w:t>Consolidated Statements of Changes in S</w:t>
              </w:r>
            </w:hyperlink>
            <w:hyperlink w:anchor="i62b29e04d9b64495a6d4e9842671b8ca_22">
              <w:r>
                <w:rPr>
                  <w:rStyle w:val="InternetLink"/>
                </w:rPr>
                <w:t>tock</w:t>
              </w:r>
            </w:hyperlink>
            <w:hyperlink w:anchor="i62b29e04d9b64495a6d4e9842671b8ca_22">
              <w:r>
                <w:rPr>
                  <w:rStyle w:val="InternetLink"/>
                </w:rPr>
                <w:t>holders’ Equity</w:t>
              </w:r>
            </w:hyperlink>
            <w:hyperlink w:anchor="i62b29e04d9b64495a6d4e9842671b8ca_22">
              <w:r>
                <w:rPr>
                  <w:rStyle w:val="InternetLink"/>
                </w:rPr>
                <w:t xml:space="preserve"> (Deficit)</w:t>
              </w:r>
            </w:hyperlink>
            <w:hyperlink w:anchor="i62b29e04d9b64495a6d4e9842671b8ca_22">
              <w:r>
                <w:rPr>
                  <w:rStyle w:val="InternetLink"/>
                </w:rPr>
                <w:t xml:space="preserve"> for the Years Ended December 31, 2022 and 2021</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22">
              <w:r>
                <w:rPr>
                  <w:rStyle w:val="InternetLink"/>
                  <w:rFonts w:ascii="Times New Roman;sans-serif" w:hAnsi="Times New Roman;sans-serif"/>
                  <w:b w:val="false"/>
                  <w:color w:val="0000FF"/>
                  <w:sz w:val="20"/>
                  <w:u w:val="single"/>
                </w:rPr>
                <w:t>64</w:t>
              </w:r>
            </w:hyperlink>
          </w:p>
        </w:tc>
      </w:tr>
      <w:tr>
        <w:trPr/>
        <w:tc>
          <w:tcPr>
            <w:tcW w:w="96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25">
              <w:r>
                <w:rPr>
                  <w:rStyle w:val="InternetLink"/>
                  <w:rFonts w:ascii="Times New Roman;sans-serif" w:hAnsi="Times New Roman;sans-serif"/>
                  <w:b w:val="false"/>
                  <w:color w:val="0000FF"/>
                  <w:sz w:val="20"/>
                  <w:u w:val="single"/>
                </w:rPr>
                <w:t>Consolidated Statements of Cash Flows for the Years Ended December 31, 2022 and 2021</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25">
              <w:r>
                <w:rPr>
                  <w:rStyle w:val="InternetLink"/>
                  <w:rFonts w:ascii="Times New Roman;sans-serif" w:hAnsi="Times New Roman;sans-serif"/>
                  <w:b w:val="false"/>
                  <w:color w:val="0000FF"/>
                  <w:sz w:val="20"/>
                  <w:u w:val="single"/>
                </w:rPr>
                <w:t>65</w:t>
              </w:r>
            </w:hyperlink>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2b29e04d9b64495a6d4e9842671b8ca_28">
              <w:r>
                <w:rPr>
                  <w:rStyle w:val="InternetLink"/>
                  <w:rFonts w:ascii="Times New Roman;sans-serif" w:hAnsi="Times New Roman;sans-serif"/>
                  <w:b w:val="false"/>
                  <w:color w:val="0000FF"/>
                  <w:sz w:val="20"/>
                  <w:u w:val="single"/>
                </w:rPr>
                <w:t>Notes to Consolidated Financial Statements</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2b29e04d9b64495a6d4e9842671b8ca_28">
              <w:r>
                <w:rPr>
                  <w:rStyle w:val="InternetLink"/>
                  <w:rFonts w:ascii="Times New Roman;sans-serif" w:hAnsi="Times New Roman;sans-serif"/>
                  <w:b w:val="false"/>
                  <w:color w:val="0000FF"/>
                  <w:sz w:val="20"/>
                  <w:u w:val="single"/>
                </w:rPr>
                <w:t>66</w:t>
              </w:r>
            </w:hyperlink>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of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Holdings, Inc. </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We have audited the accompanying consolidated</w:t>
      </w:r>
      <w:r>
        <w:rPr>
          <w:color w:val="000000"/>
        </w:rPr>
        <w:t xml:space="preserve"> </w:t>
      </w:r>
      <w:r>
        <w:rPr>
          <w:rFonts w:ascii="Times New Roman;sans-serif" w:hAnsi="Times New Roman;sans-serif"/>
          <w:b w:val="false"/>
          <w:color w:val="000000"/>
          <w:sz w:val="20"/>
        </w:rPr>
        <w:t>balance sheets of SpringBig Holdings, Inc. (the “Company”) as of December 31, 2022 and 2021, the related consolidated statements of operations, changes in stockholders’ equity (deficit)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Explanatory Paragraph – Going Concern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color w:val="000000"/>
          <w:sz w:val="20"/>
        </w:rPr>
        <w:t>Explanatory Paragraph – Adoption of New Accounting Standard</w:t>
      </w:r>
      <w:r>
        <w:rPr>
          <w:color w:val="000000"/>
        </w:rPr>
        <w:t xml:space="preserve">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changed its method of accounting for leases due to the adoption of ASU No. 2016-02, Leases (Topic 842), as amended, effective January 1, 2022, using the modified retrospective approach.</w:t>
      </w:r>
    </w:p>
    <w:p>
      <w:pPr>
        <w:pStyle w:val="TextBody"/>
        <w:spacing w:before="0" w:after="0"/>
        <w:jc w:val="both"/>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w:t>
      </w:r>
      <w:r>
        <w:rPr>
          <w:color w:val="000000"/>
        </w:rPr>
        <w:t xml:space="preserve"> </w:t>
      </w:r>
      <w:r>
        <w:rPr>
          <w:rFonts w:ascii="Times New Roman;sans-serif" w:hAnsi="Times New Roman;sans-serif"/>
          <w:b w:val="false"/>
          <w:color w:val="000000"/>
          <w:sz w:val="20"/>
        </w:rPr>
        <w:t xml:space="preserve">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w:t>
      </w:r>
      <w:r>
        <w:rPr>
          <w:color w:val="000000"/>
        </w:rPr>
        <w:t xml:space="preserve"> </w:t>
      </w:r>
      <w:r>
        <w:rPr>
          <w:rFonts w:ascii="Times New Roman;sans-serif" w:hAnsi="Times New Roman;sans-serif"/>
          <w:b w:val="false"/>
          <w:color w:val="000000"/>
          <w:sz w:val="20"/>
        </w:rPr>
        <w:t>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 Marcum LLP</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Marcum LLP</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Fort Lauderdale, FL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40" w:before="40" w:after="283"/>
        <w:jc w:val="center"/>
        <w:rPr>
          <w:color w:val="000000"/>
        </w:rPr>
      </w:pPr>
      <w:r>
        <w:rPr>
          <w:color w:val="000000"/>
        </w:rPr>
        <w:t>     </w:t>
      </w:r>
    </w:p>
    <w:p>
      <w:pPr>
        <w:pStyle w:val="TextBody"/>
        <w:spacing w:before="40" w:after="283"/>
        <w:rPr/>
      </w:pPr>
      <w:r>
        <w:rPr/>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SPRINGBIG HOLDINGS, INC.</w:t>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CONSOLIDATED BALANCE SHEETS </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180"/>
        <w:gridCol w:w="2297"/>
        <w:gridCol w:w="2264"/>
        <w:gridCol w:w="230"/>
        <w:gridCol w:w="675"/>
        <w:gridCol w:w="118"/>
        <w:gridCol w:w="118"/>
        <w:gridCol w:w="118"/>
        <w:gridCol w:w="118"/>
        <w:gridCol w:w="230"/>
        <w:gridCol w:w="675"/>
        <w:gridCol w:w="182"/>
      </w:tblGrid>
      <w:tr>
        <w:trPr/>
        <w:tc>
          <w:tcPr>
            <w:tcW w:w="3180" w:type="dxa"/>
            <w:tcBorders/>
            <w:shd w:fill="auto" w:val="clear"/>
            <w:vAlign w:val="center"/>
          </w:tcPr>
          <w:p>
            <w:pPr>
              <w:pStyle w:val="TableContents"/>
              <w:spacing w:before="0" w:after="283"/>
              <w:rPr>
                <w:sz w:val="4"/>
                <w:szCs w:val="4"/>
              </w:rPr>
            </w:pPr>
            <w:r>
              <w:rPr>
                <w:sz w:val="4"/>
                <w:szCs w:val="4"/>
              </w:rPr>
            </w:r>
          </w:p>
        </w:tc>
        <w:tc>
          <w:tcPr>
            <w:tcW w:w="2297" w:type="dxa"/>
            <w:tcBorders/>
            <w:shd w:fill="auto" w:val="clear"/>
            <w:vAlign w:val="center"/>
          </w:tcPr>
          <w:p>
            <w:pPr>
              <w:pStyle w:val="TableContents"/>
              <w:spacing w:before="0" w:after="283"/>
              <w:rPr>
                <w:sz w:val="4"/>
                <w:szCs w:val="4"/>
              </w:rPr>
            </w:pPr>
            <w:r>
              <w:rPr>
                <w:sz w:val="4"/>
                <w:szCs w:val="4"/>
              </w:rPr>
            </w:r>
          </w:p>
        </w:tc>
        <w:tc>
          <w:tcPr>
            <w:tcW w:w="226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w:t>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w:t>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 receivable</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 and other current liabilities</w:t>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current</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non-current</w:t>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and Contingencies </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 300,000,000 authorized at December 31, 2022; 26,659,711 issued and outstanding as of December 31, 2022; (par value $0.0001 per share, 22,764,527 authorized at December 31, 2021; 17,862,108 issued and outstanding as of December 31, 2021)</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(26,332)</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 (deficit)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64185"/>
                <wp:effectExtent l="0" t="0" r="0" b="0"/>
                <wp:wrapNone/>
                <wp:docPr id="65" name="Frame62"/>
                <a:graphic xmlns:a="http://schemas.openxmlformats.org/drawingml/2006/main">
                  <a:graphicData uri="http://schemas.microsoft.com/office/word/2010/wordprocessingShape">
                    <wps:wsp>
                      <wps:cNvSpPr txBox="1"/>
                      <wps:spPr>
                        <a:xfrm>
                          <a:off x="0" y="0"/>
                          <a:ext cx="6480175" cy="464185"/>
                        </a:xfrm>
                        <a:prstGeom prst="rect"/>
                      </wps:spPr>
                      <wps:txb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p>
                            <w:pPr>
                              <w:pStyle w:val="TextBody"/>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these financial statements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p>
                      <w:pPr>
                        <w:pStyle w:val="TextBody"/>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these financial statements </w:t>
                      </w:r>
                    </w:p>
                  </w:txbxContent>
                </v:textbox>
              </v:rect>
            </w:pict>
          </mc:Fallback>
        </mc:AlternateContent>
      </w:r>
    </w:p>
    <w:p>
      <w:pPr>
        <w:pStyle w:val="TextBody"/>
        <w:spacing w:before="0" w:after="0"/>
        <w:jc w:val="center"/>
        <w:rPr/>
      </w:pPr>
      <w:r>
        <w:rPr/>
      </w:r>
    </w:p>
    <w:p>
      <w:pPr>
        <w:pStyle w:val="TextBody"/>
        <w:spacing w:lineRule="auto" w:line="268" w:before="0" w:after="0"/>
        <w:jc w:val="center"/>
        <w:rPr/>
      </w:pPr>
      <w:r>
        <w:rPr>
          <w:rFonts w:ascii="Times New Roman;sans-serif" w:hAnsi="Times New Roman;sans-serif"/>
          <w:b/>
          <w:color w:val="000000"/>
          <w:sz w:val="20"/>
        </w:rPr>
        <w:t>SPRINGBIG HOLDINGS, INC</w:t>
      </w:r>
      <w:r>
        <w:rPr>
          <w:rFonts w:ascii="Times New Roman;sans-serif" w:hAnsi="Times New Roman;sans-serif"/>
          <w:b/>
          <w:color w:val="000000"/>
          <w:sz w:val="20"/>
          <w:highlight w:val="white"/>
        </w:rPr>
        <w:t>.</w:t>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CONSOLIDATED STATEMENTS OF OPERATIONS</w:t>
      </w:r>
    </w:p>
    <w:p>
      <w:pPr>
        <w:pStyle w:val="TextBody"/>
        <w:spacing w:before="0" w:after="0"/>
        <w:jc w:val="center"/>
        <w:rPr/>
      </w:pPr>
      <w:r>
        <w:rPr/>
      </w:r>
    </w:p>
    <w:tbl>
      <w:tblPr>
        <w:tblW w:w="6994" w:type="dxa"/>
        <w:jc w:val="center"/>
        <w:tblInd w:w="0" w:type="dxa"/>
        <w:tblCellMar>
          <w:top w:w="28" w:type="dxa"/>
          <w:left w:w="28" w:type="dxa"/>
          <w:bottom w:w="28" w:type="dxa"/>
          <w:right w:w="28" w:type="dxa"/>
        </w:tblCellMar>
      </w:tblPr>
      <w:tblGrid>
        <w:gridCol w:w="1420"/>
        <w:gridCol w:w="1243"/>
        <w:gridCol w:w="1252"/>
        <w:gridCol w:w="109"/>
        <w:gridCol w:w="109"/>
        <w:gridCol w:w="109"/>
        <w:gridCol w:w="240"/>
        <w:gridCol w:w="841"/>
        <w:gridCol w:w="109"/>
        <w:gridCol w:w="109"/>
        <w:gridCol w:w="109"/>
        <w:gridCol w:w="109"/>
        <w:gridCol w:w="244"/>
        <w:gridCol w:w="837"/>
        <w:gridCol w:w="154"/>
      </w:tblGrid>
      <w:tr>
        <w:trPr/>
        <w:tc>
          <w:tcPr>
            <w:tcW w:w="1420"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3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Selling, servicing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Technology and software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Forgiveness of PPP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22,287,828 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17,771,960 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5275"/>
                <wp:effectExtent l="0" t="0" r="0" b="0"/>
                <wp:wrapNone/>
                <wp:docPr id="66" name="Frame63"/>
                <a:graphic xmlns:a="http://schemas.openxmlformats.org/drawingml/2006/main">
                  <a:graphicData uri="http://schemas.microsoft.com/office/word/2010/wordprocessingShape">
                    <wps:wsp>
                      <wps:cNvSpPr txBox="1"/>
                      <wps:spPr>
                        <a:xfrm>
                          <a:off x="0" y="0"/>
                          <a:ext cx="6480175" cy="295275"/>
                        </a:xfrm>
                        <a:prstGeom prst="rect"/>
                      </wps:spPr>
                      <wps:txb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v:rect>
            </w:pict>
          </mc:Fallback>
        </mc:AlternateConten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SPRINGBIG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(DEFICIT)</w:t>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893"/>
        <w:gridCol w:w="531"/>
        <w:gridCol w:w="512"/>
        <w:gridCol w:w="112"/>
        <w:gridCol w:w="112"/>
        <w:gridCol w:w="112"/>
        <w:gridCol w:w="563"/>
        <w:gridCol w:w="563"/>
        <w:gridCol w:w="382"/>
        <w:gridCol w:w="112"/>
        <w:gridCol w:w="112"/>
        <w:gridCol w:w="112"/>
        <w:gridCol w:w="285"/>
        <w:gridCol w:w="367"/>
        <w:gridCol w:w="148"/>
        <w:gridCol w:w="112"/>
        <w:gridCol w:w="112"/>
        <w:gridCol w:w="112"/>
        <w:gridCol w:w="339"/>
        <w:gridCol w:w="1186"/>
        <w:gridCol w:w="175"/>
        <w:gridCol w:w="112"/>
        <w:gridCol w:w="112"/>
        <w:gridCol w:w="112"/>
        <w:gridCol w:w="303"/>
        <w:gridCol w:w="1061"/>
        <w:gridCol w:w="158"/>
        <w:gridCol w:w="112"/>
        <w:gridCol w:w="112"/>
        <w:gridCol w:w="112"/>
        <w:gridCol w:w="216"/>
        <w:gridCol w:w="676"/>
        <w:gridCol w:w="167"/>
      </w:tblGrid>
      <w:tr>
        <w:trPr/>
        <w:tc>
          <w:tcPr>
            <w:tcW w:w="893"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3" w:type="dxa"/>
            <w:gridSpan w:val="27"/>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c>
      </w:tr>
      <w:tr>
        <w:trPr/>
        <w:tc>
          <w:tcPr>
            <w:tcW w:w="1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2020</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17,660,258</w:t>
            </w:r>
            <w:r>
              <w:rPr>
                <w:color w:val="000000"/>
              </w:rPr>
              <w:t> </w:t>
            </w:r>
          </w:p>
        </w:tc>
        <w:tc>
          <w:tcPr>
            <w:tcW w:w="3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w:t>
            </w: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16,999</w:t>
            </w: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(7,475)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9,526</w:t>
            </w: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67,535 </w:t>
            </w:r>
          </w:p>
        </w:tc>
        <w:tc>
          <w:tcPr>
            <w:tcW w:w="3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94,553 </w:t>
            </w:r>
          </w:p>
        </w:tc>
        <w:tc>
          <w:tcPr>
            <w:tcW w:w="3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39,762 </w:t>
            </w:r>
          </w:p>
        </w:tc>
        <w:tc>
          <w:tcPr>
            <w:tcW w:w="3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17,862,108</w:t>
            </w: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17,682</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(13,225)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4,459</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475,421 </w:t>
            </w:r>
          </w:p>
        </w:tc>
        <w:tc>
          <w:tcPr>
            <w:tcW w:w="3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Recapitalization</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7,093,744 </w:t>
            </w:r>
          </w:p>
        </w:tc>
        <w:tc>
          <w:tcPr>
            <w:tcW w:w="3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standard adoption</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877,193 </w:t>
            </w:r>
          </w:p>
        </w:tc>
        <w:tc>
          <w:tcPr>
            <w:tcW w:w="3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351,245 </w:t>
            </w:r>
          </w:p>
        </w:tc>
        <w:tc>
          <w:tcPr>
            <w:tcW w:w="3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26,659,711</w:t>
            </w: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22,701</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(26,332)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(3,628)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issued 877,193 shares to satisfy a $1.5 million commitment fee for the Cantor Equity Facility</w:t>
            </w:r>
          </w:p>
        </w:tc>
      </w:tr>
      <w:tr>
        <w:trPr/>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issued 351,245 shares as repayment on the L1 Notes payable</w:t>
            </w:r>
          </w:p>
        </w:tc>
      </w:tr>
    </w:tbl>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5275"/>
                <wp:effectExtent l="0" t="0" r="0" b="0"/>
                <wp:wrapNone/>
                <wp:docPr id="67" name="Frame64"/>
                <a:graphic xmlns:a="http://schemas.openxmlformats.org/drawingml/2006/main">
                  <a:graphicData uri="http://schemas.microsoft.com/office/word/2010/wordprocessingShape">
                    <wps:wsp>
                      <wps:cNvSpPr txBox="1"/>
                      <wps:spPr>
                        <a:xfrm>
                          <a:off x="0" y="0"/>
                          <a:ext cx="6480175" cy="295275"/>
                        </a:xfrm>
                        <a:prstGeom prst="rect"/>
                      </wps:spPr>
                      <wps:txb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v:rect>
            </w:pict>
          </mc:Fallback>
        </mc:AlternateContent>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SPRINGBIG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8855" w:type="dxa"/>
        <w:jc w:val="center"/>
        <w:tblInd w:w="0" w:type="dxa"/>
        <w:tblCellMar>
          <w:top w:w="28" w:type="dxa"/>
          <w:left w:w="28" w:type="dxa"/>
          <w:bottom w:w="28" w:type="dxa"/>
          <w:right w:w="28" w:type="dxa"/>
        </w:tblCellMar>
      </w:tblPr>
      <w:tblGrid>
        <w:gridCol w:w="2180"/>
        <w:gridCol w:w="1918"/>
        <w:gridCol w:w="1931"/>
        <w:gridCol w:w="109"/>
        <w:gridCol w:w="109"/>
        <w:gridCol w:w="109"/>
        <w:gridCol w:w="211"/>
        <w:gridCol w:w="796"/>
        <w:gridCol w:w="109"/>
        <w:gridCol w:w="109"/>
        <w:gridCol w:w="109"/>
        <w:gridCol w:w="109"/>
        <w:gridCol w:w="211"/>
        <w:gridCol w:w="691"/>
        <w:gridCol w:w="154"/>
      </w:tblGrid>
      <w:tr>
        <w:trPr/>
        <w:tc>
          <w:tcPr>
            <w:tcW w:w="2180" w:type="dxa"/>
            <w:tcBorders/>
            <w:shd w:fill="auto" w:val="clear"/>
            <w:vAlign w:val="center"/>
          </w:tcPr>
          <w:p>
            <w:pPr>
              <w:pStyle w:val="TableContents"/>
              <w:spacing w:before="0" w:after="283"/>
              <w:rPr>
                <w:sz w:val="4"/>
                <w:szCs w:val="4"/>
              </w:rPr>
            </w:pPr>
            <w:r>
              <w:rPr>
                <w:sz w:val="4"/>
                <w:szCs w:val="4"/>
              </w:rPr>
            </w:r>
          </w:p>
        </w:tc>
        <w:tc>
          <w:tcPr>
            <w:tcW w:w="1918"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Years Ended December 31,</w:t>
            </w:r>
          </w:p>
        </w:tc>
      </w:tr>
      <w:tr>
        <w:trPr/>
        <w:tc>
          <w:tcPr>
            <w:tcW w:w="60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60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thousands)</w:t>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Discount amortization on convertible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right of use assets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Bad debt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Forgiveness of PPP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interest on convertible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Contract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Accounts payable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Related party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Related party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 xml:space="preserve">Deferred revenue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Business combination, net of cash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Purchase of convertible note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Business combination, net of transaction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convertible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convertible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9"/>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cash flows disclosures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non</w:t>
              <w:noBreakHyphen/>
              <w:t>cash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Conversion of 15% convertible note and interest into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Warrants assumed in business combination at estimated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Conversion of L1 Notes into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Issue of common stock for business combination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Indemnity holdback for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60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60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60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60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5275"/>
                <wp:effectExtent l="0" t="0" r="0" b="0"/>
                <wp:wrapNone/>
                <wp:docPr id="68" name="Frame65"/>
                <a:graphic xmlns:a="http://schemas.openxmlformats.org/drawingml/2006/main">
                  <a:graphicData uri="http://schemas.microsoft.com/office/word/2010/wordprocessingShape">
                    <wps:wsp>
                      <wps:cNvSpPr txBox="1"/>
                      <wps:spPr>
                        <a:xfrm>
                          <a:off x="0" y="0"/>
                          <a:ext cx="6480175" cy="295275"/>
                        </a:xfrm>
                        <a:prstGeom prst="rect"/>
                      </wps:spPr>
                      <wps:txb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Holdings, Inc. and its wholly-owned subsidiaries (the “Company,” “we,” “us,”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direct wholly-owned subsidiary, SpringBig, Inc.</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 See Note 9, Business Combination, to these consolidated financial statements for further information.</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legal acquirer in the business combination is SpringBig for financial accounting and reporting purposes under U.S. GAAP, Legacy SpringBig is the accounting acquirer, with the merger accounted for as a “reverse recapitalization.” A reverse recapitalization does not result in a new basis of accounting, and the financial statements of the combined entity represent the continuation of the financial statements of Legacy SpringBig. Under this accounting method, SpringBig is treated as the “acquired” company and Legacy SpringBig is the accounting acquirer, with the transaction treated as a recapitalization of Legacy SpringBig. SpringBig’s assets, liabilities and results of operations were consolidated with Legacy SpringBig’s beginning on the date of the business combination. Except for certain warrant liabilities, the assets and liabilities of SpringBig were recognized at historical cost (which is consistent with carrying value) and were not material, with no goodwill or other intangible assets recorded. The warrant liabilities, which are discussed in Note 13, Warrant Liabilities, were recorded at fair value. The consolidated assets, liabilities, and results of operations of Legacy SpringBig became the historical financial statements, and operations prior to the closing of the business combination presented for comparative purposes are those of Legacy SpringBig. Pre-merger shares of common stock and preferred stock of Legacy SpringBig were converted to shares of common stock of the combined company using the conversion ratio of 0.59289 and for comparative purposes, the shares and net loss per share of Legacy SpringBig prior to the merger have been retroactively restated using the conversion ratio.</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June 15, 2022, the ticker symbols for the Company’s common stock and publicly-traded warrants were changed to “SBIG” and “SBIGW,” respectively, and commenced trading on The Nasdaq Global Market. The Company received net proceeds of $18.8 million, with gross proceeds of $25.1 million, which were in addition to the $7.0 million in Convertible Notes proceeds, which were received in February 2022 in connection with Legacy SpringBig’s issuance of such notes (and which Convertible Notes and the interest due thereon were converted into common stock in connection with the business combination. See Note 10, 15% Convertible Promissory Notes, to these consolidated financial statements). Of the amount received at the Closing, approximately $8.8 million represented cash from the TCAC trust related to unredeemed shares; $6.1 million represented proceeds from the subscription for common stock from certain investors (the “PIPE Financing”), and $10.0 million from the Secured Convertible Note (defined below). The Company incurred additional cash and non cash expenses totaling $8.7 million, resulting in net business combination proceeds of $10.1 million.</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Common Stock Purchase Agreement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the Company entered into a Common Stock Purchase Agreement (as amended, the “Stock Purchase Agreement”) with CF Principal Investments LLC ("Cantor"), an affiliate of Cantor Fitzgerald L.P. The Company, in its sole discretion, shall have the right, but not the obligation, to issue and sell to Cantor, and Cantor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SPRINGBIG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shall purchase from the Company, up to $50.0 million of common shares, par value $0.0001 per share, subject to certain terms and conditions (the “Facility”).</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before="0" w:after="0"/>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Principles of Consolidation and Basis of Presentation</w:t>
      </w:r>
    </w:p>
    <w:p>
      <w:pPr>
        <w:pStyle w:val="TextBody"/>
        <w:spacing w:before="0" w:after="0"/>
        <w:ind w:left="0" w:right="0" w:firstLine="54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 </w:t>
      </w:r>
    </w:p>
    <w:p>
      <w:pPr>
        <w:pStyle w:val="TextBody"/>
        <w:spacing w:before="0" w:after="0"/>
        <w:ind w:left="0" w:right="0" w:firstLine="540"/>
        <w:jc w:val="both"/>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Going Concern and Liquidity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Company has incurred losses, which has resulted in an accumulated deficit of approximately $26.3 million as of December 31, 2022. Cash flows used in operating activities were $14.5 million and $7.9 million, for the twelve months ended December 31, 2022 and 2021, respectively. As of December 31, 2022, the Company had a working capital deficit of approximately $1.5 million, inclusive of $3.5 million in cash and cash equivalents to cover overhead expenses.</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continue as a going concern is dependent on its ability to meet its liquidity needs through a combination of factors including, but not limited to, cash and cash equivalents, the ongoing increase in revenue through increased usage by customers and new customers, its Stock Purchase Agreement and strategic capital raises. The ultimate success of these plans is not guaranteed.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management projections for increases in revenue and cash on hand, we concluded that there was substantial doubt about our ability to continue to operate as a going concern for the 12 months following the issuance of the accompanying consolidated financial statements.</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on a going concern basis and do not include any adjustments that might result from uncertainty about the Company’s ability to continue as a going concern.</w:t>
      </w:r>
    </w:p>
    <w:p>
      <w:pPr>
        <w:pStyle w:val="TextBody"/>
        <w:spacing w:before="0" w:after="0"/>
        <w:ind w:left="0" w:right="0" w:firstLine="540"/>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Foreign Currency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translate the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 Translation gains and losses are included within “general and administrative expense” on the consolidated statements of operations. These gains and losses are immaterial to the financial statements.</w:t>
      </w:r>
    </w:p>
    <w:p>
      <w:pPr>
        <w:pStyle w:val="TextBody"/>
        <w:spacing w:before="0" w:after="0"/>
        <w:ind w:left="0" w:right="0" w:firstLine="540"/>
        <w:jc w:val="both"/>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Use of Estimates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requires management to make estimates and assumptions that affect the amounts reported in the financial statements and accompanying notes. We base our estimates on historical experience and various other assumptions that we believe to be reasonable. We believe that the assumptions and estimates associated with revenue recognition, software development costs, income taxes, and equity-based compensation have the greatest potential impact on our consolidated financial statements. 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Segments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business as a single operating segment. Our chief operating decision maker reviews financial information presented for the purposes of allocating resources and evaluating financial performance at an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entity level and we have no segment managers who are held accountable by the chief operating decision maker for operations and operating results. The products and services across the company are similar in nature, distributed in a comparable manner and have customers with common characteristics. We determined that we have one operating and reportable segment in accordance with Accounting Standards Codification (“ASC”) 280, Segment Reporting.</w:t>
      </w:r>
    </w:p>
    <w:p>
      <w:pPr>
        <w:pStyle w:val="TextBody"/>
        <w:spacing w:before="0" w:after="0"/>
        <w:ind w:left="0" w:right="0" w:firstLine="720"/>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Fair Value of Financial Instruments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assets, which include cash equivalents, current financial assets and our current financial liabilities have fair values that approximate their carrying value due to their short-term maturities.</w:t>
      </w:r>
    </w:p>
    <w:p>
      <w:pPr>
        <w:pStyle w:val="TextBody"/>
        <w:spacing w:before="0" w:after="0"/>
        <w:rPr/>
      </w:pPr>
      <w:r>
        <w:rPr/>
      </w:r>
    </w:p>
    <w:p>
      <w:pPr>
        <w:pStyle w:val="TextBody"/>
        <w:spacing w:lineRule="auto" w:line="276" w:before="0" w:after="0"/>
        <w:rPr/>
      </w:pPr>
      <w:r>
        <w:rPr>
          <w:rFonts w:ascii="Times New Roman;sans-serif" w:hAnsi="Times New Roman;sans-serif"/>
          <w:b/>
          <w:i/>
          <w:color w:val="000000"/>
          <w:sz w:val="20"/>
          <w:u w:val="single"/>
        </w:rPr>
        <w:t>Concentrations of Credit Risk</w:t>
      </w:r>
      <w:r>
        <w:rPr>
          <w:color w:val="000000"/>
        </w:rPr>
        <w:t xml:space="preserve">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We perform periodic evaluations of the relative credit standing of the financial institutions.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ongoing credit evaluations of our customers’ financial condition and require no collateral from our customers. We maintain an allowance for doubtful accounts receivable based upon the expected collectability of accounts receivable balances.</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one customer representing 11% of total revenues for the twelve months ended December 31, 2022. By comparison, we had one customer that represented 11% of total revenues for the same period ended December 31, 2021. </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2022 and December 31, 2021, the same customer represented 12% and 28% of accounts receivable, respectively. </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Transaction Costs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significant costs direct and incremental to the business combination and therefore to the recapitalization of the Company. We deferred such costs incurred in 2021. In 2022, upon closing of the business combination, total direct transaction costs were allocated between equity and liability instruments measured at fair value on a recurring basis that were newly issued in the recapitalization. Amounts allocated to equity were recorded to additional paid-in capital, while amounts allocated to the specified liabilities were recorded as other expense. See Note 9, Business Combination, to these consolidated financial statements for further information.</w:t>
      </w:r>
    </w:p>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u w:val="single"/>
        </w:rPr>
        <w:t>Cash and Cash Equivalents</w:t>
      </w:r>
      <w:r>
        <w:rPr>
          <w:color w:val="000000"/>
        </w:rPr>
        <w:t xml:space="preserve"> </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 maturity of three months or less, when acquired, to be cash equivalents. The Company maintains its cash with three commercial banks.</w:t>
      </w:r>
    </w:p>
    <w:p>
      <w:pPr>
        <w:pStyle w:val="TextBody"/>
        <w:spacing w:before="0" w:after="0"/>
        <w:ind w:left="0" w:right="0" w:firstLine="54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exceeded the federally insured limits of $250,000 for interest and non-interest bearing deposits. The Company had cash balances with a single financial institution in excess of the FDIC insured limits by $3.2 million as of December 31, 2022. We monitor the financial condition of such institution and have not experienced any losses associated with these accounts.</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i/>
          <w:color w:val="000000"/>
          <w:sz w:val="20"/>
          <w:u w:val="single"/>
        </w:rPr>
        <w:t>Accounts Receivable and Allowance for Doubtful Account</w:t>
      </w:r>
      <w:r>
        <w:rPr>
          <w:rFonts w:ascii="Times New Roman;sans-serif" w:hAnsi="Times New Roman;sans-serif"/>
          <w:b w:val="false"/>
          <w:color w:val="000000"/>
          <w:sz w:val="20"/>
        </w:rPr>
        <w: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uncollateralized customer obligations due under normal trade terms granted by the Company based on each customer’s own creditworthiness. The carrying amount of accounts receivable is reduced by an allowance for doubtful accounts that reflects management’s best estimate of amounts that will not be collected. Management individually reviews past due accounts receivable balances and based on an assessment of each customer’s current creditworthiness, estimates the portion, if any, that will not be collected. Additionally, management assesses the remaining balance of accounts receivable based on experience and an assessment of future</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economic conditions to determine its best estimate of the portion that will not be collected. Unbilled receivables are customer obligations due under normal terms of trade which have not been invoiced at the balance sheet date and are invoiced shortly thereafter.</w:t>
      </w:r>
    </w:p>
    <w:p>
      <w:pPr>
        <w:pStyle w:val="TextBody"/>
        <w:spacing w:before="0" w:after="0"/>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Property and Equipment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carried at cost less accumulated depreciation. Major additions and improvements which extend the life of the assets are capitalized whereas maintenance and repairs, which do not improve or extend the life of the respective assets, are expensed as incurred. When property or equipment is sold or otherwise disposed of, the related cost and accumulated depreciation are removed from the accounts and any gain or loss is included in income.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estimated useful lives of the assets. Leasehold improvements are amortized over the shorter of their estimated useful lives or the terms of the leases.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 xml:space="preserve">Contract Assets (Deferred Commission)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 contract asset for the incremental costs (i.e., the sales commissions) of obtaining a contract because the Company expects to recover those costs through future fees for the services to be provided. The Company amortizes the asset over the course of three years, which is the estimated number of years a customer is retained.</w:t>
      </w:r>
    </w:p>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u w:val="single"/>
        </w:rPr>
        <w:t>Capitalized Software Development Costs</w:t>
      </w:r>
      <w:r>
        <w:rPr>
          <w:color w:val="000000"/>
        </w:rPr>
        <w:t xml:space="preserve">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Internal and external costs associated with the development stage of computer applications, as well as for upgrades and enhancements that result in additional functionality of the applications, are capitalized in accordance with Accounting Standards Codification (“ASC”) 350-40, </w:t>
      </w:r>
      <w:r>
        <w:rPr>
          <w:rFonts w:ascii="Times New Roman;sans-serif" w:hAnsi="Times New Roman;sans-serif"/>
          <w:b w:val="false"/>
          <w:i/>
          <w:color w:val="000000"/>
          <w:sz w:val="20"/>
        </w:rPr>
        <w:t>Internal-Use Software Accounting and Capitalization</w:t>
      </w:r>
      <w:r>
        <w:rPr>
          <w:rFonts w:ascii="Times New Roman;sans-serif" w:hAnsi="Times New Roman;sans-serif"/>
          <w:b w:val="false"/>
          <w:color w:val="000000"/>
          <w:sz w:val="20"/>
        </w:rPr>
        <w:t>. Internal and external training and maintenance costs are charged to expense as incurred or over the related service period. When a software application is placed in service, the Company begins amortizing the related capitalized software costs using the straight-line method based on its estimated useful life, which is generally three years.</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Impairment of Long-Lived Assets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as well as the effects of obsolescence, demand, competition, and other economic factors. The Company did not recognize any impairment loss in 2022 or 2021.</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i/>
          <w:color w:val="000000"/>
          <w:sz w:val="20"/>
          <w:u w:val="single"/>
        </w:rPr>
        <w:t>Business Combinations</w:t>
      </w:r>
      <w:r>
        <w:rPr>
          <w:color w:val="000000"/>
        </w:rPr>
        <w:t xml:space="preserve">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Acquisitions of subsidiaries are accounted for using the acquisition method. The consideration for each acquisition is measured at the aggregate of the fair values (at the date of acquisition) of assets transferred and liabilities incurred or assumed, and equity instruments issued by the Company. Acquisition-related costs are recognized in the statements of operations in the period which they are incurred. Where applicable, the consideration for the acquisition includes any asset or liability resulting from a contingent consideration arrangement, measured at its acquisition-date fair value. Subsequent changes in such fair values are adjusted against the cost of acquisition where they qualify as measurement period adjustments. All other subsequent changes in the fair value of contingent consideration classified as an asset or liability are accounted for in accordance with relevant guidance consistent with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If the initial accounting for a business combination is incomplete by the end of the reporting period in which the combination occurs, the Company will report provisional amounts for the items for which the accounting is incomplete. Those provisional amounts are adjusted during the measurement period, or additional assets or liabilities are recognized, to reflect new information obtained about facts and circumstances that existed as of the acquisition date that, if known, would have affected the amounts recognized as of that date. The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measurement period is the period from the date of acquisition to the date the Company obtains complete information about facts and circumstances that existed as of the acquisition date and does not exceed twelve months.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was accounted for as a “reverse recapitalization.” A reverse recapitalization does not result in a new basis of accounting, and the financial statements of the combined entity represent the continuation of the financial statements of Legacy SpringBig in many respects. Under this method of accounting, Tuatara was treated as the “acquired” company for financial reporting purposes. For accounting purposes, Legacy SpringBig was deemed to be the accounting acquirer in the transaction and, consequently, the transaction was treated as a recapitalization of Legacy SpringBig (i.e., a capital transaction involving the issuance of stock by Tuatara for stock of Legacy SpringBig). Accordingly, the consolidated assets, liabilities and results of operations of Legacy SpringBig became the historical financial statements of the combined company, and Tuatara’s assets, liabilities and results of operations were consolidated with Legacy SpringBig beginning on the acquisition date. Operations prior to the business combination are presented as those of Legacy SpringBig. The net assets of Tuatara were recognized at historical cost (which are consistent with carrying value), with no goodwill or other intangible assets recorded.</w:t>
      </w:r>
    </w:p>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u w:val="single"/>
        </w:rPr>
        <w:t>Intangible Assets</w:t>
      </w:r>
      <w:r>
        <w:rPr>
          <w:color w:val="000000"/>
        </w:rPr>
        <w:t xml:space="preserve">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We account for intangible assets under ASC 350, </w:t>
      </w:r>
      <w:r>
        <w:rPr>
          <w:rFonts w:ascii="Times New Roman;sans-serif" w:hAnsi="Times New Roman;sans-serif"/>
          <w:b w:val="false"/>
          <w:i/>
          <w:color w:val="000000"/>
          <w:sz w:val="20"/>
        </w:rPr>
        <w:t>Goodwill and Other</w:t>
      </w:r>
      <w:r>
        <w:rPr>
          <w:rFonts w:ascii="Times New Roman;sans-serif" w:hAnsi="Times New Roman;sans-serif"/>
          <w:b w:val="false"/>
          <w:color w:val="000000"/>
          <w:sz w:val="20"/>
        </w:rPr>
        <w:t>. Intangible assets represent software acquired in the acquisition of Beaches Development Group. The amount is recorded at fair value on the date of the acquisition and amortized over its useful life of 3 years, using the straight-line method. The amount for intangible assets is included in property and equipment on the balance sheets.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 xml:space="preserve">Contract Liabilities (Deferred Revenue)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contract liabilities when cash payments are received in advance of performance obligations being performed for initial start-up fees and payments received in advance of credits utilized. The Company expects to recognize these contract liabilities in the following period when it transfers its services and, therefore, satisfies its performance obligation to the customers.</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 xml:space="preserve">Revenue Recognition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On January 1, 2019, the Company adopted, using the full retrospective method, the provisions of FASB Accounting Standards Codification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which provides guidance on the recognition, presentation, and disclosure of revenue in financial statements. ASC 606 outlines the basic criteria that must be met to recognize revenue and provides guidance for disclosure related to revenue recognition policies. The Company recognizes revenue upon transfer of control of promised services to customers in an amount that reflects the consideration the Company expects to receive in exchange for those services. We report revenue net of sales and other taxes collected from customers to be remitted to government authorities.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standard contract, the Company works with a customer to provide access to an integrated platform that provides all the functions of its proprietary software, which utilizes proprietary technology to send text or email messages to the customer’s contacts based on a credit system. Through this software, the Company allows merchants to provide loyalty plans and rewards directly to consumers through an internet portal and mobile applications. The functions of the software themselves do not have individual value to the customer. Each customer is buying the license to the platform to receive all the benefits of the platform. Therefore, the Company’s single performance obligation is to provide customers the ability to use its proprietary software application that provides marketing and customer engagement services to cannabis dispensaries throughout the United States.</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Nature of Promises to Transfer</w:t>
      </w:r>
      <w:r>
        <w:rPr>
          <w:color w:val="000000"/>
        </w:rPr>
        <w:t xml:space="preserve"> </w:t>
      </w:r>
      <w:r>
        <w:rPr>
          <w:rFonts w:ascii="Times New Roman;sans-serif" w:hAnsi="Times New Roman;sans-serif"/>
          <w:b w:val="false"/>
          <w:color w:val="000000"/>
          <w:sz w:val="20"/>
        </w:rPr>
        <w:t>- The services provided by the Company’s software are subscription based for its retail and brand customers as follows:</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i/>
          <w:color w:val="000000"/>
          <w:sz w:val="20"/>
        </w:rPr>
        <w:t>Retail customers -</w:t>
      </w:r>
      <w:r>
        <w:rPr>
          <w:color w:val="000000"/>
        </w:rPr>
        <w:t xml:space="preserve"> </w:t>
      </w:r>
      <w:r>
        <w:rPr>
          <w:rFonts w:ascii="Times New Roman;sans-serif" w:hAnsi="Times New Roman;sans-serif"/>
          <w:b w:val="false"/>
          <w:color w:val="000000"/>
          <w:sz w:val="20"/>
        </w:rPr>
        <w:t xml:space="preserve">the Company provides its retail customer access to the software for an initial contract that is initially for a term of one year, with automatic annual renewals. Revenue is earned monthly, which consists of the contracted monthly fixed fee for software access and a specified volume of messaging credits plus, if any, optional purchases for additional credits.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i/>
          <w:color w:val="000000"/>
          <w:sz w:val="20"/>
        </w:rPr>
        <w:t>Brand customers</w:t>
      </w:r>
      <w:r>
        <w:rPr>
          <w:color w:val="000000"/>
        </w:rPr>
        <w:t xml:space="preserve"> – </w:t>
      </w:r>
      <w:r>
        <w:rPr>
          <w:rFonts w:ascii="Times New Roman;sans-serif" w:hAnsi="Times New Roman;sans-serif"/>
          <w:b w:val="false"/>
          <w:color w:val="000000"/>
          <w:sz w:val="20"/>
        </w:rPr>
        <w:t>a customer can purchase use of the Company’s software, which includes a certain amount of messaging credits to be utilized over a specified period of time. The Company recognizes revenue monthly based on the credits used each month which depicts the best transfer of control.</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i/>
          <w:color w:val="000000"/>
          <w:sz w:val="20"/>
        </w:rPr>
        <w:t>Set up fees</w:t>
      </w:r>
      <w:r>
        <w:rPr>
          <w:color w:val="000000"/>
        </w:rPr>
        <w:t xml:space="preserve"> – </w:t>
      </w:r>
      <w:r>
        <w:rPr>
          <w:rFonts w:ascii="Times New Roman;sans-serif" w:hAnsi="Times New Roman;sans-serif"/>
          <w:b w:val="false"/>
          <w:color w:val="000000"/>
          <w:sz w:val="20"/>
        </w:rPr>
        <w:t>the Company recognizes revenue from a onetime set up fee which is charged to customers prior to going live. The amount is treated as deferred revenue and amortized over the life of the contract which is normally one year.</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 case does the Company act as an agent, i.e., the Company does not provide a service of arranging for another party to transfer goods or services to the customer. </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Timing of Satisfaction</w:t>
      </w:r>
      <w:r>
        <w:rPr>
          <w:color w:val="000000"/>
        </w:rPr>
        <w:t xml:space="preserve"> </w:t>
      </w:r>
      <w:r>
        <w:rPr>
          <w:rFonts w:ascii="Times New Roman;sans-serif" w:hAnsi="Times New Roman;sans-serif"/>
          <w:b w:val="false"/>
          <w:color w:val="000000"/>
          <w:sz w:val="20"/>
        </w:rPr>
        <w:t xml:space="preserve">- Control of services is transferred during a subscription period. Services provided by the Company are performed over time on a monthly basis for retail customers or over a designated prepaid contract term generally from six to twelve months from brand customers. </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Allocating the Transaction Price</w:t>
      </w:r>
      <w:r>
        <w:rPr>
          <w:color w:val="000000"/>
        </w:rPr>
        <w:t xml:space="preserve"> </w:t>
      </w:r>
      <w:r>
        <w:rPr>
          <w:rFonts w:ascii="Times New Roman;sans-serif" w:hAnsi="Times New Roman;sans-serif"/>
          <w:b w:val="false"/>
          <w:color w:val="000000"/>
          <w:sz w:val="20"/>
        </w:rPr>
        <w:t xml:space="preserve">- The transaction price of a subscription is the amount of consideration to which the Company expects to be entitled in exchange for transferring promised services to a customer. Transaction prices do not include amounts collected on behalf of third parties (e.g., sales taxes).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determine the transaction price of a contract, the Company considers its customary business practices as well as the terms of the contract. For the purpose of determining transaction prices, the Company assumes that the services will be transferred to the customer as promised in accordance with existing contracts and that the contracts will not be cancelled, renewed, or modified.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customers have fixed transaction prices that are denominated in U.S. and CAD dollars. Consideration paid for services that customers purchase from the Company is nonrefundable. Therefore, at the time revenue is recognized, the Company does not estimate expected refunds for services. Customer discounts are netted against revenue and are recognized as incurred.</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both retail and brand contracts, there is only one performance obligation for the standard contract. As such, the transaction price is allocated entirely to that obligation.</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Practical Expedients</w:t>
      </w:r>
      <w:r>
        <w:rPr>
          <w:color w:val="000000"/>
        </w:rPr>
        <w:t xml:space="preserve"> </w:t>
      </w:r>
      <w:r>
        <w:rPr>
          <w:rFonts w:ascii="Times New Roman;sans-serif" w:hAnsi="Times New Roman;sans-serif"/>
          <w:b w:val="false"/>
          <w:color w:val="000000"/>
          <w:sz w:val="20"/>
        </w:rPr>
        <w:t xml:space="preserve">- The Company has adopted certain practical expedients with significant items disclosed herein. The Company has elected to apply the portfolio approach practical expedient to evaluate contracts with customers that share the same revenue recognition patterns as the result of evaluating them as a group will have substantially the same result as evaluating them individually. </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i/>
          <w:color w:val="000000"/>
          <w:sz w:val="20"/>
          <w:u w:val="single"/>
        </w:rPr>
        <w:t>Cost of Revenues</w:t>
      </w:r>
      <w:r>
        <w:rPr>
          <w:color w:val="000000"/>
        </w:rPr>
        <w:t xml:space="preserve">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principally consists of amounts payable to distributors of messages on behalf of customers across cellular networks and the cost of third-party data and integrations.</w:t>
      </w:r>
    </w:p>
    <w:p>
      <w:pPr>
        <w:pStyle w:val="TextBody"/>
        <w:spacing w:before="0" w:after="0"/>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Selling, Servicing and Marketing Expenses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 expenses consist primarily of personnel and related costs, including salaries, benefits, bonuses, commissions and travel for our sales team, client success and marketing team. Other costs included in this expense are marketing and promotional events. Advertising costs are charged to marketing expense as incurred. Advertising costs were $174,000 and $96,000 for the years ended December 31, 2022 and December 31, 2021, respectively.</w:t>
      </w:r>
    </w:p>
    <w:p>
      <w:pPr>
        <w:pStyle w:val="TextBody"/>
        <w:spacing w:before="0" w:after="0"/>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Technology and Software Development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expense consist primarily of personnel and related costs, including salaries, benefits, bonuses and cost of server usage by our developers.</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General and Administrative Expenses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personnel and related costs for our executive, finance, legal, human resources, and administrative personnel, including salaries, benefits, bonuses, and stock-based compensation, legal, accounting, other professional service fees and other corporate expenses.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 xml:space="preserve">Stock-Based Compensation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ASC 718, Compensation - Stock Compensation,</w:t>
      </w:r>
      <w:r>
        <w:rPr>
          <w:color w:val="000000"/>
        </w:rPr>
        <w:t xml:space="preserve"> </w:t>
      </w:r>
      <w:r>
        <w:rPr>
          <w:rFonts w:ascii="Times New Roman;sans-serif" w:hAnsi="Times New Roman;sans-serif"/>
          <w:b w:val="false"/>
          <w:color w:val="000000"/>
          <w:sz w:val="20"/>
        </w:rPr>
        <w:t xml:space="preserve">addresses accounting for share-based awards, including stock options, restricted stock, performance shares and warrants.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consolidated statements of operations.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 </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Earnings Per Share</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Company computes net income per share in accordance with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Under the provisions of ASC 260, basic net income per share is computed by dividing the net income available to common shareholders by the weighted average common shares outstanding during the period. Diluted net income per share adjusts basic net income per share for the effects of stock options, warrants, convertible notes and restricted stock awards only in periods, or for such awards in which the effect is dilutive. ASC 260 also requires the Company to present basic and diluted earnings per share information separately for each class of equity instruments that participate in any income distribution with primary equity instruments.</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i/>
          <w:color w:val="000000"/>
          <w:sz w:val="20"/>
          <w:u w:val="single"/>
        </w:rPr>
        <w:t>Income Taxes</w:t>
      </w:r>
      <w:r>
        <w:rPr>
          <w:color w:val="000000"/>
        </w:rPr>
        <w:t xml:space="preserve">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ASU 2016-17, </w:t>
      </w:r>
      <w:r>
        <w:rPr>
          <w:rFonts w:ascii="Times New Roman;sans-serif" w:hAnsi="Times New Roman;sans-serif"/>
          <w:b w:val="false"/>
          <w:i/>
          <w:color w:val="000000"/>
          <w:sz w:val="20"/>
        </w:rPr>
        <w:t>Balance Sheet Classification of Deferred Taxes</w:t>
      </w:r>
      <w:r>
        <w:rPr>
          <w:rFonts w:ascii="Times New Roman;sans-serif" w:hAnsi="Times New Roman;sans-serif"/>
          <w:b w:val="false"/>
          <w:color w:val="000000"/>
          <w:sz w:val="20"/>
        </w:rPr>
        <w:t xml:space="preserve">. The guidance requires that all deferred tax assets and liabilities, along with any related valuation allowance, be classified as noncurrent on the balance sheet. As a result, each jurisdiction will only have one net noncurrent deferred tax asset or liability.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2022 and 2021, there are no uncertain tax positions taken, or expected to be taken, that would require recognition of a liability or disclosure in the financial statements.</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Effective Accounting Pronouncements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2017, the FASB issued ASU 2017-04, Intangibles—Goodwill and Other (Topic 350): Simplifying the Test for Goodwill Impairment, which simplifies how an entity is required to test goodwill for impairment by eliminating Step 2 from the goodwill impairment test. The amendments in this update modify the concept of impairment from the condition that exists when the carrying amount of goodwill exceeds its implied fair value to the condition that exists when the carrying amount of a reporting unit exceeds its fair value. This update is effective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after December 15, 2021. We adopted this standard on January 1, 2022. The adoption of this standard did not have a material impact on our consolidated financial statements for the period ended December 31, 2022.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In December 2019, the FASB issued ASU 2019-12, </w:t>
      </w:r>
      <w:r>
        <w:rPr>
          <w:rFonts w:ascii="Times New Roman;sans-serif" w:hAnsi="Times New Roman;sans-serif"/>
          <w:b w:val="false"/>
          <w:i/>
          <w:color w:val="000000"/>
          <w:sz w:val="20"/>
        </w:rPr>
        <w:t xml:space="preserve">Income Taxes (Topic 740) - Simplifying the Accounting for Income Taxes. </w:t>
      </w:r>
      <w:r>
        <w:rPr>
          <w:rFonts w:ascii="Times New Roman;sans-serif" w:hAnsi="Times New Roman;sans-serif"/>
          <w:b w:val="false"/>
          <w:color w:val="000000"/>
          <w:sz w:val="20"/>
        </w:rPr>
        <w:t xml:space="preserve">The ASU enhances and simplifies various aspects of the income tax accounting guidance in ASC 740, including requirements related to the following: (1) hybrid tax regimes; (2) tax basis step-up in goodwill obtained in a transaction that is not a business combination; (3) separate financial statements of entities not subject to tax; (4) intra-period tax allocation exception to the incremental approach; (5) ownership changes in investments; (6) interim-period accounting for enacted changes in tax law; and (7) year-to-date loss limitation in interim-period tax accounting. The amendments in ASU 2019-12 are effective for public business entities for fiscal years beginning after December 15, 2020, including interim periods therein. This update is effective beginning after December 15, 2021. We adopted this standard on January 1, 2022. The adoption of this standard did not have a material impact on our consolidated financial statements for the period ended December 31, 2022. </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In January 2020, the FASB issued ASU 2020-01, </w:t>
      </w:r>
      <w:r>
        <w:rPr>
          <w:rFonts w:ascii="Times New Roman;sans-serif" w:hAnsi="Times New Roman;sans-serif"/>
          <w:b w:val="false"/>
          <w:i/>
          <w:color w:val="000000"/>
          <w:sz w:val="20"/>
        </w:rPr>
        <w:t>Clarifying the Interactions between Topic 321, Topic 323, and Topic 815</w:t>
      </w:r>
      <w:r>
        <w:rPr>
          <w:rFonts w:ascii="Times New Roman;sans-serif" w:hAnsi="Times New Roman;sans-serif"/>
          <w:b w:val="false"/>
          <w:color w:val="000000"/>
          <w:sz w:val="20"/>
        </w:rPr>
        <w:t xml:space="preserve">. The amendments in this update clarify certain interactions between the guidance to account for certain equity securities. This update is effective beginning after December 15, 2021. We adopted this standard on January 1, 2022. The adoption of this standard did not have a material impact on our consolidated financial statements for the period ended December 31, 2022. </w:t>
      </w:r>
    </w:p>
    <w:p>
      <w:pPr>
        <w:pStyle w:val="TextBody"/>
        <w:spacing w:before="0" w:after="0"/>
        <w:ind w:left="0" w:right="0" w:firstLine="360"/>
        <w:jc w:val="both"/>
        <w:rPr/>
      </w:pPr>
      <w:r>
        <w:rPr/>
      </w:r>
    </w:p>
    <w:p>
      <w:pPr>
        <w:pStyle w:val="TextBody"/>
        <w:spacing w:lineRule="auto" w:line="244" w:before="0" w:after="0"/>
        <w:ind w:left="0" w:right="0" w:firstLine="360"/>
        <w:jc w:val="both"/>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Accounting for Convertible Instruments and Contracts in an Entity's Own Equity</w:t>
      </w:r>
      <w:r>
        <w:rPr>
          <w:rFonts w:ascii="Times New Roman;sans-serif" w:hAnsi="Times New Roman;sans-serif"/>
          <w:b w:val="false"/>
          <w:color w:val="000000"/>
          <w:sz w:val="20"/>
        </w:rPr>
        <w:t xml:space="preserve">. Under ASU 2020-06, embedded conversion features are no longer separated from the host contract for convertible instruments with conversion features that are not required to be accounted for as derivatives, or that do not result in substantial premiums accounted for as paid-in capital. The convertible debt instruments will now be accounted for as a single liability measured at amortized cost. This results in the interest expense recognized for convertible debt instruments to be closer to the coupon interest rate. The new guidance also requires the if-converted method to be applied for all convertible instruments when calculating earnings per share. This update is effective beginning after December 15, 2021. We adopted this standard on January 1, 2022. The adoption of this standard did not have a material impact on our consolidated financial statements for the period ended December 31, 2022.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In February 2016, the Financial Accounting Standards Board (“FASB”) issued Accounting Standards Update (“ASU”) 2016-02, </w:t>
      </w:r>
      <w:r>
        <w:rPr>
          <w:rFonts w:ascii="Times New Roman;sans-serif" w:hAnsi="Times New Roman;sans-serif"/>
          <w:b w:val="false"/>
          <w:i/>
          <w:color w:val="000000"/>
          <w:sz w:val="20"/>
        </w:rPr>
        <w:t>Leases (Topic 842)</w:t>
      </w:r>
      <w:r>
        <w:rPr>
          <w:rFonts w:ascii="Times New Roman;sans-serif" w:hAnsi="Times New Roman;sans-serif"/>
          <w:b w:val="false"/>
          <w:color w:val="000000"/>
          <w:sz w:val="20"/>
        </w:rPr>
        <w:t xml:space="preserve">. FASB issued ASU 2016-02 to increase transparency and comparability among organizations by recognizing lease assets and lease liabilities on the balance sheet and disclosing key information about leasing arrangements. Certain qualitative and quantitative disclosures are required, as well as a retrospective recognition and measurement of impacted leases. In June 2020, FASB issued ASU 2020-05, </w:t>
      </w:r>
      <w:r>
        <w:rPr>
          <w:rFonts w:ascii="Times New Roman;sans-serif" w:hAnsi="Times New Roman;sans-serif"/>
          <w:b w:val="false"/>
          <w:i/>
          <w:color w:val="000000"/>
          <w:sz w:val="20"/>
        </w:rPr>
        <w:t>Revenue from Contracts with Customers (Topic 606) and Leases (Topic 842): Deferral of the Effective Dates for Certain Entities</w:t>
      </w:r>
      <w:r>
        <w:rPr>
          <w:rFonts w:ascii="Times New Roman;sans-serif" w:hAnsi="Times New Roman;sans-serif"/>
          <w:b w:val="false"/>
          <w:color w:val="000000"/>
          <w:sz w:val="20"/>
        </w:rPr>
        <w:t xml:space="preserve">, which deferred the effective date of ASU 2016-02 to annual reporting periods beginning after December 15, 2021, with early adoption permitted. In July 2021, the FASB released Update No. 2021-05 </w:t>
      </w:r>
      <w:r>
        <w:rPr>
          <w:rFonts w:ascii="Times New Roman;sans-serif" w:hAnsi="Times New Roman;sans-serif"/>
          <w:b w:val="false"/>
          <w:i/>
          <w:color w:val="000000"/>
          <w:sz w:val="20"/>
        </w:rPr>
        <w:t>Lessors—Certain Leases with Variable Lease Payments</w:t>
      </w:r>
      <w:r>
        <w:rPr>
          <w:rFonts w:ascii="Times New Roman;sans-serif" w:hAnsi="Times New Roman;sans-serif"/>
          <w:b w:val="false"/>
          <w:color w:val="000000"/>
          <w:sz w:val="20"/>
        </w:rPr>
        <w:t xml:space="preserve">. The amendments in this update affect lessors with lease contracts that (1) have variable lease payments that do not depend on a reference index or a rate and (2) would have resulted in the recognition of a selling loss at lease commencement if classified as sales-type or direct financing. The amendments in this update amend Topic 842. The amendments are effective for fiscal years beginning after December 15, 2021, for all entities, and interim periods within those fiscal years for public business entities and interim periods within fiscal years beginning after December 15, 2022, for all other entities.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this standard on January 1, 2022. As such, we determine if an arrangement is a lease at inception. The Company recognizes a right-of-use (ROU) asset and a lease liability for operating and finance leases by recognizing and measuring leases at the commencement date based on the present value of lease payments over the lease term. The Company does not have any sales-type leases, for which the book value of the leased asset would be removed from the balance sheet and a net investment in sales-type lease would be recognized based on fixed payments under the contract and the residual value of the asset being leased. The Company has elected not to apply the recognition requirements to short-term leases and not to separate nonlease components from associated lease components for all classes of underlying assets. ROU assets are included in non-current assets and lease liabilities are included in current and non-current liabilities on the Company’s consolidated balance sheets. Operating lease expense is included in general and administrative expense on SpringBig’s consolidated statements of operations.</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Recent Accounting Pronouncements Not Yet Adopted</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In June 2016, FASB issued ASU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xml:space="preserve">, to revise the criteria for the measurement, recognition, and reporting of credit losses on financial instruments to be recognized when expected. In November 2019, FASB issued ASU 2019-10, </w:t>
      </w:r>
      <w:r>
        <w:rPr>
          <w:rFonts w:ascii="Times New Roman;sans-serif" w:hAnsi="Times New Roman;sans-serif"/>
          <w:b w:val="false"/>
          <w:i/>
          <w:color w:val="000000"/>
          <w:sz w:val="20"/>
        </w:rPr>
        <w:t>Financial Instruments—Credit Losses (Topic 326), Derivatives and Hedging (Topic 815), and Leases (Topic 842)</w:t>
      </w:r>
      <w:r>
        <w:rPr>
          <w:rFonts w:ascii="Times New Roman;sans-serif" w:hAnsi="Times New Roman;sans-serif"/>
          <w:b w:val="false"/>
          <w:color w:val="000000"/>
          <w:sz w:val="20"/>
        </w:rPr>
        <w:t xml:space="preserve">, which deferred the effective date of ASU 2016-13 to annual reporting periods beginning after December 15, 2022, with early adoption permitted. Management is currently evaluating the impact of adopting this standard </w:t>
      </w:r>
      <w:r>
        <w:rPr>
          <w:rFonts w:ascii="Times New Roman;sans-serif" w:hAnsi="Times New Roman;sans-serif"/>
          <w:b w:val="false"/>
          <w:color w:val="000000"/>
          <w:sz w:val="20"/>
          <w:highlight w:val="white"/>
        </w:rPr>
        <w:t>on our financial condition and results of operations</w:t>
      </w:r>
      <w:r>
        <w:rPr>
          <w:rFonts w:ascii="Times New Roman;sans-serif" w:hAnsi="Times New Roman;sans-serif"/>
          <w:b w:val="false"/>
          <w:color w:val="000000"/>
          <w:sz w:val="20"/>
        </w:rPr>
        <w:t>.</w:t>
      </w:r>
    </w:p>
    <w:p>
      <w:pPr>
        <w:pStyle w:val="TextBody"/>
        <w:spacing w:before="0" w:after="0"/>
        <w:ind w:left="0" w:right="0" w:firstLine="360"/>
        <w:jc w:val="both"/>
        <w:rPr/>
      </w:pPr>
      <w:r>
        <w:rPr/>
      </w:r>
    </w:p>
    <w:p>
      <w:pPr>
        <w:pStyle w:val="TextBody"/>
        <w:spacing w:lineRule="auto" w:line="244" w:before="0" w:after="0"/>
        <w:ind w:left="0" w:right="0" w:firstLine="360"/>
        <w:jc w:val="both"/>
        <w:rPr/>
      </w:pPr>
      <w:r>
        <w:rPr>
          <w:rFonts w:ascii="Times New Roman;sans-serif" w:hAnsi="Times New Roman;sans-serif"/>
          <w:b w:val="false"/>
          <w:color w:val="000000"/>
          <w:sz w:val="20"/>
        </w:rPr>
        <w:t xml:space="preserve">In October 2021, the FASB issued ASU 2021-08 - </w:t>
      </w:r>
      <w:r>
        <w:rPr>
          <w:rFonts w:ascii="Times New Roman;sans-serif" w:hAnsi="Times New Roman;sans-serif"/>
          <w:b w:val="false"/>
          <w:i/>
          <w:color w:val="000000"/>
          <w:sz w:val="20"/>
        </w:rPr>
        <w:t>Business Combinations (Topic 805): Accounting for Contract Assets and Contract Liabilities from Contracts with Customer</w:t>
      </w:r>
      <w:r>
        <w:rPr>
          <w:rFonts w:ascii="Times New Roman;sans-serif" w:hAnsi="Times New Roman;sans-serif"/>
          <w:b w:val="false"/>
          <w:color w:val="000000"/>
          <w:sz w:val="20"/>
        </w:rPr>
        <w:t xml:space="preserve">s. The amendments in this update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For public business entities, the amendments in this update are effective for fiscal years beginning after December 15, 2022, including interim periods within those fiscal years. The amendments in this update should be applied prospectively to business combinations occurring on or after the effective date of the amendments. Early adoption of the amendments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Management is currently evaluating the impact of adopting this standard </w:t>
      </w:r>
      <w:r>
        <w:rPr>
          <w:rFonts w:ascii="Times New Roman;sans-serif" w:hAnsi="Times New Roman;sans-serif"/>
          <w:b w:val="false"/>
          <w:color w:val="333333"/>
          <w:sz w:val="20"/>
          <w:highlight w:val="white"/>
        </w:rPr>
        <w:t>on our financial condition and results of operations</w:t>
      </w:r>
      <w:r>
        <w:rPr>
          <w:rFonts w:ascii="Times New Roman;sans-serif" w:hAnsi="Times New Roman;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ACCOUNTS RECEIVABLE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(in thousands):</w:t>
      </w:r>
    </w:p>
    <w:p>
      <w:pPr>
        <w:pStyle w:val="TextBody"/>
        <w:spacing w:before="0" w:after="0"/>
        <w:ind w:left="0" w:right="0" w:firstLine="360"/>
        <w:jc w:val="both"/>
        <w:rPr/>
      </w:pPr>
      <w:r>
        <w:rPr/>
      </w:r>
    </w:p>
    <w:tbl>
      <w:tblPr>
        <w:tblW w:w="5705" w:type="dxa"/>
        <w:jc w:val="left"/>
        <w:tblInd w:w="0" w:type="dxa"/>
        <w:tblCellMar>
          <w:top w:w="28" w:type="dxa"/>
          <w:left w:w="28" w:type="dxa"/>
          <w:bottom w:w="28" w:type="dxa"/>
          <w:right w:w="28" w:type="dxa"/>
        </w:tblCellMar>
      </w:tblPr>
      <w:tblGrid>
        <w:gridCol w:w="1135"/>
        <w:gridCol w:w="998"/>
        <w:gridCol w:w="1001"/>
        <w:gridCol w:w="109"/>
        <w:gridCol w:w="109"/>
        <w:gridCol w:w="109"/>
        <w:gridCol w:w="211"/>
        <w:gridCol w:w="616"/>
        <w:gridCol w:w="109"/>
        <w:gridCol w:w="109"/>
        <w:gridCol w:w="109"/>
        <w:gridCol w:w="109"/>
        <w:gridCol w:w="211"/>
        <w:gridCol w:w="616"/>
        <w:gridCol w:w="154"/>
      </w:tblGrid>
      <w:tr>
        <w:trPr/>
        <w:tc>
          <w:tcPr>
            <w:tcW w:w="1135"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Bad debt expense was $1.5 million and $216,000 for the years ending December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4 – PREPAID EXPENSES AND OTHER CURRENT ASSETS</w:t>
      </w:r>
    </w:p>
    <w:p>
      <w:pPr>
        <w:pStyle w:val="TextBody"/>
        <w:spacing w:before="0" w:after="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4431" w:type="dxa"/>
        <w:jc w:val="left"/>
        <w:tblInd w:w="0" w:type="dxa"/>
        <w:tblCellMar>
          <w:top w:w="28" w:type="dxa"/>
          <w:left w:w="28" w:type="dxa"/>
          <w:bottom w:w="28" w:type="dxa"/>
          <w:right w:w="28" w:type="dxa"/>
        </w:tblCellMar>
      </w:tblPr>
      <w:tblGrid>
        <w:gridCol w:w="727"/>
        <w:gridCol w:w="641"/>
        <w:gridCol w:w="642"/>
        <w:gridCol w:w="109"/>
        <w:gridCol w:w="109"/>
        <w:gridCol w:w="109"/>
        <w:gridCol w:w="211"/>
        <w:gridCol w:w="616"/>
        <w:gridCol w:w="109"/>
        <w:gridCol w:w="109"/>
        <w:gridCol w:w="109"/>
        <w:gridCol w:w="109"/>
        <w:gridCol w:w="211"/>
        <w:gridCol w:w="466"/>
        <w:gridCol w:w="154"/>
      </w:tblGrid>
      <w:tr>
        <w:trPr/>
        <w:tc>
          <w:tcPr>
            <w:tcW w:w="727"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5 – PROPERTY AND EQUIPMENT</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(in thousands):</w:t>
      </w:r>
    </w:p>
    <w:p>
      <w:pPr>
        <w:pStyle w:val="TextBody"/>
        <w:spacing w:before="0" w:after="0"/>
        <w:ind w:left="0" w:right="0" w:firstLine="360"/>
        <w:jc w:val="both"/>
        <w:rPr/>
      </w:pPr>
      <w:r>
        <w:rPr/>
      </w:r>
    </w:p>
    <w:tbl>
      <w:tblPr>
        <w:tblW w:w="6321" w:type="dxa"/>
        <w:jc w:val="left"/>
        <w:tblInd w:w="0" w:type="dxa"/>
        <w:tblCellMar>
          <w:top w:w="28" w:type="dxa"/>
          <w:left w:w="28" w:type="dxa"/>
          <w:bottom w:w="28" w:type="dxa"/>
          <w:right w:w="28" w:type="dxa"/>
        </w:tblCellMar>
      </w:tblPr>
      <w:tblGrid>
        <w:gridCol w:w="1467"/>
        <w:gridCol w:w="1287"/>
        <w:gridCol w:w="1296"/>
        <w:gridCol w:w="109"/>
        <w:gridCol w:w="109"/>
        <w:gridCol w:w="109"/>
        <w:gridCol w:w="211"/>
        <w:gridCol w:w="466"/>
        <w:gridCol w:w="109"/>
        <w:gridCol w:w="109"/>
        <w:gridCol w:w="109"/>
        <w:gridCol w:w="109"/>
        <w:gridCol w:w="211"/>
        <w:gridCol w:w="466"/>
        <w:gridCol w:w="154"/>
      </w:tblGrid>
      <w:tr>
        <w:trPr/>
        <w:tc>
          <w:tcPr>
            <w:tcW w:w="146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&amp; Fixtures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 warehouse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useful life of computer equipment, furniture and fixtures, software and the data warehouse is 3 years. </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for the years ended December 31, 2022 and 2021 were $259,000 and $173,000, respectively. The amounts are included in general and administrative expenses in the consolidated statements of operations.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6 – CONVERTIBLE NOTE RECEIVABLE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purchased $250,000 in aggregate principal amount of convertible promissory note due April 1, 2026 (the “Convertible Note Receivable”).</w: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 Receivable accrues interest at the rate of 5% per annum on the principal amount of the Convertible Note Receivable. The issuer may not prepay the note prior to its maturity date without the consent of the Company. The Convertible Note Receivable is convertible into common stock of the issuer, and the conversion price is based on the occurrence of certain actions by the issuer.</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earned $9,000 in interest income on the Convertible Note Receivable for the year ended December 31, 2022.</w:t>
      </w:r>
    </w:p>
    <w:p>
      <w:pPr>
        <w:pStyle w:val="TextBody"/>
        <w:spacing w:before="0" w:after="0"/>
        <w:ind w:left="0" w:right="0" w:firstLine="40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ACCRUED EXPENSES AND OTHER LIABILITIES</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 (in thousands):</w:t>
      </w:r>
    </w:p>
    <w:p>
      <w:pPr>
        <w:pStyle w:val="TextBody"/>
        <w:spacing w:before="0" w:after="0"/>
        <w:rPr/>
      </w:pPr>
      <w:r>
        <w:rPr/>
      </w:r>
    </w:p>
    <w:tbl>
      <w:tblPr>
        <w:tblW w:w="5855" w:type="dxa"/>
        <w:jc w:val="left"/>
        <w:tblInd w:w="0" w:type="dxa"/>
        <w:tblCellMar>
          <w:top w:w="28" w:type="dxa"/>
          <w:left w:w="28" w:type="dxa"/>
          <w:bottom w:w="28" w:type="dxa"/>
          <w:right w:w="28" w:type="dxa"/>
        </w:tblCellMar>
      </w:tblPr>
      <w:tblGrid>
        <w:gridCol w:w="1188"/>
        <w:gridCol w:w="1044"/>
        <w:gridCol w:w="1052"/>
        <w:gridCol w:w="109"/>
        <w:gridCol w:w="109"/>
        <w:gridCol w:w="109"/>
        <w:gridCol w:w="211"/>
        <w:gridCol w:w="616"/>
        <w:gridCol w:w="109"/>
        <w:gridCol w:w="109"/>
        <w:gridCol w:w="109"/>
        <w:gridCol w:w="109"/>
        <w:gridCol w:w="211"/>
        <w:gridCol w:w="616"/>
        <w:gridCol w:w="154"/>
      </w:tblGrid>
      <w:tr>
        <w:trPr/>
        <w:tc>
          <w:tcPr>
            <w:tcW w:w="1188"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commission and bonus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advisory fees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8 - RELATED PARTY TRANSACTIONS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software development and information technology related costs to a vendor related through common ownership to a major stockholder of approximately $153,000 and $408,000 for the years ended December 31, 2022 and 2021, respectively. These amounts are included in technology and software development expenses. At December 31, 2022 and 2021, the Company has recorded $3,000 and $4,000, respectively, in accounts payable related to this related party vendor.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9 – BUSINESS COMBINATIONS</w: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Reverse Merger</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between Tuatara and Legacy SpringBig was consummated on June 14, 2022. Holders of an aggregate of 19,123,806 Class A ordinary shares of Tuatara sold in its initial public offering properly exercised their right to have such shares redeemed for a full pro rata portion of the trust account holding the proceeds from Tuatara’s IPO, which was approximately $10.01 per share, or $191,437,817 in the aggregate. The holders that did not elect to have their shares redeemed, received, following the domestication, additional shares of common stock which amounted to 876,194 shares of common stock, resulting in total shares of 1,752,388.</w:t>
      </w:r>
    </w:p>
    <w:p>
      <w:pPr>
        <w:pStyle w:val="TextBody"/>
        <w:spacing w:before="0" w:after="0"/>
        <w:ind w:left="0" w:right="0" w:firstLine="403"/>
        <w:jc w:val="both"/>
        <w:rPr/>
      </w:pPr>
      <w:r>
        <w:rPr/>
      </w:r>
    </w:p>
    <w:p>
      <w:pPr>
        <w:pStyle w:val="TextBody"/>
        <w:spacing w:lineRule="auto" w:line="268" w:before="0" w:after="0"/>
        <w:ind w:left="0" w:right="0" w:firstLine="360"/>
        <w:jc w:val="both"/>
        <w:rPr/>
      </w:pPr>
      <w:r>
        <w:rPr>
          <w:rFonts w:ascii="Times New Roman;sans-serif" w:hAnsi="Times New Roman;sans-serif"/>
          <w:b w:val="false"/>
          <w:color w:val="222222"/>
          <w:sz w:val="20"/>
        </w:rPr>
        <w:t>Beginning June 15, 2022, the ticker symbols for TCAC’s common stock and warrants were ch</w:t>
      </w:r>
      <w:r>
        <w:rPr>
          <w:rFonts w:ascii="Times New Roman;sans-serif" w:hAnsi="Times New Roman;sans-serif"/>
          <w:b w:val="false"/>
          <w:color w:val="222222"/>
          <w:sz w:val="20"/>
          <w:highlight w:val="white"/>
        </w:rPr>
        <w:t>anged to “SBIG” and “SBIGW,” respectively, and commenced trading on The Nasdaq Global Market.</w:t>
      </w:r>
      <w:r>
        <w:rPr>
          <w:color w:val="222222"/>
        </w:rPr>
        <w:t xml:space="preserve"> </w:t>
      </w:r>
      <w:r>
        <w:rPr>
          <w:rFonts w:ascii="Times New Roman;sans-serif" w:hAnsi="Times New Roman;sans-serif"/>
          <w:b w:val="false"/>
          <w:color w:val="222222"/>
          <w:sz w:val="20"/>
          <w:highlight w:val="white"/>
        </w:rPr>
        <w:t xml:space="preserve">The Company received net proceeds of </w:t>
      </w:r>
      <w:r>
        <w:rPr>
          <w:rFonts w:ascii="Times New Roman;sans-serif" w:hAnsi="Times New Roman;sans-serif"/>
          <w:b w:val="false"/>
          <w:color w:val="000000"/>
          <w:sz w:val="20"/>
        </w:rPr>
        <w:t>$18.8 million</w:t>
      </w:r>
      <w:r>
        <w:rPr>
          <w:rFonts w:ascii="Times New Roman;sans-serif" w:hAnsi="Times New Roman;sans-serif"/>
          <w:b w:val="false"/>
          <w:color w:val="222222"/>
          <w:sz w:val="20"/>
          <w:highlight w:val="white"/>
        </w:rPr>
        <w:t xml:space="preserve">, with gross proceeds of </w:t>
      </w:r>
      <w:r>
        <w:rPr>
          <w:rFonts w:ascii="Times New Roman;sans-serif" w:hAnsi="Times New Roman;sans-serif"/>
          <w:b w:val="false"/>
          <w:color w:val="000000"/>
          <w:sz w:val="20"/>
        </w:rPr>
        <w:t>$25.1 million</w:t>
      </w:r>
      <w:r>
        <w:rPr>
          <w:rFonts w:ascii="Times New Roman;sans-serif" w:hAnsi="Times New Roman;sans-serif"/>
          <w:b w:val="false"/>
          <w:color w:val="222222"/>
          <w:sz w:val="20"/>
          <w:highlight w:val="white"/>
        </w:rPr>
        <w:t xml:space="preserve">, in addition to the </w:t>
      </w:r>
      <w:r>
        <w:rPr>
          <w:rFonts w:ascii="Times New Roman;sans-serif" w:hAnsi="Times New Roman;sans-serif"/>
          <w:b w:val="false"/>
          <w:color w:val="000000"/>
          <w:sz w:val="20"/>
        </w:rPr>
        <w:t>$7.0 million</w:t>
      </w:r>
      <w:r>
        <w:rPr>
          <w:color w:val="222222"/>
          <w:highlight w:val="white"/>
        </w:rPr>
        <w:t xml:space="preserve"> </w:t>
      </w:r>
      <w:r>
        <w:rPr>
          <w:rFonts w:ascii="Times New Roman;sans-serif" w:hAnsi="Times New Roman;sans-serif"/>
          <w:b w:val="false"/>
          <w:color w:val="222222"/>
          <w:sz w:val="20"/>
          <w:highlight w:val="white"/>
        </w:rPr>
        <w:t xml:space="preserve">Convertible Notes which were issued in February 2022 and were converted into common stock at the Closing, see </w:t>
      </w:r>
      <w:r>
        <w:rPr>
          <w:rFonts w:ascii="Times New Roman;sans-serif" w:hAnsi="Times New Roman;sans-serif"/>
          <w:b w:val="false"/>
          <w:color w:val="222222"/>
          <w:sz w:val="20"/>
        </w:rPr>
        <w:t>Note 10</w:t>
      </w:r>
      <w:r>
        <w:rPr>
          <w:rFonts w:ascii="Times New Roman;sans-serif" w:hAnsi="Times New Roman;sans-serif"/>
          <w:b w:val="false"/>
          <w:color w:val="222222"/>
          <w:sz w:val="20"/>
          <w:highlight w:val="white"/>
        </w:rPr>
        <w:t xml:space="preserve">, 15% Convertible Promissory Notes, to these consolidated financial statements for further information. Of the amounts received, approximately </w:t>
      </w:r>
      <w:r>
        <w:rPr>
          <w:rFonts w:ascii="Times New Roman;sans-serif" w:hAnsi="Times New Roman;sans-serif"/>
          <w:b w:val="false"/>
          <w:color w:val="000000"/>
          <w:sz w:val="20"/>
        </w:rPr>
        <w:t>$8.8 million</w:t>
      </w:r>
      <w:r>
        <w:rPr>
          <w:color w:val="222222"/>
          <w:highlight w:val="white"/>
        </w:rPr>
        <w:t xml:space="preserve"> </w:t>
      </w:r>
      <w:r>
        <w:rPr>
          <w:rFonts w:ascii="Times New Roman;sans-serif" w:hAnsi="Times New Roman;sans-serif"/>
          <w:b w:val="false"/>
          <w:color w:val="222222"/>
          <w:sz w:val="20"/>
          <w:highlight w:val="white"/>
        </w:rPr>
        <w:t xml:space="preserve">represents remaining funds for unredeemed shares from the TCAC trust; </w:t>
      </w:r>
      <w:r>
        <w:rPr>
          <w:rFonts w:ascii="Times New Roman;sans-serif" w:hAnsi="Times New Roman;sans-serif"/>
          <w:b w:val="false"/>
          <w:color w:val="000000"/>
          <w:sz w:val="20"/>
        </w:rPr>
        <w:t>$6.1 million</w:t>
      </w:r>
      <w:r>
        <w:rPr>
          <w:color w:val="222222"/>
          <w:highlight w:val="white"/>
        </w:rPr>
        <w:t xml:space="preserve"> </w:t>
      </w:r>
      <w:r>
        <w:rPr>
          <w:rFonts w:ascii="Times New Roman;sans-serif" w:hAnsi="Times New Roman;sans-serif"/>
          <w:b w:val="false"/>
          <w:color w:val="222222"/>
          <w:sz w:val="20"/>
          <w:highlight w:val="white"/>
        </w:rPr>
        <w:t xml:space="preserve">from PIPE Financing proceeds and </w:t>
      </w:r>
      <w:r>
        <w:rPr>
          <w:rFonts w:ascii="Times New Roman;sans-serif" w:hAnsi="Times New Roman;sans-serif"/>
          <w:b w:val="false"/>
          <w:color w:val="000000"/>
          <w:sz w:val="20"/>
        </w:rPr>
        <w:t>$10.0 million</w:t>
      </w:r>
      <w:r>
        <w:rPr>
          <w:color w:val="222222"/>
          <w:highlight w:val="white"/>
        </w:rPr>
        <w:t xml:space="preserve"> </w:t>
      </w:r>
      <w:r>
        <w:rPr>
          <w:rFonts w:ascii="Times New Roman;sans-serif" w:hAnsi="Times New Roman;sans-serif"/>
          <w:b w:val="false"/>
          <w:color w:val="222222"/>
          <w:sz w:val="20"/>
          <w:highlight w:val="white"/>
        </w:rPr>
        <w:t xml:space="preserve">from the Secured Convertible Note. On consummation of the Business Combination, Legacy SpringBig options were converted into options of SpringBig as disclosed in Note 16. </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On April 29, 2022, the Company entered into the Stock Purchase Agreement with Cantor, which was subsequently amended on July 20, 2022. The Company, in its sole discretion, shall have the right, but not the obligation, to issue and sell to Cantor, and Cantor shall purchase from the Company, up to </w:t>
      </w:r>
      <w:r>
        <w:rPr>
          <w:rFonts w:ascii="Times New Roman;sans-serif" w:hAnsi="Times New Roman;sans-serif"/>
          <w:b w:val="false"/>
          <w:color w:val="222222"/>
          <w:sz w:val="20"/>
          <w:highlight w:val="white"/>
        </w:rPr>
        <w:t>$50.0 million</w:t>
      </w:r>
      <w:r>
        <w:rPr>
          <w:color w:val="000000"/>
        </w:rPr>
        <w:t xml:space="preserve"> </w:t>
      </w:r>
      <w:r>
        <w:rPr>
          <w:rFonts w:ascii="Times New Roman;sans-serif" w:hAnsi="Times New Roman;sans-serif"/>
          <w:b w:val="false"/>
          <w:color w:val="000000"/>
          <w:sz w:val="20"/>
        </w:rPr>
        <w:t>of common shares, par value $0.0001 per share, subject to certain terms and conditions. During the three months ended September 30, 2022, the Company issued 877,193 shares to satisfy a $1.5 million commitment fee for the Cantor Equity Facility.</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significant sources and uses of cash related to the closing of the business combination on June 14, 2022, (in thousands):</w:t>
      </w:r>
    </w:p>
    <w:p>
      <w:pPr>
        <w:pStyle w:val="TextBody"/>
        <w:spacing w:before="0" w:after="0"/>
        <w:ind w:left="0" w:right="0" w:firstLine="403"/>
        <w:jc w:val="both"/>
        <w:rPr/>
      </w:pPr>
      <w:r>
        <w:rPr/>
      </w:r>
    </w:p>
    <w:tbl>
      <w:tblPr>
        <w:tblW w:w="7877" w:type="dxa"/>
        <w:jc w:val="left"/>
        <w:tblInd w:w="0" w:type="dxa"/>
        <w:tblCellMar>
          <w:top w:w="28" w:type="dxa"/>
          <w:left w:w="28" w:type="dxa"/>
          <w:bottom w:w="28" w:type="dxa"/>
          <w:right w:w="28" w:type="dxa"/>
        </w:tblCellMar>
      </w:tblPr>
      <w:tblGrid>
        <w:gridCol w:w="2343"/>
        <w:gridCol w:w="2058"/>
        <w:gridCol w:w="2063"/>
        <w:gridCol w:w="109"/>
        <w:gridCol w:w="109"/>
        <w:gridCol w:w="109"/>
        <w:gridCol w:w="211"/>
        <w:gridCol w:w="721"/>
        <w:gridCol w:w="154"/>
      </w:tblGrid>
      <w:tr>
        <w:trPr/>
        <w:tc>
          <w:tcPr>
            <w:tcW w:w="2343"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available after paying TCAC redeeming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convertible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PIPE Financing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operating account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proceeds available at closing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paid at closing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to Legacy SpringBig at closing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 closing expense (cash paid or accrued for expenses by Legacy SpringBig)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after closing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TextBody"/>
        <w:spacing w:before="0" w:after="0"/>
        <w:ind w:left="0" w:right="0" w:firstLine="403"/>
        <w:jc w:val="both"/>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common shares related to the business combination transaction:</w:t>
      </w:r>
    </w:p>
    <w:p>
      <w:pPr>
        <w:pStyle w:val="TextBody"/>
        <w:spacing w:before="0" w:after="0"/>
        <w:ind w:left="0" w:right="0" w:firstLine="403"/>
        <w:jc w:val="both"/>
        <w:rPr/>
      </w:pPr>
      <w:r>
        <w:rPr/>
      </w:r>
    </w:p>
    <w:tbl>
      <w:tblPr>
        <w:tblW w:w="4546" w:type="dxa"/>
        <w:jc w:val="left"/>
        <w:tblInd w:w="0" w:type="dxa"/>
        <w:tblCellMar>
          <w:top w:w="28" w:type="dxa"/>
          <w:left w:w="28" w:type="dxa"/>
          <w:bottom w:w="28" w:type="dxa"/>
          <w:right w:w="28" w:type="dxa"/>
        </w:tblCellMar>
      </w:tblPr>
      <w:tblGrid>
        <w:gridCol w:w="1080"/>
        <w:gridCol w:w="950"/>
        <w:gridCol w:w="954"/>
        <w:gridCol w:w="109"/>
        <w:gridCol w:w="109"/>
        <w:gridCol w:w="109"/>
        <w:gridCol w:w="540"/>
        <w:gridCol w:w="541"/>
        <w:gridCol w:w="154"/>
      </w:tblGrid>
      <w:tr>
        <w:trPr/>
        <w:tc>
          <w:tcPr>
            <w:tcW w:w="108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non-redeeming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Investors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sponsor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SpringBig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25,290,270 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03"/>
        <w:jc w:val="both"/>
        <w:rPr/>
      </w:pPr>
      <w:r>
        <w:rPr/>
      </w:r>
    </w:p>
    <w:p>
      <w:pPr>
        <w:pStyle w:val="TextBody"/>
        <w:spacing w:lineRule="auto" w:line="268" w:before="0" w:after="0"/>
        <w:ind w:left="0" w:right="0" w:firstLine="403"/>
        <w:jc w:val="both"/>
        <w:rPr/>
      </w:pPr>
      <w:r>
        <w:rPr>
          <w:rFonts w:ascii="Times New Roman;sans-serif" w:hAnsi="Times New Roman;sans-serif"/>
          <w:b w:val="false"/>
          <w:color w:val="000000"/>
          <w:sz w:val="20"/>
        </w:rPr>
        <w:t xml:space="preserve">Of the 1,341,356 shares of common stock shown above, 730,493 shares were issued to holders of the Convertible Note (which was converted at Closing), representing repayment of principal of </w:t>
      </w:r>
      <w:r>
        <w:rPr>
          <w:rFonts w:ascii="Times New Roman;sans-serif" w:hAnsi="Times New Roman;sans-serif"/>
          <w:b w:val="false"/>
          <w:color w:val="222222"/>
          <w:sz w:val="20"/>
          <w:highlight w:val="white"/>
        </w:rPr>
        <w:t>$7.0 million</w:t>
      </w:r>
      <w:r>
        <w:rPr>
          <w:color w:val="000000"/>
        </w:rPr>
        <w:t xml:space="preserve"> </w:t>
      </w:r>
      <w:r>
        <w:rPr>
          <w:rFonts w:ascii="Times New Roman;sans-serif" w:hAnsi="Times New Roman;sans-serif"/>
          <w:b w:val="false"/>
          <w:color w:val="000000"/>
          <w:sz w:val="20"/>
        </w:rPr>
        <w:t xml:space="preserve">and outstanding interest of $305,000, in accordance with the terms of the Convertible Notes. See Note 10, 15% Convertible Promissory Note, </w:t>
      </w:r>
      <w:r>
        <w:rPr>
          <w:rFonts w:ascii="Times New Roman;sans-serif" w:hAnsi="Times New Roman;sans-serif"/>
          <w:b w:val="false"/>
          <w:color w:val="222222"/>
          <w:sz w:val="20"/>
          <w:highlight w:val="white"/>
        </w:rPr>
        <w:t>to these consolidated financial statements for further information</w:t>
      </w:r>
      <w:r>
        <w:rPr>
          <w:rFonts w:ascii="Times New Roman;sans-serif" w:hAnsi="Times New Roman;sans-serif"/>
          <w:b w:val="false"/>
          <w:color w:val="000000"/>
          <w:sz w:val="20"/>
        </w:rPr>
        <w:t xml:space="preserve">. </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Acquisition of Beaches Development Group Ltd</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Legacy SpringBig formed Medici Canada LLC, an indirect wholly owned subsidiary of the Company, to acquire all the issued and outstanding capital stock of Beaches Development Group LTD, an Ontario corporation, pursuant to a stock purchase agreement. </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consideration paid in connection with this transaction was satisfied through the issuance of 107,296 shares of the Company’s common stock, par value $0.0001 per share (180,972 converted at a conversion rate of 0.59289 into SpringBig Holdings, Inc. shares), valued at $135,000 plus cash consideration of $155,000.</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allocation is as follows (in thousands):</w:t>
      </w:r>
    </w:p>
    <w:p>
      <w:pPr>
        <w:pStyle w:val="TextBody"/>
        <w:spacing w:before="0" w:after="0"/>
        <w:ind w:left="0" w:right="0" w:firstLine="403"/>
        <w:jc w:val="both"/>
        <w:rPr/>
      </w:pPr>
      <w:r>
        <w:rPr/>
      </w:r>
    </w:p>
    <w:tbl>
      <w:tblPr>
        <w:tblW w:w="4982" w:type="dxa"/>
        <w:jc w:val="left"/>
        <w:tblInd w:w="0" w:type="dxa"/>
        <w:tblCellMar>
          <w:top w:w="28" w:type="dxa"/>
          <w:left w:w="28" w:type="dxa"/>
          <w:bottom w:w="28" w:type="dxa"/>
          <w:right w:w="28" w:type="dxa"/>
        </w:tblCellMar>
      </w:tblPr>
      <w:tblGrid>
        <w:gridCol w:w="1385"/>
        <w:gridCol w:w="1216"/>
        <w:gridCol w:w="1223"/>
        <w:gridCol w:w="109"/>
        <w:gridCol w:w="109"/>
        <w:gridCol w:w="109"/>
        <w:gridCol w:w="211"/>
        <w:gridCol w:w="466"/>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Post combination cost - restricted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 holdback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purchase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assumed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107,296 shares, 39,762 shares with a value of approximately $50,000 were issued to the sellers at the closing of the transaction. Two of the sellers signed employment contracts with Beaches Development Group LTD; 67,535 shares were allocated to them as purchase consideration with a value of $85,000 and were unvested as of the closing date of the acquisition (the “acquisition date”). Such unvested shares were scheduled to vest, over a two-year period, with 50% in the first year and the remaining 50% in the second year following the acquisition date. As a result, the shares were treated as post-combination expense and were restricted at the time of issuance. All unvested shares were subsequently vested with the consummation of the business combination on June 14, 2022. </w:t>
      </w:r>
    </w:p>
    <w:p>
      <w:pPr>
        <w:pStyle w:val="TextBody"/>
        <w:spacing w:before="0" w:after="0"/>
        <w:ind w:left="0" w:right="0" w:firstLine="403"/>
        <w:jc w:val="both"/>
        <w:rPr/>
      </w:pPr>
      <w:r>
        <w:rPr/>
      </w:r>
    </w:p>
    <w:p>
      <w:pPr>
        <w:pStyle w:val="TextBody"/>
        <w:spacing w:lineRule="auto" w:line="268" w:before="0" w:after="0"/>
        <w:ind w:left="0" w:right="0" w:firstLine="403"/>
        <w:jc w:val="both"/>
        <w:rPr/>
      </w:pPr>
      <w:r>
        <w:rPr>
          <w:rFonts w:ascii="Times New Roman;sans-serif" w:hAnsi="Times New Roman;sans-serif"/>
          <w:b w:val="false"/>
          <w:color w:val="000000"/>
          <w:sz w:val="20"/>
        </w:rPr>
        <w:t>Approximately $23,000 of the cash price was initially withheld as an indemnity holdback to offset any losses payable by the Company for a period of 12 months, any remaining indemnity to be released to the seller’s representative.</w:t>
      </w:r>
      <w:r>
        <w:rPr>
          <w:color w:val="2D2D2D"/>
        </w:rPr>
        <w:t xml:space="preserve"> </w:t>
      </w:r>
      <w:r>
        <w:rPr>
          <w:rFonts w:ascii="Times New Roman;sans-serif" w:hAnsi="Times New Roman;sans-serif"/>
          <w:b w:val="false"/>
          <w:color w:val="000000"/>
          <w:sz w:val="20"/>
        </w:rPr>
        <w:t>The indemnity holdback was paid to the seller during the year ended December 31, 2022.</w:t>
      </w:r>
    </w:p>
    <w:p>
      <w:pPr>
        <w:pStyle w:val="TextBody"/>
        <w:spacing w:before="0" w:after="0"/>
        <w:ind w:left="0" w:right="0" w:firstLine="403"/>
        <w:jc w:val="both"/>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Medici Canada LLC assumed cash totaling $9,000; this was the only tangible asset assumed at purchase, no liabilities assumed. The purchase price was allocated to the cash assumed with the excess of $196,000 allocated to software intangible assets and is included under property and equipment in the Company’s balance sheet as of December 31, 2022 and December 31, 2021. The Company adopted a cost to replace valuation approach in ascertaining the value of the software.</w: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Software intangible assets are being amortized over a three-year period. The Company incurred amortization expense of approximately $65,000 and $60,000, respectively, for the years ended December 31, 2022 and 2021, which is included in general and administrative expenses in the consolidated statement of operation. The aggregate remaining amortization expense is approximately $71,000.</w:t>
      </w:r>
    </w:p>
    <w:p>
      <w:pPr>
        <w:pStyle w:val="TextBody"/>
        <w:spacing w:before="0" w:after="0"/>
        <w:ind w:left="0" w:right="0" w:firstLine="40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10 – 15% CONVERTIBLE PROMISSORY NOTES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issued $7.0 million in aggregate principal amount of convertible promissory notes due September 30, 2022 (the “Convertible Notes”).</w: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accrued interest at the rate of 15% per annum on the principal amount of the Convertible Notes, due and payable at the maturity date of September 30, 2022 (the “Maturity Date”), if not converted prior to the maturity date. Under the terms of such notes, the conversion of the Convertible Notes could be triggered by the closing of the business combination between Tuatara and Legacy SpringBig, the occurrence of the stated maturity date, or in connection with certain equity issuances. The Convertible Notes contained customary events of default such as failures to observe or perform any covenants, obligation, condition or agreement contained in the Convertible Notes and commencement of bankruptcy.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consummation of the business combination, the Convertible Notes and outstanding accrued interest converted in full into 730,493 shares of common stock at a price of $10.00 per share, representing repayment of principal of $7.0 million and outstanding interest of $305,000, in accordance with the terms of the Convertible Notes.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 SENIOR SECURED CONVERTIBLE NOTES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 The Secured Convertible Notes accrue interest at the rate of 6.0% per annum which is payable in cash quarterly in arrears through June 2024. The principal is payable in equal amounts monthly through June 2024 beginning six months after the issuance of the Secured Convertible Notes. The Company may, at its option, satisfy each principal payment either in cash or, if certain conditions set forth in the Secured Convertible Notes are met, by issuing a number of shares of common stock equal to the amount due on such date divided by the lower of (i) the number of shares determined based on at a rate of $12.00 per share or (ii) 93% of the volume-weighted average price prior to such monthly payment date.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warrant representing 586,890 shares of common stock of the Company (the “Convertible Warrant”) with a fair value of $839,000 was also issued in a private placement with the purchaser party thereto. The Convertible Warrant is exercisable for shares of the Company’s common stock at an exercise price of $12.00 per share, subject to certain anti-dilution adjustments. Warrants are classified as equity on SpringBig’s consolidated balance sheet as of December 31, 2022.</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performed a Black-Scholes calculation as of June 14, 2022 to determine the fair value of the Convertible Warrant on such date using a stock price of $4.28, a strike price of $12.00, a risk free rate of 3.61%, annualized volatilty of 65%, and a time to maturity of five years. It was determined that the fair value of the Convertible Warrant on June 14, 2022 was approximately $839,000 as compared to the previously reported fair value of $147,000. Accordingly, SpringBig recorded an adjustment of approximately $692,000 to reduce the carrying value of the L1 Note and increase additional paid-in capital as of June 14, 2022.</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impact of the revision for the two quarters ended June 30 and September 30, 2022, respectively.</w:t>
      </w:r>
    </w:p>
    <w:p>
      <w:pPr>
        <w:pStyle w:val="TextBody"/>
        <w:spacing w:before="0" w:after="0"/>
        <w:ind w:left="0" w:right="0" w:firstLine="360"/>
        <w:jc w:val="both"/>
        <w:rPr/>
      </w:pPr>
      <w:r>
        <w:rPr/>
      </w:r>
    </w:p>
    <w:tbl>
      <w:tblPr>
        <w:tblW w:w="7188" w:type="dxa"/>
        <w:jc w:val="left"/>
        <w:tblInd w:w="0" w:type="dxa"/>
        <w:tblCellMar>
          <w:top w:w="28" w:type="dxa"/>
          <w:left w:w="28" w:type="dxa"/>
          <w:bottom w:w="28" w:type="dxa"/>
          <w:right w:w="28" w:type="dxa"/>
        </w:tblCellMar>
      </w:tblPr>
      <w:tblGrid>
        <w:gridCol w:w="1102"/>
        <w:gridCol w:w="968"/>
        <w:gridCol w:w="974"/>
        <w:gridCol w:w="109"/>
        <w:gridCol w:w="109"/>
        <w:gridCol w:w="109"/>
        <w:gridCol w:w="211"/>
        <w:gridCol w:w="721"/>
        <w:gridCol w:w="109"/>
        <w:gridCol w:w="109"/>
        <w:gridCol w:w="109"/>
        <w:gridCol w:w="109"/>
        <w:gridCol w:w="272"/>
        <w:gridCol w:w="622"/>
        <w:gridCol w:w="142"/>
        <w:gridCol w:w="109"/>
        <w:gridCol w:w="109"/>
        <w:gridCol w:w="109"/>
        <w:gridCol w:w="211"/>
        <w:gridCol w:w="721"/>
        <w:gridCol w:w="154"/>
      </w:tblGrid>
      <w:tr>
        <w:trPr/>
        <w:tc>
          <w:tcPr>
            <w:tcW w:w="1102"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7"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ENDING</w:t>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7550" w:type="dxa"/>
        <w:jc w:val="left"/>
        <w:tblInd w:w="0" w:type="dxa"/>
        <w:tblCellMar>
          <w:top w:w="28" w:type="dxa"/>
          <w:left w:w="28" w:type="dxa"/>
          <w:bottom w:w="28" w:type="dxa"/>
          <w:right w:w="28" w:type="dxa"/>
        </w:tblCellMar>
      </w:tblPr>
      <w:tblGrid>
        <w:gridCol w:w="1102"/>
        <w:gridCol w:w="968"/>
        <w:gridCol w:w="974"/>
        <w:gridCol w:w="109"/>
        <w:gridCol w:w="109"/>
        <w:gridCol w:w="109"/>
        <w:gridCol w:w="252"/>
        <w:gridCol w:w="862"/>
        <w:gridCol w:w="130"/>
        <w:gridCol w:w="109"/>
        <w:gridCol w:w="109"/>
        <w:gridCol w:w="109"/>
        <w:gridCol w:w="272"/>
        <w:gridCol w:w="622"/>
        <w:gridCol w:w="142"/>
        <w:gridCol w:w="109"/>
        <w:gridCol w:w="109"/>
        <w:gridCol w:w="109"/>
        <w:gridCol w:w="242"/>
        <w:gridCol w:w="827"/>
        <w:gridCol w:w="176"/>
      </w:tblGrid>
      <w:tr>
        <w:trPr/>
        <w:tc>
          <w:tcPr>
            <w:tcW w:w="1102"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9"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ENDING</w:t>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Secured Convertible Notes are convertible at the option of the holder beginning at the earlier of (i) the date of effectiveness of a registration statement as contemplated in that certain Registration Rights Agreement entered into between the Company and the purchaser party thereto or (ii) June 14, 2023 at an initial conversion share price of $12.00 per share.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Secured Convertible Notes are secured against substantially all the assets of the Company and each material subsidiary, including Legacy SpringBig.</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Secured Convertible Notes include restrictive covenants that, among other things, limit the ability of the Company </w:t>
      </w:r>
      <w:r>
        <w:rPr>
          <w:rFonts w:ascii="Times New Roman;sans-serif" w:hAnsi="Times New Roman;sans-serif"/>
          <w:b w:val="false"/>
          <w:color w:val="000000"/>
          <w:sz w:val="20"/>
          <w:highlight w:val="white"/>
        </w:rPr>
        <w:t>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issue additional equity (outside of the equity facility with Cantor, issuances under our equity compensation plan and other limited exceptions); enter into variable rate transactions (exclusive of the equity facility with Cantor); and adopt certain amendments to our governing documents, among other restrictions.</w:t>
      </w:r>
      <w:r>
        <w:rPr>
          <w:color w:val="000000"/>
        </w:rPr>
        <w:t xml:space="preserve"> </w:t>
      </w:r>
      <w:r>
        <w:rPr>
          <w:rFonts w:ascii="Times New Roman;sans-serif" w:hAnsi="Times New Roman;sans-serif"/>
          <w:b w:val="false"/>
          <w:color w:val="000000"/>
          <w:sz w:val="20"/>
        </w:rPr>
        <w:t xml:space="preserve">The Secured Convertible Notes also contain customary events of default.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outstanding principal of the Secured Convertible Notes was $9.8 million with a carrying value of $8.3 million, net of discount of $1.5 million.</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$356,000 and $0 of interest expense for the years ended December 31, 2022 and 2021, respectively.</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NOTE 12 – PAYCHECK PROTECTION PROGRAM</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$781,000 from a Paycheck Protection Program (“PPP”) loan on May 1, 2020, through the Small Business Administration (“SBA”) that was made available under the CARES Act in response to the COVID-19 pandemic. On August 11, 2021, the Company received full forgiveness for the PPP loan. The income from forgiveness is included on the consolidated statements of operations for the year ended December 31, 2021.</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 WARRANT LIABILITIES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The Company accounts for the warrants in accordance with the guidance contained in ASC </w:t>
      </w:r>
      <w:r>
        <w:rPr>
          <w:rFonts w:ascii="Times New Roman;sans-serif" w:hAnsi="Times New Roman;sans-serif"/>
          <w:b w:val="false"/>
          <w:i/>
          <w:color w:val="000000"/>
          <w:sz w:val="20"/>
        </w:rPr>
        <w:t>815 Derivatives and Hedging,</w:t>
      </w:r>
      <w:r>
        <w:rPr>
          <w:color w:val="000000"/>
        </w:rPr>
        <w:t xml:space="preserve"> </w:t>
      </w:r>
      <w:r>
        <w:rPr>
          <w:rFonts w:ascii="Times New Roman;sans-serif" w:hAnsi="Times New Roman;sans-serif"/>
          <w:b w:val="false"/>
          <w:color w:val="000000"/>
          <w:sz w:val="20"/>
        </w:rPr>
        <w:t>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estimated fair value of the warrants is $0.3 million.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change in fair value gain of approximately $4.2 million for the year ended December 31, 2022. This amount is included in the statements of operations for the year ended December 31, 2022.</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fair value is determined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See Note 19, Fair Value Measurements, to the accompanying consolidated financial statements for further information.</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14 – REVENUE RECOGNITION</w:t>
      </w:r>
    </w:p>
    <w:p>
      <w:pPr>
        <w:pStyle w:val="TextBody"/>
        <w:spacing w:before="0" w:after="0"/>
        <w:ind w:left="0" w:right="0" w:firstLine="72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2022 the Company corrected the classification of credits given to customers to report the credits as a reduction of revenue.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impact of the revision for the previous year.</w:t>
      </w:r>
    </w:p>
    <w:p>
      <w:pPr>
        <w:pStyle w:val="TextBody"/>
        <w:spacing w:before="0" w:after="0"/>
        <w:ind w:left="0" w:right="0" w:firstLine="360"/>
        <w:jc w:val="both"/>
        <w:rPr/>
      </w:pPr>
      <w:r>
        <w:rPr/>
      </w:r>
    </w:p>
    <w:tbl>
      <w:tblPr>
        <w:tblW w:w="5812" w:type="dxa"/>
        <w:jc w:val="left"/>
        <w:tblInd w:w="0" w:type="dxa"/>
        <w:tblCellMar>
          <w:top w:w="28" w:type="dxa"/>
          <w:left w:w="28" w:type="dxa"/>
          <w:bottom w:w="28" w:type="dxa"/>
          <w:right w:w="28" w:type="dxa"/>
        </w:tblCellMar>
      </w:tblPr>
      <w:tblGrid>
        <w:gridCol w:w="533"/>
        <w:gridCol w:w="467"/>
        <w:gridCol w:w="470"/>
        <w:gridCol w:w="109"/>
        <w:gridCol w:w="109"/>
        <w:gridCol w:w="109"/>
        <w:gridCol w:w="231"/>
        <w:gridCol w:w="790"/>
        <w:gridCol w:w="119"/>
        <w:gridCol w:w="109"/>
        <w:gridCol w:w="109"/>
        <w:gridCol w:w="109"/>
        <w:gridCol w:w="272"/>
        <w:gridCol w:w="622"/>
        <w:gridCol w:w="142"/>
        <w:gridCol w:w="109"/>
        <w:gridCol w:w="109"/>
        <w:gridCol w:w="109"/>
        <w:gridCol w:w="230"/>
        <w:gridCol w:w="787"/>
        <w:gridCol w:w="168"/>
      </w:tblGrid>
      <w:tr>
        <w:trPr/>
        <w:tc>
          <w:tcPr>
            <w:tcW w:w="53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r>
      <w:tr>
        <w:trPr/>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17,095 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17,095 </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impact of the revision for the three quarters ended March 31, June 30, and September 30, 2022, respectively.</w:t>
      </w:r>
    </w:p>
    <w:p>
      <w:pPr>
        <w:pStyle w:val="TextBody"/>
        <w:spacing w:before="0" w:after="0"/>
        <w:ind w:left="0" w:right="0" w:firstLine="360"/>
        <w:jc w:val="both"/>
        <w:rPr/>
      </w:pPr>
      <w:r>
        <w:rPr/>
      </w:r>
    </w:p>
    <w:tbl>
      <w:tblPr>
        <w:tblW w:w="5487" w:type="dxa"/>
        <w:jc w:val="left"/>
        <w:tblInd w:w="0" w:type="dxa"/>
        <w:tblCellMar>
          <w:top w:w="28" w:type="dxa"/>
          <w:left w:w="28" w:type="dxa"/>
          <w:bottom w:w="28" w:type="dxa"/>
          <w:right w:w="28" w:type="dxa"/>
        </w:tblCellMar>
      </w:tblPr>
      <w:tblGrid>
        <w:gridCol w:w="533"/>
        <w:gridCol w:w="467"/>
        <w:gridCol w:w="470"/>
        <w:gridCol w:w="109"/>
        <w:gridCol w:w="109"/>
        <w:gridCol w:w="109"/>
        <w:gridCol w:w="230"/>
        <w:gridCol w:w="671"/>
        <w:gridCol w:w="118"/>
        <w:gridCol w:w="109"/>
        <w:gridCol w:w="109"/>
        <w:gridCol w:w="109"/>
        <w:gridCol w:w="272"/>
        <w:gridCol w:w="622"/>
        <w:gridCol w:w="142"/>
        <w:gridCol w:w="109"/>
        <w:gridCol w:w="109"/>
        <w:gridCol w:w="109"/>
        <w:gridCol w:w="211"/>
        <w:gridCol w:w="616"/>
        <w:gridCol w:w="154"/>
      </w:tblGrid>
      <w:tr>
        <w:trPr/>
        <w:tc>
          <w:tcPr>
            <w:tcW w:w="53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0"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ENDING</w:t>
            </w:r>
          </w:p>
        </w:tc>
      </w:tr>
      <w:tr>
        <w:trPr/>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r>
      <w:tr>
        <w:trPr/>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tbl>
      <w:tblPr>
        <w:tblW w:w="9913" w:type="dxa"/>
        <w:jc w:val="center"/>
        <w:tblInd w:w="0" w:type="dxa"/>
        <w:tblCellMar>
          <w:top w:w="28" w:type="dxa"/>
          <w:left w:w="28" w:type="dxa"/>
          <w:bottom w:w="28" w:type="dxa"/>
          <w:right w:w="28" w:type="dxa"/>
        </w:tblCellMar>
      </w:tblPr>
      <w:tblGrid>
        <w:gridCol w:w="533"/>
        <w:gridCol w:w="467"/>
        <w:gridCol w:w="470"/>
        <w:gridCol w:w="109"/>
        <w:gridCol w:w="109"/>
        <w:gridCol w:w="109"/>
        <w:gridCol w:w="230"/>
        <w:gridCol w:w="671"/>
        <w:gridCol w:w="118"/>
        <w:gridCol w:w="109"/>
        <w:gridCol w:w="109"/>
        <w:gridCol w:w="109"/>
        <w:gridCol w:w="272"/>
        <w:gridCol w:w="622"/>
        <w:gridCol w:w="142"/>
        <w:gridCol w:w="109"/>
        <w:gridCol w:w="109"/>
        <w:gridCol w:w="109"/>
        <w:gridCol w:w="211"/>
        <w:gridCol w:w="616"/>
        <w:gridCol w:w="109"/>
        <w:gridCol w:w="109"/>
        <w:gridCol w:w="109"/>
        <w:gridCol w:w="109"/>
        <w:gridCol w:w="109"/>
        <w:gridCol w:w="109"/>
        <w:gridCol w:w="109"/>
        <w:gridCol w:w="211"/>
        <w:gridCol w:w="721"/>
        <w:gridCol w:w="109"/>
        <w:gridCol w:w="109"/>
        <w:gridCol w:w="109"/>
        <w:gridCol w:w="109"/>
        <w:gridCol w:w="272"/>
        <w:gridCol w:w="622"/>
        <w:gridCol w:w="142"/>
        <w:gridCol w:w="109"/>
        <w:gridCol w:w="109"/>
        <w:gridCol w:w="109"/>
        <w:gridCol w:w="211"/>
        <w:gridCol w:w="721"/>
        <w:gridCol w:w="154"/>
      </w:tblGrid>
      <w:tr>
        <w:trPr/>
        <w:tc>
          <w:tcPr>
            <w:tcW w:w="53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5"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7"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TO DATE</w:t>
            </w:r>
          </w:p>
        </w:tc>
      </w:tr>
      <w:tr>
        <w:trPr/>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r>
      <w:tr>
        <w:trPr/>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tbl>
      <w:tblPr>
        <w:tblW w:w="10205" w:type="dxa"/>
        <w:jc w:val="center"/>
        <w:tblInd w:w="0" w:type="dxa"/>
        <w:tblCellMar>
          <w:top w:w="28" w:type="dxa"/>
          <w:left w:w="28" w:type="dxa"/>
          <w:bottom w:w="28" w:type="dxa"/>
          <w:right w:w="28" w:type="dxa"/>
        </w:tblCellMar>
      </w:tblPr>
      <w:tblGrid>
        <w:gridCol w:w="465"/>
        <w:gridCol w:w="408"/>
        <w:gridCol w:w="410"/>
        <w:gridCol w:w="109"/>
        <w:gridCol w:w="109"/>
        <w:gridCol w:w="109"/>
        <w:gridCol w:w="250"/>
        <w:gridCol w:w="731"/>
        <w:gridCol w:w="128"/>
        <w:gridCol w:w="109"/>
        <w:gridCol w:w="109"/>
        <w:gridCol w:w="109"/>
        <w:gridCol w:w="272"/>
        <w:gridCol w:w="622"/>
        <w:gridCol w:w="142"/>
        <w:gridCol w:w="109"/>
        <w:gridCol w:w="109"/>
        <w:gridCol w:w="109"/>
        <w:gridCol w:w="250"/>
        <w:gridCol w:w="731"/>
        <w:gridCol w:w="128"/>
        <w:gridCol w:w="109"/>
        <w:gridCol w:w="109"/>
        <w:gridCol w:w="109"/>
        <w:gridCol w:w="109"/>
        <w:gridCol w:w="109"/>
        <w:gridCol w:w="109"/>
        <w:gridCol w:w="232"/>
        <w:gridCol w:w="794"/>
        <w:gridCol w:w="119"/>
        <w:gridCol w:w="109"/>
        <w:gridCol w:w="109"/>
        <w:gridCol w:w="109"/>
        <w:gridCol w:w="272"/>
        <w:gridCol w:w="622"/>
        <w:gridCol w:w="142"/>
        <w:gridCol w:w="109"/>
        <w:gridCol w:w="109"/>
        <w:gridCol w:w="109"/>
        <w:gridCol w:w="231"/>
        <w:gridCol w:w="791"/>
        <w:gridCol w:w="176"/>
      </w:tblGrid>
      <w:tr>
        <w:trPr/>
        <w:tc>
          <w:tcPr>
            <w:tcW w:w="465"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8"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3"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TO DATE</w:t>
            </w:r>
          </w:p>
        </w:tc>
      </w:tr>
      <w:tr>
        <w:trPr/>
        <w:tc>
          <w:tcPr>
            <w:tcW w:w="12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r>
      <w:tr>
        <w:trPr/>
        <w:tc>
          <w:tcPr>
            <w:tcW w:w="12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14,650 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14,650 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type (in thousands):</w:t>
      </w:r>
    </w:p>
    <w:p>
      <w:pPr>
        <w:pStyle w:val="TextBody"/>
        <w:spacing w:before="0" w:after="0"/>
        <w:ind w:left="0" w:right="0" w:firstLine="720"/>
        <w:rPr/>
      </w:pPr>
      <w:r>
        <w:rPr/>
      </w:r>
    </w:p>
    <w:tbl>
      <w:tblPr>
        <w:tblW w:w="4130" w:type="dxa"/>
        <w:jc w:val="left"/>
        <w:tblInd w:w="0" w:type="dxa"/>
        <w:tblCellMar>
          <w:top w:w="28" w:type="dxa"/>
          <w:left w:w="28" w:type="dxa"/>
          <w:bottom w:w="28" w:type="dxa"/>
          <w:right w:w="28" w:type="dxa"/>
        </w:tblCellMar>
      </w:tblPr>
      <w:tblGrid>
        <w:gridCol w:w="488"/>
        <w:gridCol w:w="430"/>
        <w:gridCol w:w="431"/>
        <w:gridCol w:w="109"/>
        <w:gridCol w:w="109"/>
        <w:gridCol w:w="109"/>
        <w:gridCol w:w="211"/>
        <w:gridCol w:w="721"/>
        <w:gridCol w:w="109"/>
        <w:gridCol w:w="109"/>
        <w:gridCol w:w="109"/>
        <w:gridCol w:w="109"/>
        <w:gridCol w:w="211"/>
        <w:gridCol w:w="721"/>
        <w:gridCol w:w="154"/>
      </w:tblGrid>
      <w:tr>
        <w:trPr/>
        <w:tc>
          <w:tcPr>
            <w:tcW w:w="48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Geographic Information</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geographical region consist of the following (in thousands):</w:t>
      </w:r>
    </w:p>
    <w:p>
      <w:pPr>
        <w:pStyle w:val="TextBody"/>
        <w:spacing w:before="0" w:after="0"/>
        <w:ind w:left="0" w:right="0" w:firstLine="360"/>
        <w:rPr/>
      </w:pPr>
      <w:r>
        <w:rPr/>
      </w:r>
    </w:p>
    <w:tbl>
      <w:tblPr>
        <w:tblW w:w="4160" w:type="dxa"/>
        <w:jc w:val="left"/>
        <w:tblInd w:w="0" w:type="dxa"/>
        <w:tblCellMar>
          <w:top w:w="28" w:type="dxa"/>
          <w:left w:w="28" w:type="dxa"/>
          <w:bottom w:w="28" w:type="dxa"/>
          <w:right w:w="28" w:type="dxa"/>
        </w:tblCellMar>
      </w:tblPr>
      <w:tblGrid>
        <w:gridCol w:w="499"/>
        <w:gridCol w:w="438"/>
        <w:gridCol w:w="442"/>
        <w:gridCol w:w="109"/>
        <w:gridCol w:w="109"/>
        <w:gridCol w:w="109"/>
        <w:gridCol w:w="211"/>
        <w:gridCol w:w="721"/>
        <w:gridCol w:w="109"/>
        <w:gridCol w:w="109"/>
        <w:gridCol w:w="109"/>
        <w:gridCol w:w="109"/>
        <w:gridCol w:w="211"/>
        <w:gridCol w:w="721"/>
        <w:gridCol w:w="154"/>
      </w:tblGrid>
      <w:tr>
        <w:trPr/>
        <w:tc>
          <w:tcPr>
            <w:tcW w:w="49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Brand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geography are generally based on the country of the Company’s contracting entity. Total United States revenue was approximately 98% of total revenue for the year ended December 31, 2022 and 99% of total revenue for the year ended December 31, 2021.</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15 – CONTRACT ASSETS AND LIABILITIES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Contract Assets (Deferred Cost)</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Contract assets consisted of the following as of (in thousands):</w:t>
      </w:r>
    </w:p>
    <w:p>
      <w:pPr>
        <w:pStyle w:val="TextBody"/>
        <w:spacing w:before="0" w:after="0"/>
        <w:rPr/>
      </w:pPr>
      <w:r>
        <w:rPr/>
      </w:r>
    </w:p>
    <w:tbl>
      <w:tblPr>
        <w:tblW w:w="4610" w:type="dxa"/>
        <w:jc w:val="left"/>
        <w:tblInd w:w="0" w:type="dxa"/>
        <w:tblCellMar>
          <w:top w:w="28" w:type="dxa"/>
          <w:left w:w="28" w:type="dxa"/>
          <w:bottom w:w="28" w:type="dxa"/>
          <w:right w:w="28" w:type="dxa"/>
        </w:tblCellMar>
      </w:tblPr>
      <w:tblGrid>
        <w:gridCol w:w="847"/>
        <w:gridCol w:w="745"/>
        <w:gridCol w:w="747"/>
        <w:gridCol w:w="109"/>
        <w:gridCol w:w="109"/>
        <w:gridCol w:w="109"/>
        <w:gridCol w:w="211"/>
        <w:gridCol w:w="466"/>
        <w:gridCol w:w="109"/>
        <w:gridCol w:w="109"/>
        <w:gridCol w:w="109"/>
        <w:gridCol w:w="109"/>
        <w:gridCol w:w="211"/>
        <w:gridCol w:w="466"/>
        <w:gridCol w:w="154"/>
      </w:tblGrid>
      <w:tr>
        <w:trPr/>
        <w:tc>
          <w:tcPr>
            <w:tcW w:w="84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sales commissions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consisted of the following as of (in thousands):</w:t>
      </w:r>
    </w:p>
    <w:p>
      <w:pPr>
        <w:pStyle w:val="TextBody"/>
        <w:spacing w:before="0" w:after="0"/>
        <w:rPr/>
      </w:pPr>
      <w:r>
        <w:rPr/>
      </w:r>
    </w:p>
    <w:tbl>
      <w:tblPr>
        <w:tblW w:w="4431" w:type="dxa"/>
        <w:jc w:val="left"/>
        <w:tblInd w:w="0" w:type="dxa"/>
        <w:tblCellMar>
          <w:top w:w="28" w:type="dxa"/>
          <w:left w:w="28" w:type="dxa"/>
          <w:bottom w:w="28" w:type="dxa"/>
          <w:right w:w="28" w:type="dxa"/>
        </w:tblCellMar>
      </w:tblPr>
      <w:tblGrid>
        <w:gridCol w:w="781"/>
        <w:gridCol w:w="688"/>
        <w:gridCol w:w="691"/>
        <w:gridCol w:w="109"/>
        <w:gridCol w:w="109"/>
        <w:gridCol w:w="109"/>
        <w:gridCol w:w="211"/>
        <w:gridCol w:w="466"/>
        <w:gridCol w:w="109"/>
        <w:gridCol w:w="109"/>
        <w:gridCol w:w="109"/>
        <w:gridCol w:w="109"/>
        <w:gridCol w:w="211"/>
        <w:gridCol w:w="466"/>
        <w:gridCol w:w="154"/>
      </w:tblGrid>
      <w:tr>
        <w:trPr/>
        <w:tc>
          <w:tcPr>
            <w:tcW w:w="78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retail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brands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movement in the contract liabilities during the years ended December 31, 2022 and 2021 comprised the following (in thousands):</w:t>
      </w:r>
    </w:p>
    <w:p>
      <w:pPr>
        <w:pStyle w:val="TextBody"/>
        <w:spacing w:before="0" w:after="0"/>
        <w:rPr/>
      </w:pPr>
      <w:r>
        <w:rPr/>
      </w:r>
    </w:p>
    <w:tbl>
      <w:tblPr>
        <w:tblW w:w="9667" w:type="dxa"/>
        <w:jc w:val="left"/>
        <w:tblInd w:w="0" w:type="dxa"/>
        <w:tblCellMar>
          <w:top w:w="28" w:type="dxa"/>
          <w:left w:w="28" w:type="dxa"/>
          <w:bottom w:w="28" w:type="dxa"/>
          <w:right w:w="28" w:type="dxa"/>
        </w:tblCellMar>
      </w:tblPr>
      <w:tblGrid>
        <w:gridCol w:w="2544"/>
        <w:gridCol w:w="2242"/>
        <w:gridCol w:w="2249"/>
        <w:gridCol w:w="109"/>
        <w:gridCol w:w="109"/>
        <w:gridCol w:w="109"/>
        <w:gridCol w:w="250"/>
        <w:gridCol w:w="553"/>
        <w:gridCol w:w="129"/>
        <w:gridCol w:w="129"/>
        <w:gridCol w:w="129"/>
        <w:gridCol w:w="129"/>
        <w:gridCol w:w="250"/>
        <w:gridCol w:w="553"/>
        <w:gridCol w:w="183"/>
      </w:tblGrid>
      <w:tr>
        <w:trPr/>
        <w:tc>
          <w:tcPr>
            <w:tcW w:w="2544" w:type="dxa"/>
            <w:tcBorders/>
            <w:shd w:fill="auto" w:val="clear"/>
            <w:vAlign w:val="center"/>
          </w:tcPr>
          <w:p>
            <w:pPr>
              <w:pStyle w:val="TableContents"/>
              <w:spacing w:before="0" w:after="283"/>
              <w:rPr>
                <w:sz w:val="4"/>
                <w:szCs w:val="4"/>
              </w:rPr>
            </w:pPr>
            <w:r>
              <w:rPr>
                <w:sz w:val="4"/>
                <w:szCs w:val="4"/>
              </w:rPr>
            </w:r>
          </w:p>
        </w:tc>
        <w:tc>
          <w:tcPr>
            <w:tcW w:w="2242"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7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7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movement in the contract liabilities during each period comprised the following: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start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invoiced during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(13,622)</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end of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16 – STOCK BASED COMPENSATION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in connection with the business combination, the Tuatara shareholders approved the SpringBig Holdings, Inc. 2022 Long-Term Incentive Plan (the “2022 Incentive Plan”), which became effective upon the Closing.</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Prior to the closing of the business combination, Legacy SpringBig maintained an equity incentive plan (the “Legacy Incentive Plan”), which was originally established effective December 1, 2017. The Legacy Incentive Plan permitted the grant of incentive stock options, non-qualified stock options, restricted stock awards, and restricted stock unit awards to Legacy SpringBig and its affiliates’ employees, consultants and directors. SpringBig will not grant any additional awards under the Legacy Incentive Plan following the business combination.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2022 and 2021, compensation expense recorded in connection with the Company’s incentive plans was $1.2 million and $0.6 million, respectively. These are included in general and administrative expense on the statements of operations.</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on stock options outstanding as of December 31, 2022 under the Legacy Incentive Plan:</w:t>
      </w:r>
    </w:p>
    <w:p>
      <w:pPr>
        <w:pStyle w:val="TextBody"/>
        <w:spacing w:before="0" w:after="0"/>
        <w:ind w:left="0" w:right="0" w:firstLine="360"/>
        <w:jc w:val="both"/>
        <w:rPr/>
      </w:pPr>
      <w:r>
        <w:rPr/>
      </w:r>
    </w:p>
    <w:tbl>
      <w:tblPr>
        <w:tblW w:w="10205" w:type="dxa"/>
        <w:jc w:val="center"/>
        <w:tblInd w:w="0" w:type="dxa"/>
        <w:tblCellMar>
          <w:top w:w="28" w:type="dxa"/>
          <w:left w:w="28" w:type="dxa"/>
          <w:bottom w:w="28" w:type="dxa"/>
          <w:right w:w="28" w:type="dxa"/>
        </w:tblCellMar>
      </w:tblPr>
      <w:tblGrid>
        <w:gridCol w:w="574"/>
        <w:gridCol w:w="504"/>
        <w:gridCol w:w="427"/>
        <w:gridCol w:w="109"/>
        <w:gridCol w:w="109"/>
        <w:gridCol w:w="109"/>
        <w:gridCol w:w="534"/>
        <w:gridCol w:w="378"/>
        <w:gridCol w:w="310"/>
        <w:gridCol w:w="114"/>
        <w:gridCol w:w="114"/>
        <w:gridCol w:w="114"/>
        <w:gridCol w:w="376"/>
        <w:gridCol w:w="835"/>
        <w:gridCol w:w="190"/>
        <w:gridCol w:w="109"/>
        <w:gridCol w:w="109"/>
        <w:gridCol w:w="109"/>
        <w:gridCol w:w="534"/>
        <w:gridCol w:w="378"/>
        <w:gridCol w:w="310"/>
        <w:gridCol w:w="114"/>
        <w:gridCol w:w="114"/>
        <w:gridCol w:w="114"/>
        <w:gridCol w:w="574"/>
        <w:gridCol w:w="574"/>
        <w:gridCol w:w="576"/>
        <w:gridCol w:w="114"/>
        <w:gridCol w:w="114"/>
        <w:gridCol w:w="114"/>
        <w:gridCol w:w="367"/>
        <w:gridCol w:w="816"/>
        <w:gridCol w:w="268"/>
      </w:tblGrid>
      <w:tr>
        <w:trPr/>
        <w:tc>
          <w:tcPr>
            <w:tcW w:w="57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1"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Vested and Exercisable</w:t>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 (Years)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r>
      <w:tr>
        <w:trPr/>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6,802,437 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4,628,311 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(530,666)</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0.55 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(61,460)</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cancelled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(4,791)</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June 14,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6,205,520 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0.5929 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SpringBig Holdings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3,679,171 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(135,090)</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(149,328)</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Dec.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3,394,753 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3,250,236 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the options exercised during the years ended December 31, 2022 and 2021 was $3.4 million and $81,000, respectively.</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consummation of the business combination, all outstanding options were vested with the exception of 192,689 options granted to certain executives of the Company. The cost associated with the early vesting was $0.9 million and is included in administrative expense on the statement of operations.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used the Black-Scholes option-pricing model to value option grants and to determine the related compensation expense. The assumptions used in calculating the fair value of stock-based payment awards represent management’s best estimations. The Company based its expected volatility based on the volatilities of certain publicly traded peer companies.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risk-free interest rate used for each grant is equal to the U.S. Treasury yield curve in effect at the time of grant for instruments with a similar expected life. The expected term of options granted was determined based on the expected holding period at the time of the grant. GAAP also requires that the Company recognize compensation expense for only the portion of options that are expected to vest.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2022, the Company issued 761,500 Restricted Stock Units to its employees, which were awarded when the price per share was $1.97. By December 31, 2022, 36,500 of the Restricted Stock Units had been forfeited by terminated employees. After forfeitures, the outstanding number of Restricted Stock Units at December 31, 2022 was 725,000. The Restricted Stock Units vest over a 3 year period and have a weighted average remaining vesting term of 2.5 years. The compensation expense recognized for the year ended December 31, 2022 related to the Restricted Stock Units was $246,000 and the remaining expense of approximately $1.2 million will be recognized in future periods.</w:t>
      </w:r>
    </w:p>
    <w:p>
      <w:pPr>
        <w:pStyle w:val="TextBody"/>
        <w:spacing w:before="0" w:after="0"/>
        <w:ind w:left="0" w:right="0" w:firstLine="360"/>
        <w:jc w:val="both"/>
        <w:rPr/>
      </w:pPr>
      <w:r>
        <w:rPr/>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Employment Agreements</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employment agreements with certain of its officers, Jeffrey Harris, CEO, and Paul Sykes, CFO, which became effective as of the Closing. Pursuant to his employment agreement, Mr. Harris will receive an annual salary of $450,000, will be eligible for a target cash incentive opportunity of up to 137.5% of his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annual base salary, and will be eligible to receive equity incentive awards under SpringBig’s long-term incentive plan as in effect from time to time. </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his employment agreement, Mr. Sykes will receive an annual salary of $350,000, will be eligible for a target cash incentive opportunity of up to 100% of his annual base salary, and will be eligible to receive equity incentive awards under SpringBig’s long-term incentive plan as in effect from time to time. </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SpringBig board of directors awarded each of Mr. Harris and Mr. Sykes a one-time cash bonus in the amount of $300,000 and $250,000, respectively, which was awarded as of the Closing, the amount is included in administrative expenses on the statement of operations.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Litigation</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18 - LEASES</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As discussed in Note 2, the Financial Accounting Standards Board (“FASB”) issued Accounting Standards Update (“ASU”) 2016-02, </w:t>
      </w:r>
      <w:r>
        <w:rPr>
          <w:rFonts w:ascii="Times New Roman;sans-serif" w:hAnsi="Times New Roman;sans-serif"/>
          <w:b w:val="false"/>
          <w:i/>
          <w:color w:val="000000"/>
          <w:sz w:val="20"/>
        </w:rPr>
        <w:t>Leases (Topic 842)</w:t>
      </w:r>
      <w:r>
        <w:rPr>
          <w:color w:val="000000"/>
        </w:rPr>
        <w:t xml:space="preserve"> </w:t>
      </w:r>
      <w:r>
        <w:rPr>
          <w:rFonts w:ascii="Times New Roman;sans-serif" w:hAnsi="Times New Roman;sans-serif"/>
          <w:b w:val="false"/>
          <w:color w:val="000000"/>
          <w:sz w:val="20"/>
        </w:rPr>
        <w:t xml:space="preserve">in February 2016 (“Lease Standard”). The amendments are effective for fiscal years beginning after December 15, 2021, for all entities, and interim periods within those fiscal years for public business entities and interim periods within fiscal years beginning after December 15, 2022, for all other entities. The Company adopted this standard on January 1, 2022.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SpringBig elected to take the cumulative transition approach to accounting for the adoption of the Lease Standard. This approach requires entities to apply the ASC 842 requirements in the period of adoption (i.e., assuming an adoption date of January 1, 2022, SpringBig’s comparative financial statements for the years ended December 31, 2022 and 2021 would need to apply ASC 842 only for the year ended December 31, 2022). As of the adoption date of January 1, 2022, the Company recorded ROU assets of $1.1 million and lease liabilities of $1.1 million. A cumulative effect adjustment to equity of $31,000 was recorded as of the adoption date.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facilities in Boca Raton, Florida, Seattle, Washington and Ontario, Canada under non-cancelable operating lease agreements. The leases require monthly payments ranging from $3,000 to $42,000 and expire on various dates through November 2024. In addition to minimum rent, the Company is required to pay a proportionate share of operating expenses under these leases.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of 2022, the Company entered into a lease with the current landlord for the Company’s corporate headquarters under which the current leases will be replaced by the new lease on a single floor in the same building as the Company currently occupies. The new lease will commence on the sooner of the day the Company takes occupancy or day of substantial completion of leasehold improvements. Neither of these events had taken place as of December 31, 2022. The new lease term is for 98 months. Rental payments range from $38,000 to $48,000 over the life of the lease.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was approximately $846,000 and $644,000 for the years ended December 31, 2022 and 2021, respectively, which is recorded in general and administrative expenses on the consolidated statement of operations. Of the $846,000 for the year ended December 31, 2022, $515,000 related to operating leases under ASC 842 with the remainder attributable to common area maintenance, taxes, and other charges.</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following amounts were presented on SpringBig’s consolidated balance sheets in accordance with the Leasing Standard.</w:t>
      </w:r>
    </w:p>
    <w:p>
      <w:pPr>
        <w:pStyle w:val="TextBody"/>
        <w:spacing w:before="0" w:after="0"/>
        <w:jc w:val="both"/>
        <w:rPr/>
      </w:pPr>
      <w:r>
        <w:rPr/>
      </w:r>
    </w:p>
    <w:tbl>
      <w:tblPr>
        <w:tblW w:w="5725" w:type="dxa"/>
        <w:jc w:val="left"/>
        <w:tblInd w:w="0" w:type="dxa"/>
        <w:tblCellMar>
          <w:top w:w="28" w:type="dxa"/>
          <w:left w:w="28" w:type="dxa"/>
          <w:bottom w:w="28" w:type="dxa"/>
          <w:right w:w="28" w:type="dxa"/>
        </w:tblCellMar>
      </w:tblPr>
      <w:tblGrid>
        <w:gridCol w:w="1120"/>
        <w:gridCol w:w="982"/>
        <w:gridCol w:w="987"/>
        <w:gridCol w:w="109"/>
        <w:gridCol w:w="109"/>
        <w:gridCol w:w="109"/>
        <w:gridCol w:w="585"/>
        <w:gridCol w:w="1295"/>
        <w:gridCol w:w="429"/>
      </w:tblGrid>
      <w:tr>
        <w:trPr/>
        <w:tc>
          <w:tcPr>
            <w:tcW w:w="112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Balance Sheet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4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4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ending December 31, 2022, the Company’s operating lease cost was $0.5 million. Other information pertaining to capitalized assets and liabilities under the leasing standard is as follows.</w:t>
      </w:r>
    </w:p>
    <w:p>
      <w:pPr>
        <w:pStyle w:val="TextBody"/>
        <w:spacing w:before="0" w:after="0"/>
        <w:jc w:val="both"/>
        <w:rPr/>
      </w:pPr>
      <w:r>
        <w:rPr/>
      </w:r>
    </w:p>
    <w:tbl>
      <w:tblPr>
        <w:tblW w:w="7198" w:type="dxa"/>
        <w:jc w:val="left"/>
        <w:tblInd w:w="0" w:type="dxa"/>
        <w:tblCellMar>
          <w:top w:w="28" w:type="dxa"/>
          <w:left w:w="28" w:type="dxa"/>
          <w:bottom w:w="28" w:type="dxa"/>
          <w:right w:w="28" w:type="dxa"/>
        </w:tblCellMar>
      </w:tblPr>
      <w:tblGrid>
        <w:gridCol w:w="2243"/>
        <w:gridCol w:w="1970"/>
        <w:gridCol w:w="1981"/>
        <w:gridCol w:w="109"/>
        <w:gridCol w:w="109"/>
        <w:gridCol w:w="109"/>
        <w:gridCol w:w="211"/>
        <w:gridCol w:w="193"/>
        <w:gridCol w:w="273"/>
      </w:tblGrid>
      <w:tr>
        <w:trPr/>
        <w:tc>
          <w:tcPr>
            <w:tcW w:w="2243"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Company’s lease liabilities mature as follows: </w:t>
      </w:r>
    </w:p>
    <w:p>
      <w:pPr>
        <w:pStyle w:val="TextBody"/>
        <w:spacing w:before="0" w:after="0"/>
        <w:jc w:val="both"/>
        <w:rPr/>
      </w:pPr>
      <w:r>
        <w:rPr/>
      </w:r>
    </w:p>
    <w:tbl>
      <w:tblPr>
        <w:tblW w:w="4647" w:type="dxa"/>
        <w:jc w:val="left"/>
        <w:tblInd w:w="0" w:type="dxa"/>
        <w:tblCellMar>
          <w:top w:w="28" w:type="dxa"/>
          <w:left w:w="28" w:type="dxa"/>
          <w:bottom w:w="28" w:type="dxa"/>
          <w:right w:w="28" w:type="dxa"/>
        </w:tblCellMar>
      </w:tblPr>
      <w:tblGrid>
        <w:gridCol w:w="969"/>
        <w:gridCol w:w="853"/>
        <w:gridCol w:w="863"/>
        <w:gridCol w:w="109"/>
        <w:gridCol w:w="109"/>
        <w:gridCol w:w="109"/>
        <w:gridCol w:w="415"/>
        <w:gridCol w:w="916"/>
        <w:gridCol w:w="304"/>
      </w:tblGrid>
      <w:tr>
        <w:trPr/>
        <w:tc>
          <w:tcPr>
            <w:tcW w:w="96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19 – FAIR VALUE MEASUREMENTS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fair value hierarchy is used to classify assets and liabilities based on the observable inputs and unobservable inputs used in order to value the assets and liabilities: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Valuation is based on unadjusted quoted prices in active markets for identical assets and liabilities that are accessible at the reporting date. Because valuations are based on quoted prices that are readily and regularly available in an active market, valuation of these products does not entail a significant degree of judgment.</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Level 2</w:t>
      </w:r>
      <w:r>
        <w:rPr>
          <w:rFonts w:ascii="Times New Roman;sans-serif" w:hAnsi="Times New Roman;sans-serif"/>
          <w:b w:val="false"/>
          <w:color w:val="000000"/>
          <w:sz w:val="20"/>
        </w:rPr>
        <w:t>: Valuation is determined from pricing inputs that are other than quoted prices in active markets that are either directly or indirectly observable 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Level 3</w:t>
      </w:r>
      <w:r>
        <w:rPr>
          <w:rFonts w:ascii="Times New Roman;sans-serif" w:hAnsi="Times New Roman;sans-serif"/>
          <w:b w:val="false"/>
          <w:color w:val="000000"/>
          <w:sz w:val="20"/>
        </w:rPr>
        <w:t>: Valuation is based on inputs that are both significant to the fair value measurement and unobservable. Level 3 inputs include situations where there is little, if any, market activity for the financial instrument. The inputs into the determination of fair value generally require significant management judgment or estimation. .</w:t>
      </w:r>
    </w:p>
    <w:p>
      <w:pPr>
        <w:pStyle w:val="TextBody"/>
        <w:spacing w:before="0" w:after="0"/>
        <w:ind w:left="0" w:right="0" w:firstLine="360"/>
        <w:rPr/>
      </w:pPr>
      <w:r>
        <w:rPr/>
      </w:r>
    </w:p>
    <w:p>
      <w:pPr>
        <w:pStyle w:val="TextBody"/>
        <w:spacing w:lineRule="auto" w:line="247"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Liabilities measured at fair value on a recurring basis</w:t>
      </w:r>
    </w:p>
    <w:p>
      <w:pPr>
        <w:pStyle w:val="TextBody"/>
        <w:spacing w:before="0" w:after="0"/>
        <w:ind w:left="0" w:right="0" w:firstLine="360"/>
        <w:rPr/>
      </w:pPr>
      <w:r>
        <w:rPr/>
      </w:r>
    </w:p>
    <w:p>
      <w:pPr>
        <w:pStyle w:val="TextBody"/>
        <w:spacing w:lineRule="auto" w:line="247"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balances of the Company’s liabilities measured at fair value on a recurring basis as of December 31, 2022, are as follows (in thousands):</w:t>
      </w:r>
    </w:p>
    <w:p>
      <w:pPr>
        <w:pStyle w:val="TextBody"/>
        <w:spacing w:before="0" w:after="0"/>
        <w:ind w:left="0" w:right="0" w:firstLine="360"/>
        <w:rPr/>
      </w:pPr>
      <w:r>
        <w:rPr/>
      </w:r>
    </w:p>
    <w:tbl>
      <w:tblPr>
        <w:tblW w:w="6502" w:type="dxa"/>
        <w:jc w:val="left"/>
        <w:tblInd w:w="0" w:type="dxa"/>
        <w:tblCellMar>
          <w:top w:w="28" w:type="dxa"/>
          <w:left w:w="28" w:type="dxa"/>
          <w:bottom w:w="28" w:type="dxa"/>
          <w:right w:w="28" w:type="dxa"/>
        </w:tblCellMar>
      </w:tblPr>
      <w:tblGrid>
        <w:gridCol w:w="494"/>
        <w:gridCol w:w="435"/>
        <w:gridCol w:w="436"/>
        <w:gridCol w:w="109"/>
        <w:gridCol w:w="109"/>
        <w:gridCol w:w="109"/>
        <w:gridCol w:w="211"/>
        <w:gridCol w:w="466"/>
        <w:gridCol w:w="109"/>
        <w:gridCol w:w="109"/>
        <w:gridCol w:w="109"/>
        <w:gridCol w:w="109"/>
        <w:gridCol w:w="213"/>
        <w:gridCol w:w="411"/>
        <w:gridCol w:w="110"/>
        <w:gridCol w:w="109"/>
        <w:gridCol w:w="109"/>
        <w:gridCol w:w="109"/>
        <w:gridCol w:w="213"/>
        <w:gridCol w:w="411"/>
        <w:gridCol w:w="110"/>
        <w:gridCol w:w="109"/>
        <w:gridCol w:w="109"/>
        <w:gridCol w:w="109"/>
        <w:gridCol w:w="400"/>
        <w:gridCol w:w="883"/>
        <w:gridCol w:w="292"/>
      </w:tblGrid>
      <w:tr>
        <w:trPr/>
        <w:tc>
          <w:tcPr>
            <w:tcW w:w="49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Fair Value</w:t>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methodologies used to estimate the fair values of liabilities measured at fair value on a recurring basis and within the fair value hierarchy.</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Warrant liabilities </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a fair value approach to account for its warrants based on the quoted price at December 31, 2022, and the calculation is consistent with ASC 820, Fair Value Measurement, with changes in fair value recorded in current earnings.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value of the public and private warrants was approximately $0.3 million using a closing price of $0.0211.</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Fair Value</w:t>
      </w:r>
    </w:p>
    <w:p>
      <w:pPr>
        <w:pStyle w:val="TextBody"/>
        <w:spacing w:before="0" w:after="0"/>
        <w:ind w:left="0" w:right="0" w:firstLine="360"/>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provides a roll-forward in the changes in fair value for the year ended December 31, 2022, for all liabilities for which the Company determines fair value on a recurring basis (in thousands):</w:t>
      </w:r>
    </w:p>
    <w:p>
      <w:pPr>
        <w:pStyle w:val="TextBody"/>
        <w:spacing w:before="0" w:after="0"/>
        <w:ind w:left="0" w:right="0" w:firstLine="360"/>
        <w:rPr/>
      </w:pPr>
      <w:r>
        <w:rPr/>
      </w:r>
    </w:p>
    <w:tbl>
      <w:tblPr>
        <w:tblW w:w="10007" w:type="dxa"/>
        <w:jc w:val="left"/>
        <w:tblInd w:w="0" w:type="dxa"/>
        <w:tblCellMar>
          <w:top w:w="28" w:type="dxa"/>
          <w:left w:w="28" w:type="dxa"/>
          <w:bottom w:w="28" w:type="dxa"/>
          <w:right w:w="28" w:type="dxa"/>
        </w:tblCellMar>
      </w:tblPr>
      <w:tblGrid>
        <w:gridCol w:w="3120"/>
        <w:gridCol w:w="2742"/>
        <w:gridCol w:w="2762"/>
        <w:gridCol w:w="109"/>
        <w:gridCol w:w="109"/>
        <w:gridCol w:w="109"/>
        <w:gridCol w:w="211"/>
        <w:gridCol w:w="691"/>
        <w:gridCol w:w="154"/>
      </w:tblGrid>
      <w:tr>
        <w:trPr/>
        <w:tc>
          <w:tcPr>
            <w:tcW w:w="3120" w:type="dxa"/>
            <w:tcBorders/>
            <w:shd w:fill="auto" w:val="clear"/>
            <w:vAlign w:val="center"/>
          </w:tcPr>
          <w:p>
            <w:pPr>
              <w:pStyle w:val="TableContents"/>
              <w:spacing w:before="0" w:after="283"/>
              <w:rPr>
                <w:sz w:val="4"/>
                <w:szCs w:val="4"/>
              </w:rPr>
            </w:pPr>
            <w:r>
              <w:rPr>
                <w:sz w:val="4"/>
                <w:szCs w:val="4"/>
              </w:rPr>
            </w:r>
          </w:p>
        </w:tc>
        <w:tc>
          <w:tcPr>
            <w:tcW w:w="2742" w:type="dxa"/>
            <w:tcBorders/>
            <w:shd w:fill="auto" w:val="clear"/>
            <w:vAlign w:val="center"/>
          </w:tcPr>
          <w:p>
            <w:pPr>
              <w:pStyle w:val="TableContents"/>
              <w:spacing w:before="0" w:after="283"/>
              <w:rPr>
                <w:sz w:val="4"/>
                <w:szCs w:val="4"/>
              </w:rPr>
            </w:pPr>
            <w:r>
              <w:rPr>
                <w:sz w:val="4"/>
                <w:szCs w:val="4"/>
              </w:rPr>
            </w:r>
          </w:p>
        </w:tc>
        <w:tc>
          <w:tcPr>
            <w:tcW w:w="2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in business combination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included in earnings for the period relating to liabilities held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47"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an aggregate of 6,000,000 private placement warrants issued for aggregate consideration of $6.0 million in connection with the business combination were transferred from Level 2 to Level 1 of the fair value hierarchy. These private placement warrants were not transferable, assignable or salable until 30 days after the completion of the business combination (i.e., until July 14, 2022). As of September 30, 2022, the Company was more than 30 days beyond the business combination and hence, the private placement warrants became marketable and Level 1.</w:t>
      </w:r>
    </w:p>
    <w:p>
      <w:pPr>
        <w:pStyle w:val="TextBody"/>
        <w:spacing w:before="0" w:after="0"/>
        <w:jc w:val="both"/>
        <w:rPr/>
      </w:pPr>
      <w:r>
        <w:rPr/>
      </w:r>
    </w:p>
    <w:p>
      <w:pPr>
        <w:pStyle w:val="TextBody"/>
        <w:spacing w:lineRule="auto" w:line="247" w:before="0" w:after="0"/>
        <w:ind w:left="0" w:right="0" w:firstLine="450"/>
        <w:jc w:val="both"/>
        <w:rPr/>
      </w:pPr>
      <w:r>
        <w:rPr>
          <w:rFonts w:ascii="Times New Roman;sans-serif" w:hAnsi="Times New Roman;sans-serif"/>
          <w:b w:val="false"/>
          <w:i/>
          <w:color w:val="000000"/>
          <w:sz w:val="20"/>
        </w:rPr>
        <w:t xml:space="preserve">Other Fair Value Considerations </w:t>
      </w:r>
      <w:r>
        <w:rPr>
          <w:color w:val="000000"/>
        </w:rPr>
        <w:t xml:space="preserve">– </w:t>
      </w:r>
      <w:r>
        <w:rPr>
          <w:rFonts w:ascii="Times New Roman;sans-serif" w:hAnsi="Times New Roman;sans-serif"/>
          <w:b w:val="false"/>
          <w:color w:val="000000"/>
          <w:sz w:val="20"/>
        </w:rPr>
        <w:t>Carrying value of accounts receivables, contract assets, prepaid expenses and other assets, accounts payable and accrued expenses approximate fair value due to their short-term maturities and/or low credit risk.</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20 – STOCKHOLDERS’ EQUITY</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Consolidated Statements of Changes in Stockholders' Equity reflect the reverse recapitalization on June 14, 2022, as discussed in Note 9, Business Combination, </w:t>
      </w:r>
      <w:r>
        <w:rPr>
          <w:rFonts w:ascii="Times New Roman;sans-serif" w:hAnsi="Times New Roman;sans-serif"/>
          <w:b w:val="false"/>
          <w:color w:val="222222"/>
          <w:sz w:val="20"/>
          <w:highlight w:val="white"/>
        </w:rPr>
        <w:t>to these consolidated financial statements</w:t>
      </w:r>
      <w:r>
        <w:rPr>
          <w:rFonts w:ascii="Times New Roman;sans-serif" w:hAnsi="Times New Roman;sans-serif"/>
          <w:b w:val="false"/>
          <w:color w:val="000000"/>
          <w:sz w:val="20"/>
        </w:rPr>
        <w:t>. Because the Company was determined to be the accounting acquirer in the transaction, all periods presented prior to consummation of the transaction reflect the historical activity and balances of Legacy SpringBig, Inc. (other than common stock and potentially issuable shares underlying stock options which have been retroactively restated).</w:t>
      </w:r>
    </w:p>
    <w:p>
      <w:pPr>
        <w:pStyle w:val="TextBody"/>
        <w:spacing w:before="0" w:after="0"/>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after giving effect to the business combination, the following equity securities of the SpringBig, were issued and outstanding: (i) 5,752,388 shares of SpringBig, common stock issued to the holders of Tuatara Class A ordinary shares and Tuatara Class B ordinary shares that automatically convert into Tuatara Class A ordinary shares upon the occurrence of the business combination in accordance with Tuatara’s amended and restated memorandum and articles of association as consideration in the business combination (comprised of 1,752,388 Class A ordinary shares after giving effect to the redemptions and the issuance of shares to public shareholders who did not elect to redeem their public shares and 4,000,000 Class B ordinary shares that converted into common stock), (ii) 18,196,526 shares of SpringBig common stock issued to the stockholders of SpringBig as consideration in the business combination, (iii) 10,000,000 warrants to purchase shares of SpringBig common stock issued to holders of the Public Shares upon conversion of warrants to purchase Tuatara Class A ordinary shares in connection with the business combination (each, a “New SpringBig Public Warrant”), (iv) 6,000,000 warrants to purchase shares of SpringBig common stock issued to Sponsor upon conversion of warrants to purchase Tuatara Class A Common Stock, and (v) 1,310,000 shares of SpringBig common stock issued to private investors (the “PIPE Investors”) in the PIPE Financing, plus 31,356 shares paid to certain PIPE Investors pursuant to the Convertible Notes. </w:t>
      </w:r>
    </w:p>
    <w:p>
      <w:pPr>
        <w:pStyle w:val="TextBody"/>
        <w:spacing w:before="0" w:after="0"/>
        <w:ind w:left="0" w:right="0" w:firstLine="403"/>
        <w:jc w:val="both"/>
        <w:rPr/>
      </w:pPr>
      <w:r>
        <w:rPr/>
      </w:r>
    </w:p>
    <w:p>
      <w:pPr>
        <w:pStyle w:val="TextBody"/>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consummation of the business combination, the capital stock of Legacy SpringBig consisted of Series A, B and Seed preferred stock which was automatically convertible into common stock at the earlier of a $50.0 million initial public offering or vote of 63% of majority of preferred stockholders. The conversation rate of all preferred stock was at a one to one ratio to common stock. The preferred shares of stock were converted to SpringBig common stock at the Closing Date.</w:t>
      </w:r>
    </w:p>
    <w:p>
      <w:pPr>
        <w:pStyle w:val="TextBody"/>
        <w:spacing w:before="0" w:after="0"/>
        <w:ind w:left="0" w:right="0" w:firstLine="403"/>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consummation of the business combination, Legacy SpringBig. issued and outstanding shares were converted into shares of SpringBig common stock as follows:</w:t>
      </w:r>
    </w:p>
    <w:p>
      <w:pPr>
        <w:pStyle w:val="TextBody"/>
        <w:spacing w:before="0" w:after="0"/>
        <w:ind w:left="0" w:right="0" w:firstLine="360"/>
        <w:jc w:val="both"/>
        <w:rPr/>
      </w:pPr>
      <w:r>
        <w:rPr/>
      </w:r>
    </w:p>
    <w:tbl>
      <w:tblPr>
        <w:tblW w:w="7556" w:type="dxa"/>
        <w:jc w:val="left"/>
        <w:tblInd w:w="0" w:type="dxa"/>
        <w:tblCellMar>
          <w:top w:w="28" w:type="dxa"/>
          <w:left w:w="28" w:type="dxa"/>
          <w:bottom w:w="28" w:type="dxa"/>
          <w:right w:w="28" w:type="dxa"/>
        </w:tblCellMar>
      </w:tblPr>
      <w:tblGrid>
        <w:gridCol w:w="667"/>
        <w:gridCol w:w="588"/>
        <w:gridCol w:w="590"/>
        <w:gridCol w:w="109"/>
        <w:gridCol w:w="109"/>
        <w:gridCol w:w="109"/>
        <w:gridCol w:w="564"/>
        <w:gridCol w:w="564"/>
        <w:gridCol w:w="566"/>
        <w:gridCol w:w="109"/>
        <w:gridCol w:w="109"/>
        <w:gridCol w:w="109"/>
        <w:gridCol w:w="504"/>
        <w:gridCol w:w="504"/>
        <w:gridCol w:w="506"/>
        <w:gridCol w:w="109"/>
        <w:gridCol w:w="109"/>
        <w:gridCol w:w="109"/>
        <w:gridCol w:w="540"/>
        <w:gridCol w:w="541"/>
        <w:gridCol w:w="441"/>
      </w:tblGrid>
      <w:tr>
        <w:trPr/>
        <w:tc>
          <w:tcPr>
            <w:tcW w:w="66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Legacy SpringBig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Conversion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SpringBig </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4,585,202 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2,718,522 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5,088,944 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3,017,184 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Seed Preferred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6,911,715 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4,097,887 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14,105,371 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8,362,933 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30,691,232 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18,196,526 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Sponsor Escrow Agreement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Contingent and Earnout Shares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Legacy SpringBig’s common stock and the “engaged option holders” (employees or engaged consultants of Legacy SpringBig who held Legacy SpringBig options at the effective time of the business combination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pStyle w:val="TextBody"/>
        <w:spacing w:before="0" w:after="0"/>
        <w:ind w:left="0" w:right="0" w:firstLine="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a.7,000,000 contingent shares if the closing price of the Company’s common stock equals or exceeds $12.00 per share on any twenty (20) trading days in a thirty (30)-trading day period at any time after the Closing Date and no later than 60 months following the Closing Date;</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c.1,250,000 contingent shares if the closing price of the Company’s common stock equals or exceeds $18.00 per share on any twenty (20) trading days in a thirty (30)-trading day period at any time after the Closing Date and no later than 60 months following the Closing Date.</w:t>
      </w:r>
    </w:p>
    <w:p>
      <w:pPr>
        <w:pStyle w:val="TextBody"/>
        <w:spacing w:before="0" w:after="0"/>
        <w:rPr/>
      </w:pPr>
      <w:r>
        <w:rPr/>
      </w:r>
    </w:p>
    <w:p>
      <w:pPr>
        <w:pStyle w:val="TextBody"/>
        <w:spacing w:before="0" w:after="0"/>
        <w:rPr/>
      </w:pPr>
      <w:r>
        <w:rPr/>
      </w:r>
    </w:p>
    <w:p>
      <w:pPr>
        <w:pStyle w:val="TextBody"/>
        <w:spacing w:lineRule="auto" w:line="24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consummation of the business combination, the Company’s authorized capital stock is 350,000,000 shares, consisting of 300,000,000 shares of common stock and 50,000,000 shares of preferred stock, with par value of 0.0001 per share.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21 – NET LOSS PER SHARE</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Given the consummation of the business combination, </w:t>
      </w:r>
      <w:r>
        <w:rPr>
          <w:rFonts w:ascii="Times New Roman;sans-serif" w:hAnsi="Times New Roman;sans-serif"/>
          <w:b w:val="false"/>
          <w:i/>
          <w:color w:val="000000"/>
          <w:sz w:val="20"/>
        </w:rPr>
        <w:t>ASC 805</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states that the equity structure for the prior period of Legacy SpringBig (the accounting acquirer) is restated using the exchange ratio established in the acquisition agreement to reflect the number of shares of the accounting acquiree issued in the business combination.</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there were 26,659,711 and 17,862,108 shares of common stock issued and outstanding, respectively.</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the net loss by the weighted-average number of shares of common stock outstanding during the period. Diluted net loss per share is computed by giving effect to all potential shares of common stock. Basic and diluted net loss per share was the same for each period presented, given that there are losses during the period, the inclusion of all potential common shares outstanding would have been anti-dilutive.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actual basic and diluted earnings per share for the years ended December 31, 2022 and 2021, respectively (in thousands, except share and per share data). </w:t>
      </w:r>
    </w:p>
    <w:p>
      <w:pPr>
        <w:pStyle w:val="TextBody"/>
        <w:spacing w:before="0" w:after="0"/>
        <w:ind w:left="0" w:right="0" w:firstLine="360"/>
        <w:jc w:val="both"/>
        <w:rPr/>
      </w:pPr>
      <w:r>
        <w:rPr/>
      </w:r>
    </w:p>
    <w:tbl>
      <w:tblPr>
        <w:tblW w:w="6817" w:type="dxa"/>
        <w:jc w:val="left"/>
        <w:tblInd w:w="0" w:type="dxa"/>
        <w:tblCellMar>
          <w:top w:w="28" w:type="dxa"/>
          <w:left w:w="28" w:type="dxa"/>
          <w:bottom w:w="28" w:type="dxa"/>
          <w:right w:w="28" w:type="dxa"/>
        </w:tblCellMar>
      </w:tblPr>
      <w:tblGrid>
        <w:gridCol w:w="1566"/>
        <w:gridCol w:w="1372"/>
        <w:gridCol w:w="1021"/>
        <w:gridCol w:w="109"/>
        <w:gridCol w:w="109"/>
        <w:gridCol w:w="109"/>
        <w:gridCol w:w="211"/>
        <w:gridCol w:w="796"/>
        <w:gridCol w:w="109"/>
        <w:gridCol w:w="109"/>
        <w:gridCol w:w="109"/>
        <w:gridCol w:w="109"/>
        <w:gridCol w:w="229"/>
        <w:gridCol w:w="691"/>
        <w:gridCol w:w="168"/>
      </w:tblGrid>
      <w:tr>
        <w:trPr/>
        <w:tc>
          <w:tcPr>
            <w:tcW w:w="1566"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1" w:type="dxa"/>
            <w:gridSpan w:val="9"/>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common shares outstanding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22,287,828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17,771,960</w:t>
            </w:r>
          </w:p>
        </w:tc>
      </w:tr>
      <w:tr>
        <w:trPr/>
        <w:tc>
          <w:tcPr>
            <w:tcW w:w="3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anti-dilutive securities excluded from the weighted-average shares used to calculate the diluted net loss per common share for the years ended December 31, 2022 and 2021 were as follows:</w:t>
      </w:r>
    </w:p>
    <w:p>
      <w:pPr>
        <w:pStyle w:val="TextBody"/>
        <w:spacing w:before="0" w:after="0"/>
        <w:ind w:left="0" w:right="0" w:firstLine="360"/>
        <w:rPr/>
      </w:pPr>
      <w:r>
        <w:rPr/>
      </w:r>
    </w:p>
    <w:tbl>
      <w:tblPr>
        <w:tblW w:w="8444" w:type="dxa"/>
        <w:jc w:val="left"/>
        <w:tblInd w:w="0" w:type="dxa"/>
        <w:tblCellMar>
          <w:top w:w="28" w:type="dxa"/>
          <w:left w:w="28" w:type="dxa"/>
          <w:bottom w:w="28" w:type="dxa"/>
          <w:right w:w="28" w:type="dxa"/>
        </w:tblCellMar>
      </w:tblPr>
      <w:tblGrid>
        <w:gridCol w:w="1689"/>
        <w:gridCol w:w="1482"/>
        <w:gridCol w:w="1493"/>
        <w:gridCol w:w="109"/>
        <w:gridCol w:w="109"/>
        <w:gridCol w:w="109"/>
        <w:gridCol w:w="667"/>
        <w:gridCol w:w="414"/>
        <w:gridCol w:w="258"/>
        <w:gridCol w:w="258"/>
        <w:gridCol w:w="258"/>
        <w:gridCol w:w="258"/>
        <w:gridCol w:w="603"/>
        <w:gridCol w:w="373"/>
        <w:gridCol w:w="364"/>
      </w:tblGrid>
      <w:tr>
        <w:trPr/>
        <w:tc>
          <w:tcPr>
            <w:tcW w:w="1689"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unvested and subject to exercise of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144,517 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4,628,311 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common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3,250,236 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2,174,126 </w:t>
            </w:r>
          </w:p>
        </w:tc>
        <w:tc>
          <w:tcPr>
            <w:tcW w:w="3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convertible notes stock conversion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816,667 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warrants stock conversion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16,586,980 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contingent earn out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10,500,000 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725,000 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NOTE 22 – BENEFIT PLAN</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safe harbor 401(k) retirement plan for the benefit of its employees. The plan allows participants to make contributions subject to certain limitations. Company matching contributions were $502,000 and $239,000 for the years ended December 31, 2022 and 2021, respectively.</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before="0" w:after="0"/>
        <w:rPr/>
      </w:pPr>
      <w:r>
        <w:rPr/>
      </w:r>
    </w:p>
    <w:p>
      <w:pPr>
        <w:pStyle w:val="TextBody"/>
        <w:spacing w:before="0" w:after="0"/>
        <w:ind w:left="0" w:right="0" w:firstLine="36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NOTE 23 – INCOME TAXES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consist of the following, (in thousands):</w:t>
      </w:r>
    </w:p>
    <w:p>
      <w:pPr>
        <w:pStyle w:val="TextBody"/>
        <w:spacing w:before="0" w:after="0"/>
        <w:jc w:val="both"/>
        <w:rPr/>
      </w:pPr>
      <w:r>
        <w:rPr/>
      </w:r>
    </w:p>
    <w:tbl>
      <w:tblPr>
        <w:tblW w:w="5876" w:type="dxa"/>
        <w:jc w:val="left"/>
        <w:tblInd w:w="0" w:type="dxa"/>
        <w:tblCellMar>
          <w:top w:w="28" w:type="dxa"/>
          <w:left w:w="28" w:type="dxa"/>
          <w:bottom w:w="28" w:type="dxa"/>
          <w:right w:w="28" w:type="dxa"/>
        </w:tblCellMar>
      </w:tblPr>
      <w:tblGrid>
        <w:gridCol w:w="1128"/>
        <w:gridCol w:w="993"/>
        <w:gridCol w:w="999"/>
        <w:gridCol w:w="109"/>
        <w:gridCol w:w="109"/>
        <w:gridCol w:w="109"/>
        <w:gridCol w:w="281"/>
        <w:gridCol w:w="541"/>
        <w:gridCol w:w="145"/>
        <w:gridCol w:w="145"/>
        <w:gridCol w:w="145"/>
        <w:gridCol w:w="145"/>
        <w:gridCol w:w="281"/>
        <w:gridCol w:w="541"/>
        <w:gridCol w:w="205"/>
      </w:tblGrid>
      <w:tr>
        <w:trPr/>
        <w:tc>
          <w:tcPr>
            <w:tcW w:w="1128"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9"/>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 and foreign components of loss from operations before income taxes were as follows (in thousands):</w:t>
      </w:r>
    </w:p>
    <w:p>
      <w:pPr>
        <w:pStyle w:val="TextBody"/>
        <w:spacing w:before="0" w:after="0"/>
        <w:ind w:left="0" w:right="0" w:firstLine="360"/>
        <w:jc w:val="both"/>
        <w:rPr/>
      </w:pPr>
      <w:r>
        <w:rPr/>
      </w:r>
    </w:p>
    <w:tbl>
      <w:tblPr>
        <w:tblW w:w="4746" w:type="dxa"/>
        <w:jc w:val="left"/>
        <w:tblInd w:w="0" w:type="dxa"/>
        <w:tblCellMar>
          <w:top w:w="28" w:type="dxa"/>
          <w:left w:w="28" w:type="dxa"/>
          <w:bottom w:w="28" w:type="dxa"/>
          <w:right w:w="28" w:type="dxa"/>
        </w:tblCellMar>
      </w:tblPr>
      <w:tblGrid>
        <w:gridCol w:w="696"/>
        <w:gridCol w:w="611"/>
        <w:gridCol w:w="613"/>
        <w:gridCol w:w="109"/>
        <w:gridCol w:w="109"/>
        <w:gridCol w:w="109"/>
        <w:gridCol w:w="211"/>
        <w:gridCol w:w="796"/>
        <w:gridCol w:w="109"/>
        <w:gridCol w:w="109"/>
        <w:gridCol w:w="109"/>
        <w:gridCol w:w="109"/>
        <w:gridCol w:w="211"/>
        <w:gridCol w:w="691"/>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actual provision (benefit) for income taxes from operations differ from the federal expected income tax provision as follows (in thousands):</w:t>
      </w:r>
    </w:p>
    <w:p>
      <w:pPr>
        <w:pStyle w:val="TextBody"/>
        <w:spacing w:before="0" w:after="0"/>
        <w:jc w:val="both"/>
        <w:rPr/>
      </w:pPr>
      <w:r>
        <w:rPr/>
      </w:r>
    </w:p>
    <w:tbl>
      <w:tblPr>
        <w:tblW w:w="9656" w:type="dxa"/>
        <w:jc w:val="left"/>
        <w:tblInd w:w="0" w:type="dxa"/>
        <w:tblCellMar>
          <w:top w:w="28" w:type="dxa"/>
          <w:left w:w="28" w:type="dxa"/>
          <w:bottom w:w="28" w:type="dxa"/>
          <w:right w:w="28" w:type="dxa"/>
        </w:tblCellMar>
      </w:tblPr>
      <w:tblGrid>
        <w:gridCol w:w="1758"/>
        <w:gridCol w:w="1548"/>
        <w:gridCol w:w="1553"/>
        <w:gridCol w:w="109"/>
        <w:gridCol w:w="109"/>
        <w:gridCol w:w="109"/>
        <w:gridCol w:w="211"/>
        <w:gridCol w:w="691"/>
        <w:gridCol w:w="109"/>
        <w:gridCol w:w="109"/>
        <w:gridCol w:w="109"/>
        <w:gridCol w:w="109"/>
        <w:gridCol w:w="216"/>
        <w:gridCol w:w="219"/>
        <w:gridCol w:w="276"/>
        <w:gridCol w:w="109"/>
        <w:gridCol w:w="109"/>
        <w:gridCol w:w="109"/>
        <w:gridCol w:w="211"/>
        <w:gridCol w:w="691"/>
        <w:gridCol w:w="109"/>
        <w:gridCol w:w="109"/>
        <w:gridCol w:w="109"/>
        <w:gridCol w:w="109"/>
        <w:gridCol w:w="216"/>
        <w:gridCol w:w="219"/>
        <w:gridCol w:w="321"/>
      </w:tblGrid>
      <w:tr>
        <w:trPr/>
        <w:tc>
          <w:tcPr>
            <w:tcW w:w="1758"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income tax provision (benefit) at statutory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taxes resulting from: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and losses taxed at different rates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Paycheck protection program forgiveness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or non-taxable items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income tax rate changes on deferred items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reflect the net tax effects of temporary differences between the carrying amounts of assets and liabilities for financial reporting purposes and the amounts used for income tax purposes. In assessing the realizability of deferred tax assets, Management evaluates whether it is more likely than not that some portion or all the deferred tax assets will not be realized. The ultimate realization of deferred tax assets is dependent upon the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generation of future taxable income during the periods in which those temporary differences become deductible. Management considers the scheduled reversal of deferred tax liabilities, projected future taxable income and tax planning strategies in making this assessment. Based on Management’s evaluation, the net deferred tax asset was offset by a full valuation allowance as of December 31, 2022 and 2021, respectively. The deferred tax asset valuation allowance will be reversed if and when the Company generates sufficient taxable income in the future to utilize the tax benefits of the related deferred tax assets.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 that give rise to a significant portion of deferred tax assets and tax liabilities for the years ended December 31, 2022 and 2021 are as follows (in thousands):</w:t>
      </w:r>
    </w:p>
    <w:p>
      <w:pPr>
        <w:pStyle w:val="TextBody"/>
        <w:spacing w:before="0" w:after="0"/>
        <w:ind w:left="0" w:right="0" w:firstLine="360"/>
        <w:jc w:val="both"/>
        <w:rPr/>
      </w:pPr>
      <w:r>
        <w:rPr/>
      </w:r>
    </w:p>
    <w:tbl>
      <w:tblPr>
        <w:tblW w:w="6069" w:type="dxa"/>
        <w:jc w:val="left"/>
        <w:tblInd w:w="0" w:type="dxa"/>
        <w:tblCellMar>
          <w:top w:w="28" w:type="dxa"/>
          <w:left w:w="28" w:type="dxa"/>
          <w:bottom w:w="28" w:type="dxa"/>
          <w:right w:w="28" w:type="dxa"/>
        </w:tblCellMar>
      </w:tblPr>
      <w:tblGrid>
        <w:gridCol w:w="1199"/>
        <w:gridCol w:w="1054"/>
        <w:gridCol w:w="1061"/>
        <w:gridCol w:w="109"/>
        <w:gridCol w:w="109"/>
        <w:gridCol w:w="109"/>
        <w:gridCol w:w="228"/>
        <w:gridCol w:w="667"/>
        <w:gridCol w:w="118"/>
        <w:gridCol w:w="118"/>
        <w:gridCol w:w="118"/>
        <w:gridCol w:w="118"/>
        <w:gridCol w:w="228"/>
        <w:gridCol w:w="667"/>
        <w:gridCol w:w="166"/>
      </w:tblGrid>
      <w:tr>
        <w:trPr/>
        <w:tc>
          <w:tcPr>
            <w:tcW w:w="119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9"/>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3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 US 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 US 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 Foreign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significant losses in recent periods. As a result, we maintained valuation allowances against our domestic and foreign deferred tax assets as of December 31, 2022 and 2021, to reduce their carrying values to amounts that are realizable either through future reversals of existing taxable temporary differences or through taxable income in carryback years for the applicable jurisdictions.</w:t>
      </w:r>
    </w:p>
    <w:p>
      <w:pPr>
        <w:pStyle w:val="TextBody"/>
        <w:spacing w:before="0" w:after="0"/>
        <w:ind w:left="0" w:right="0" w:firstLine="36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Company has federal net operating loss available to carryforward of approximately $26.4 million which will be carried forward indefinitely. Pursuant to IRC §382 of the Internal Revenue Code, the utilization of net operating loss carryforwards may be limited as a result of a cumulative change in stock ownership of more than 50% over a three-year period. The Company has not determined whether such a change has occurred and accordingly, the utilization of the net operating loss carryforwards may be subject to certain limitations.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state net and foreign operating loss available to carryforward of approximately $27.2 million and $2.2 million, respectively, which begin expiring in 2030 and 2037, respectively, as of December 31, 2022.</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taken and has concluded that as of December 31, 2022 and 2021, there are no uncertain tax positions taken, or expected to be taken, that would require recognition of a liability or disclosure in the financial statements.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interest and penalties arising on the underpayment of taxes if the full benefit of a tax position is not recognized in the financial statements. In accordance with ASC 740, Accounting for Income Taxes, interest and penalties are recorded as income tax expense. There have been no penalties or interest paid or incurred during the twelve months ended December 31, 2022 and 2021, respectively.</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required to analyze all open tax years, as defined by the statute of limitations, for all major jurisdictions, including federal and certain state taxing authorities. As of and for the twelve months ended December 31, 2022 and 2021, the Company did not have a liability for any unrecognized taxes. The Company has no examinations in progress and is not aware of any tax positions for which it is reasonably possible that the total amounts of unrecognized tax liabilities will significantly change in the next twelve months. The Company’s 2019 through 2021 tax years are open for examination for federal and state taxing authorities.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NOTE 24 – SUBSEQUENT EVENTS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considered subsequent events through March 28, 2023, the date this report was issued, and there were no events that required additional disclosure.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before="0" w:after="0"/>
        <w:rPr/>
      </w:pPr>
      <w:r>
        <w:rPr/>
      </w:r>
    </w:p>
    <w:p>
      <w:pPr>
        <w:pStyle w:val="TextBody"/>
        <w:spacing w:lineRule="auto" w:line="244" w:before="0" w:after="0"/>
        <w:ind w:left="0" w:right="0" w:firstLine="360"/>
        <w:jc w:val="both"/>
        <w:rPr/>
      </w:pPr>
      <w:r>
        <w:rPr>
          <w:rFonts w:ascii="Times New Roman;sans-serif" w:hAnsi="Times New Roman;sans-serif"/>
          <w:b w:val="false"/>
          <w:color w:val="000000"/>
          <w:sz w:val="20"/>
        </w:rPr>
        <w:t>Our disclosure controls and procedures and internal control over financial reporting are designed to provide reasonable assurance of achieving their objectives as defined under Rules 13a-15(e) and 15d-15(e) promulgated under the</w:t>
      </w:r>
      <w:r>
        <w:rPr>
          <w:color w:val="000000"/>
        </w:rPr>
        <w:t xml:space="preserve"> </w:t>
      </w:r>
      <w:r>
        <w:rPr>
          <w:rFonts w:ascii="Times New Roman;sans-serif" w:hAnsi="Times New Roman;sans-serif"/>
          <w:b w:val="false"/>
          <w:color w:val="000000"/>
          <w:sz w:val="20"/>
        </w:rPr>
        <w:t xml:space="preserve">Exchange Act. Management does not expect, however, that our disclosure controls and procedures or our internal controls over financial reporting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 </w:t>
      </w:r>
    </w:p>
    <w:p>
      <w:pPr>
        <w:pStyle w:val="TextBody"/>
        <w:spacing w:before="0" w:after="0"/>
        <w:jc w:val="both"/>
        <w:rPr/>
      </w:pPr>
      <w:r>
        <w:rPr/>
      </w:r>
    </w:p>
    <w:p>
      <w:pPr>
        <w:pStyle w:val="TextBody"/>
        <w:spacing w:lineRule="auto" w:line="24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Report on Internal Controls Over Financial Reporting</w:t>
      </w:r>
    </w:p>
    <w:p>
      <w:pPr>
        <w:pStyle w:val="TextBody"/>
        <w:spacing w:before="0" w:after="0"/>
        <w:jc w:val="both"/>
        <w:rPr/>
      </w:pPr>
      <w:r>
        <w:rPr/>
      </w:r>
    </w:p>
    <w:p>
      <w:pPr>
        <w:pStyle w:val="TextBody"/>
        <w:spacing w:lineRule="auto" w:line="244"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elsewhere in this Annual Report on Form 10-K, we completed the business combination on June 14, 2022. Prior to the business combination, Legacy SpringBig was a private company and, therefore, its controls were not required to be designed or maintained in accordance with Rules 13a-15 and 15d-15 under the Exchange Act. The design and implementation of internal control over financial reporting for the Company post-business combination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 comprehensive assessment of our internal control over financial reporting as of December 31, 2022. Accordingly, we are excluding management's report on internal control over financial reporting pursuant to Section 215.02 of the SEC Division of Corporation Finance's Regulation S-K Compliance &amp; Disclosure Interpretations.</w:t>
      </w:r>
    </w:p>
    <w:p>
      <w:pPr>
        <w:pStyle w:val="TextBody"/>
        <w:spacing w:before="0" w:after="0"/>
        <w:ind w:left="0" w:right="0" w:firstLine="360"/>
        <w:jc w:val="both"/>
        <w:rPr/>
      </w:pPr>
      <w:r>
        <w:rPr/>
      </w:r>
    </w:p>
    <w:p>
      <w:pPr>
        <w:pStyle w:val="TextBody"/>
        <w:spacing w:lineRule="auto" w:line="244"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concluded that at December 31, 2022, we had a material weakness. A “material weakness” is a deficiency, or combination of deficiencies, in internal control over financial reporting, such that there is more than a reasonable possibility that a material misstatement of the Company's annual or interim financial statements will not be prevented or detected on a timely basis. We concluded that we did not have accounting personnel with adequate expertise in GAAP to ensure that complex material and/or non-routine transactions are properly reflected in our consolidated financial statements. We also noted that we did not perform adequate independent reviews and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before="0" w:after="0"/>
        <w:rPr/>
      </w:pPr>
      <w:r>
        <w:rPr/>
      </w:r>
    </w:p>
    <w:p>
      <w:pPr>
        <w:pStyle w:val="TextBody"/>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maintain effective controls related to the preparation of consolidated financial statements, related notes thereto, account analyses, account summaries and account reconciliations.</w:t>
      </w:r>
    </w:p>
    <w:p>
      <w:pPr>
        <w:pStyle w:val="TextBody"/>
        <w:spacing w:before="0" w:after="0"/>
        <w:ind w:left="0" w:right="0" w:firstLine="360"/>
        <w:jc w:val="both"/>
        <w:rPr/>
      </w:pPr>
      <w:r>
        <w:rPr/>
      </w:r>
    </w:p>
    <w:p>
      <w:pPr>
        <w:pStyle w:val="TextBody"/>
        <w:spacing w:lineRule="auto" w:line="24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Attestation Report of the Registered Public Accounting Firm</w:t>
      </w:r>
    </w:p>
    <w:p>
      <w:pPr>
        <w:pStyle w:val="TextBody"/>
        <w:spacing w:before="0" w:after="0"/>
        <w:jc w:val="both"/>
        <w:rPr/>
      </w:pPr>
      <w:r>
        <w:rPr/>
      </w:r>
    </w:p>
    <w:p>
      <w:pPr>
        <w:pStyle w:val="TextBody"/>
        <w:spacing w:lineRule="auto" w:line="244"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an attestation report of our registered public accounting firm due to an exemption provided by the JOBS Act for “emerging growth companies.”</w:t>
      </w:r>
    </w:p>
    <w:p>
      <w:pPr>
        <w:pStyle w:val="TextBody"/>
        <w:spacing w:before="0" w:after="0"/>
        <w:ind w:left="0" w:right="0" w:firstLine="360"/>
        <w:jc w:val="both"/>
        <w:rPr/>
      </w:pPr>
      <w:r>
        <w:rPr/>
      </w:r>
    </w:p>
    <w:p>
      <w:pPr>
        <w:pStyle w:val="TextBody"/>
        <w:spacing w:lineRule="auto" w:line="24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before="0" w:after="0"/>
        <w:ind w:left="0" w:right="0" w:firstLine="360"/>
        <w:jc w:val="both"/>
        <w:rPr/>
      </w:pPr>
      <w:r>
        <w:rPr/>
      </w:r>
    </w:p>
    <w:p>
      <w:pPr>
        <w:pStyle w:val="TextBody"/>
        <w:spacing w:lineRule="auto" w:line="244"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of the Exchange Act) during the 4th quarter ended December 31, 2022, that have materially affected, or are reasonably likely to materially affect, our internal control over financial reporting.</w:t>
      </w:r>
    </w:p>
    <w:p>
      <w:pPr>
        <w:pStyle w:val="TextBody"/>
        <w:spacing w:before="0" w:after="0"/>
        <w:ind w:left="0" w:right="0" w:firstLine="360"/>
        <w:jc w:val="both"/>
        <w:rPr/>
      </w:pPr>
      <w:r>
        <w:rPr/>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pPr>
      <w:r>
        <w:rPr>
          <w:rFonts w:ascii="Times New Roman;sans-serif" w:hAnsi="Times New Roman;sans-serif"/>
          <w:b/>
          <w:color w:val="000000"/>
          <w:sz w:val="20"/>
        </w:rPr>
        <w:t>Item 9B. Other Information</w:t>
      </w:r>
      <w:r>
        <w:rPr>
          <w:color w:val="000000"/>
        </w:rPr>
        <w:t xml:space="preserve"> </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before="0" w:after="0"/>
        <w:rPr/>
      </w:pPr>
      <w:r>
        <w:rPr/>
      </w:r>
    </w:p>
    <w:p>
      <w:pPr>
        <w:pStyle w:val="TextBody"/>
        <w:spacing w:lineRule="auto" w:line="244"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center"/>
        <w:rPr/>
      </w:pPr>
      <w:r>
        <w:rPr/>
      </w:r>
    </w:p>
    <w:p>
      <w:pPr>
        <w:pStyle w:val="TextBody"/>
        <w:spacing w:before="0" w:after="0"/>
        <w:rPr/>
      </w:pPr>
      <w:r>
        <w:rPr/>
      </w:r>
    </w:p>
    <w:p>
      <w:pPr>
        <w:pStyle w:val="TextBody"/>
        <w:spacing w:lineRule="auto" w:line="244" w:before="0" w:after="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before="0" w:after="0"/>
        <w:rPr/>
      </w:pPr>
      <w:r>
        <w:rPr/>
      </w:r>
    </w:p>
    <w:p>
      <w:pPr>
        <w:pStyle w:val="TextBody"/>
        <w:spacing w:lineRule="auto" w:line="24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definitive Proxy Statement,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0" w:after="0"/>
        <w:rPr/>
      </w:pPr>
      <w:r>
        <w:rPr/>
      </w:r>
    </w:p>
    <w:p>
      <w:pPr>
        <w:pStyle w:val="TextBody"/>
        <w:spacing w:lineRule="auto" w:line="24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definitive Proxy Statement,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44" w:before="0" w:after="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rPr/>
      </w:pPr>
      <w:r>
        <w:rPr/>
      </w:r>
    </w:p>
    <w:p>
      <w:pPr>
        <w:pStyle w:val="TextBody"/>
        <w:spacing w:lineRule="auto" w:line="24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definitive Proxy Statement,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44" w:before="0" w:after="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0" w:after="0"/>
        <w:rPr/>
      </w:pPr>
      <w:r>
        <w:rPr/>
      </w:r>
    </w:p>
    <w:p>
      <w:pPr>
        <w:pStyle w:val="TextBody"/>
        <w:spacing w:lineRule="auto" w:line="24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definitive Proxy Statement,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44" w:before="0" w:after="0"/>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before="0" w:after="0"/>
        <w:rPr/>
      </w:pPr>
      <w:r>
        <w:rPr/>
      </w:r>
    </w:p>
    <w:p>
      <w:pPr>
        <w:pStyle w:val="TextBody"/>
        <w:spacing w:lineRule="auto" w:line="244"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under this Item will be contained in the definitive Proxy Statement, incorporated herein by reference.</w:t>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before="0" w:after="0"/>
        <w:rPr/>
      </w:pPr>
      <w:r>
        <w:rPr/>
      </w:r>
    </w:p>
    <w:p>
      <w:pPr>
        <w:pStyle w:val="TextBody"/>
        <w:spacing w:lineRule="auto" w:line="240" w:before="40" w:after="283"/>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Annual Report on Form 10-K.</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29"/>
        <w:gridCol w:w="290"/>
        <w:gridCol w:w="292"/>
        <w:gridCol w:w="1871"/>
        <w:gridCol w:w="1699"/>
        <w:gridCol w:w="1705"/>
        <w:gridCol w:w="477"/>
        <w:gridCol w:w="477"/>
        <w:gridCol w:w="483"/>
        <w:gridCol w:w="222"/>
        <w:gridCol w:w="222"/>
        <w:gridCol w:w="223"/>
        <w:gridCol w:w="442"/>
        <w:gridCol w:w="360"/>
        <w:gridCol w:w="297"/>
        <w:gridCol w:w="277"/>
        <w:gridCol w:w="254"/>
        <w:gridCol w:w="285"/>
      </w:tblGrid>
      <w:tr>
        <w:trPr/>
        <w:tc>
          <w:tcPr>
            <w:tcW w:w="32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1699"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2.1</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5">
              <w:r>
                <w:rPr>
                  <w:rStyle w:val="InternetLink"/>
                  <w:rFonts w:ascii="Times New Roman;sans-serif" w:hAnsi="Times New Roman;sans-serif"/>
                  <w:b w:val="false"/>
                  <w:color w:val="0000FF"/>
                  <w:sz w:val="16"/>
                  <w:u w:val="single"/>
                </w:rPr>
                <w:t>Amended and Restated Merger Agreement with Amendment No. 1.</w:t>
              </w:r>
            </w:hyperlink>
          </w:p>
        </w:tc>
        <w:tc>
          <w:tcPr>
            <w:tcW w:w="14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Proxy Statement / Prospectus</w:t>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Annex A</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17, 2022</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333-262628</w:t>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Certificate of Incorporation of SpringBig Holdings, Inc.</w:t>
            </w:r>
          </w:p>
        </w:tc>
        <w:tc>
          <w:tcPr>
            <w:tcW w:w="14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By-Laws of SpringBig Holdings, Inc.</w:t>
            </w:r>
          </w:p>
        </w:tc>
        <w:tc>
          <w:tcPr>
            <w:tcW w:w="14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4.1</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6">
              <w:r>
                <w:rPr>
                  <w:rStyle w:val="InternetLink"/>
                  <w:rFonts w:ascii="Times New Roman;sans-serif" w:hAnsi="Times New Roman;sans-serif"/>
                  <w:b w:val="false"/>
                  <w:color w:val="0000FF"/>
                  <w:sz w:val="16"/>
                  <w:u w:val="single"/>
                </w:rPr>
                <w:t>Senior Secured Original Issue Discount Convertible Promissory Note dated June 14, 2022 between SpringBig Holdings, Inc. and the holder party thereto.</w:t>
              </w:r>
            </w:hyperlink>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4.1</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21, 2022</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4.2</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7">
              <w:r>
                <w:rPr>
                  <w:rStyle w:val="InternetLink"/>
                  <w:rFonts w:ascii="Times New Roman;sans-serif" w:hAnsi="Times New Roman;sans-serif"/>
                  <w:b w:val="false"/>
                  <w:color w:val="0000FF"/>
                  <w:sz w:val="16"/>
                  <w:u w:val="single"/>
                </w:rPr>
                <w:t>Common Stock Purchase Warrant SpringBig Holdings Inc.</w:t>
              </w:r>
            </w:hyperlink>
          </w:p>
        </w:tc>
        <w:tc>
          <w:tcPr>
            <w:tcW w:w="14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4.2</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21, 2022</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4.3</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8">
              <w:r>
                <w:rPr>
                  <w:rStyle w:val="InternetLink"/>
                  <w:rFonts w:ascii="Times New Roman;sans-serif" w:hAnsi="Times New Roman;sans-serif"/>
                  <w:b w:val="false"/>
                  <w:color w:val="0000FF"/>
                  <w:sz w:val="16"/>
                  <w:u w:val="single"/>
                </w:rPr>
                <w:t>Amendment to Secured Original Issue Discount Convertible Promissory Note dated December 1, 2022 between SpringBig Holdings, Inc. and the holder party thereto.</w:t>
              </w:r>
            </w:hyperlink>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8-K/A</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01, 2022</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4.4*</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 of Securities of SpringBig Holdings Inc.</w:t>
            </w:r>
          </w:p>
        </w:tc>
        <w:tc>
          <w:tcPr>
            <w:tcW w:w="14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4.5</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9">
              <w:r>
                <w:rPr>
                  <w:rStyle w:val="InternetLink"/>
                  <w:rFonts w:ascii="Times New Roman;sans-serif" w:hAnsi="Times New Roman;sans-serif"/>
                  <w:b w:val="false"/>
                  <w:color w:val="0000FF"/>
                  <w:sz w:val="16"/>
                  <w:u w:val="single"/>
                </w:rPr>
                <w:t>Warrant Agreement, dated as of February 11, 2021, by and between Tuatara Capital Acquisition Corporation and Continental Stock Transfer &amp; Trust Company, as warrant agent.</w:t>
              </w:r>
            </w:hyperlink>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4.1</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17, 2021</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10">
              <w:r>
                <w:rPr>
                  <w:rStyle w:val="InternetLink"/>
                  <w:rFonts w:ascii="Times New Roman;sans-serif" w:hAnsi="Times New Roman;sans-serif"/>
                  <w:b w:val="false"/>
                  <w:color w:val="0000FF"/>
                  <w:sz w:val="16"/>
                  <w:u w:val="single"/>
                </w:rPr>
                <w:t>Form of Sponsor Escrow Agreement.</w:t>
              </w:r>
            </w:hyperlink>
          </w:p>
        </w:tc>
        <w:tc>
          <w:tcPr>
            <w:tcW w:w="14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21, 2022</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10.2</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1">
              <w:r>
                <w:rPr>
                  <w:rStyle w:val="InternetLink"/>
                  <w:rFonts w:ascii="Times New Roman;sans-serif" w:hAnsi="Times New Roman;sans-serif"/>
                  <w:b w:val="false"/>
                  <w:color w:val="0000FF"/>
                  <w:sz w:val="16"/>
                  <w:u w:val="single"/>
                </w:rPr>
                <w:t>Amended and Restated Registration Rights Agreement, dated June 14, 2022, by and among New SpringBig, the Sponsor and other holders party thereto.</w:t>
              </w:r>
            </w:hyperlink>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10.2</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21, 2022</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10.3</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12">
              <w:r>
                <w:rPr>
                  <w:rStyle w:val="InternetLink"/>
                  <w:rFonts w:ascii="Times New Roman;sans-serif" w:hAnsi="Times New Roman;sans-serif"/>
                  <w:b w:val="false"/>
                  <w:color w:val="0000FF"/>
                  <w:sz w:val="16"/>
                  <w:u w:val="single"/>
                </w:rPr>
                <w:t>Form of Subscription Agreement.</w:t>
              </w:r>
            </w:hyperlink>
          </w:p>
        </w:tc>
        <w:tc>
          <w:tcPr>
            <w:tcW w:w="14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10.2</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09, 2021</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10.4</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3">
              <w:r>
                <w:rPr>
                  <w:rStyle w:val="InternetLink"/>
                  <w:rFonts w:ascii="Times New Roman;sans-serif" w:hAnsi="Times New Roman;sans-serif"/>
                  <w:b w:val="false"/>
                  <w:color w:val="0000FF"/>
                  <w:sz w:val="16"/>
                  <w:u w:val="single"/>
                </w:rPr>
                <w:t>Securities Purchase Agreement, dated April 29, 2022, among Tuatara Capital Acquisition Corporation, and L1 Capital Global Opportunities Master Fund.</w:t>
              </w:r>
            </w:hyperlink>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10.3</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02, 2022</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10.5</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14">
              <w:r>
                <w:rPr>
                  <w:rStyle w:val="InternetLink"/>
                  <w:rFonts w:ascii="Times New Roman;sans-serif" w:hAnsi="Times New Roman;sans-serif"/>
                  <w:b w:val="false"/>
                  <w:color w:val="0000FF"/>
                  <w:sz w:val="16"/>
                  <w:u w:val="single"/>
                </w:rPr>
                <w:t>Registration Rights Agreement, dated June 14, 2022, among SpringBig Holdings, Inc. and the investors party thereto.</w:t>
              </w:r>
            </w:hyperlink>
          </w:p>
        </w:tc>
        <w:tc>
          <w:tcPr>
            <w:tcW w:w="14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10.5</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21, 2022</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10.6#</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5">
              <w:r>
                <w:rPr>
                  <w:rStyle w:val="InternetLink"/>
                  <w:rFonts w:ascii="Times New Roman;sans-serif" w:hAnsi="Times New Roman;sans-serif"/>
                  <w:b w:val="false"/>
                  <w:color w:val="0000FF"/>
                  <w:sz w:val="16"/>
                  <w:u w:val="single"/>
                </w:rPr>
                <w:t>SpringBig Holdings, Inc. 2022 Long-Term Incentive Plan.</w:t>
              </w:r>
            </w:hyperlink>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10.6</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21, 2022</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10.7#</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16">
              <w:r>
                <w:rPr>
                  <w:rStyle w:val="InternetLink"/>
                  <w:rFonts w:ascii="Times New Roman;sans-serif" w:hAnsi="Times New Roman;sans-serif"/>
                  <w:b w:val="false"/>
                  <w:color w:val="0000FF"/>
                  <w:sz w:val="16"/>
                  <w:u w:val="single"/>
                </w:rPr>
                <w:t>Executive Employment Agreement, dated November 8, 2021 by and between SpringBig and Jeffrey Harris.</w:t>
              </w:r>
            </w:hyperlink>
          </w:p>
        </w:tc>
        <w:tc>
          <w:tcPr>
            <w:tcW w:w="14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10.7</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21, 2022</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10.8#</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7">
              <w:r>
                <w:rPr>
                  <w:rStyle w:val="InternetLink"/>
                  <w:rFonts w:ascii="Times New Roman;sans-serif" w:hAnsi="Times New Roman;sans-serif"/>
                  <w:b w:val="false"/>
                  <w:color w:val="0000FF"/>
                  <w:sz w:val="16"/>
                  <w:u w:val="single"/>
                </w:rPr>
                <w:t>Executive Employment Agreement, dated November 8, 2021 by and between SpringBig and Paul Sykes.</w:t>
              </w:r>
            </w:hyperlink>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10.7</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21, 2022</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10.9†</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18">
              <w:r>
                <w:rPr>
                  <w:rStyle w:val="InternetLink"/>
                  <w:rFonts w:ascii="Times New Roman;sans-serif" w:hAnsi="Times New Roman;sans-serif"/>
                  <w:b w:val="false"/>
                  <w:color w:val="0000FF"/>
                  <w:sz w:val="16"/>
                  <w:u w:val="single"/>
                </w:rPr>
                <w:t>Purchase Agreement, dated April 29, 2022, between Tuatara Capital Acquisition Corporation and CF Principal Investments LLC.</w:t>
              </w:r>
            </w:hyperlink>
          </w:p>
        </w:tc>
        <w:tc>
          <w:tcPr>
            <w:tcW w:w="14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10.2</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02, 2022</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10.10</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9">
              <w:r>
                <w:rPr>
                  <w:rStyle w:val="InternetLink"/>
                  <w:rFonts w:ascii="Times New Roman;sans-serif" w:hAnsi="Times New Roman;sans-serif"/>
                  <w:b w:val="false"/>
                  <w:color w:val="0000FF"/>
                  <w:sz w:val="16"/>
                  <w:u w:val="single"/>
                </w:rPr>
                <w:t>Registration Rights Agreement, dated April 29, 2022, between Tuatara Capital Acquisition Corporation and CF Principal Investments LLC.</w:t>
              </w:r>
            </w:hyperlink>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10.3</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02, 2022</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10.11†</w:t>
            </w:r>
          </w:p>
        </w:tc>
        <w:tc>
          <w:tcPr>
            <w:tcW w:w="527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20">
              <w:r>
                <w:rPr>
                  <w:rStyle w:val="InternetLink"/>
                  <w:rFonts w:ascii="Times New Roman;sans-serif" w:hAnsi="Times New Roman;sans-serif"/>
                  <w:b w:val="false"/>
                  <w:color w:val="0000FF"/>
                  <w:sz w:val="16"/>
                  <w:u w:val="single"/>
                </w:rPr>
                <w:t>Amendment No. 1 to Purchase Agreement, dated July 20, 2022, by and between SpringBig Holdings, Inc. and CF Principal Investments LLC.</w:t>
              </w:r>
            </w:hyperlink>
          </w:p>
        </w:tc>
        <w:tc>
          <w:tcPr>
            <w:tcW w:w="14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S-1</w:t>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10.11</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22, 2022</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333-266293</w:t>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w:t>
            </w:r>
          </w:p>
        </w:tc>
        <w:tc>
          <w:tcPr>
            <w:tcW w:w="527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21">
              <w:r>
                <w:rPr>
                  <w:rStyle w:val="InternetLink"/>
                  <w:rFonts w:ascii="Times New Roman;sans-serif" w:hAnsi="Times New Roman;sans-serif"/>
                  <w:b w:val="false"/>
                  <w:color w:val="0000FF"/>
                  <w:sz w:val="16"/>
                  <w:u w:val="single"/>
                </w:rPr>
                <w:t>Amendment to Purchase Agreement, dated December 1, 2022, by and between SpringBig Holdings, Inc. and L1 Capital Global Opportunities Master Fund.</w:t>
              </w:r>
            </w:hyperlink>
          </w:p>
        </w:tc>
        <w:tc>
          <w:tcPr>
            <w:tcW w:w="14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8-K/A</w:t>
            </w:r>
          </w:p>
        </w:tc>
        <w:tc>
          <w:tcPr>
            <w:tcW w:w="6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1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01, 2022</w:t>
            </w:r>
          </w:p>
        </w:tc>
        <w:tc>
          <w:tcPr>
            <w:tcW w:w="8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10.13</w:t>
            </w:r>
          </w:p>
        </w:tc>
        <w:tc>
          <w:tcPr>
            <w:tcW w:w="5275" w:type="dxa"/>
            <w:gridSpan w:val="3"/>
            <w:tcBorders/>
            <w:shd w:fill="FFFFFF" w:val="clear"/>
            <w:tcMar>
              <w:top w:w="0" w:type="dxa"/>
              <w:left w:w="0" w:type="dxa"/>
              <w:bottom w:w="0" w:type="dxa"/>
              <w:right w:w="0" w:type="dxa"/>
            </w:tcMar>
            <w:vAlign w:val="center"/>
          </w:tcPr>
          <w:p>
            <w:pPr>
              <w:pStyle w:val="TableContents"/>
              <w:spacing w:lineRule="auto" w:line="208" w:before="0" w:after="0"/>
              <w:jc w:val="left"/>
              <w:rPr/>
            </w:pPr>
            <w:hyperlink r:id="rId22">
              <w:r>
                <w:rPr>
                  <w:rStyle w:val="InternetLink"/>
                  <w:rFonts w:ascii="Times New Roman;sans-serif" w:hAnsi="Times New Roman;sans-serif"/>
                  <w:b w:val="false"/>
                  <w:color w:val="0000FF"/>
                  <w:sz w:val="16"/>
                  <w:u w:val="single"/>
                </w:rPr>
                <w:t>Amendment No. 2 to Purchase Agreement, dated December 28, 2022, by and between SpringBig Holdings, Inc. and L1 Capital Global Opportunities Master Fund.</w:t>
              </w:r>
            </w:hyperlink>
          </w:p>
        </w:tc>
        <w:tc>
          <w:tcPr>
            <w:tcW w:w="14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2022</w:t>
            </w:r>
          </w:p>
        </w:tc>
        <w:tc>
          <w:tcPr>
            <w:tcW w:w="8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21.1*</w:t>
            </w:r>
          </w:p>
        </w:tc>
        <w:tc>
          <w:tcPr>
            <w:tcW w:w="5275" w:type="dxa"/>
            <w:gridSpan w:val="3"/>
            <w:tcBorders/>
            <w:shd w:fill="CCEE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Subsidiaries of SpringBig Holdings, Inc.</w:t>
            </w:r>
          </w:p>
        </w:tc>
        <w:tc>
          <w:tcPr>
            <w:tcW w:w="14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23.1*</w:t>
            </w:r>
          </w:p>
        </w:tc>
        <w:tc>
          <w:tcPr>
            <w:tcW w:w="5275" w:type="dxa"/>
            <w:gridSpan w:val="3"/>
            <w:tcBorders/>
            <w:shd w:fill="FFFF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Consent of Marcum LLP, Independent Registered Public Accounting Firm of SpringBig Holdings, Inc.</w:t>
            </w:r>
          </w:p>
        </w:tc>
        <w:tc>
          <w:tcPr>
            <w:tcW w:w="14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24.1*</w:t>
            </w:r>
          </w:p>
        </w:tc>
        <w:tc>
          <w:tcPr>
            <w:tcW w:w="5275" w:type="dxa"/>
            <w:gridSpan w:val="3"/>
            <w:tcBorders/>
            <w:shd w:fill="CCEE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Power of Attorney (incorporated by reference to the signature page of this Annual Report on Form 10-K).</w:t>
            </w:r>
          </w:p>
        </w:tc>
        <w:tc>
          <w:tcPr>
            <w:tcW w:w="14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31.1*</w:t>
            </w:r>
          </w:p>
        </w:tc>
        <w:tc>
          <w:tcPr>
            <w:tcW w:w="5275" w:type="dxa"/>
            <w:gridSpan w:val="3"/>
            <w:tcBorders/>
            <w:shd w:fill="FFFF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Chief Executive Officer pursuant to Section 302 of the Sarbanes-Oxley Act of 2002.</w:t>
            </w:r>
          </w:p>
        </w:tc>
        <w:tc>
          <w:tcPr>
            <w:tcW w:w="14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31.2*</w:t>
            </w:r>
          </w:p>
        </w:tc>
        <w:tc>
          <w:tcPr>
            <w:tcW w:w="5275" w:type="dxa"/>
            <w:gridSpan w:val="3"/>
            <w:tcBorders/>
            <w:shd w:fill="CCEE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Chief Financial Officer pursuant to Section 302 of the Sarbanes-Oxley Act of 2002.</w:t>
            </w:r>
          </w:p>
        </w:tc>
        <w:tc>
          <w:tcPr>
            <w:tcW w:w="14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32.1**</w:t>
            </w:r>
          </w:p>
        </w:tc>
        <w:tc>
          <w:tcPr>
            <w:tcW w:w="5275" w:type="dxa"/>
            <w:gridSpan w:val="3"/>
            <w:tcBorders/>
            <w:shd w:fill="FFFF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Chief Executive Officer pursuant to Section 906 of the Sarbanes-Oxley Act of 2002.</w:t>
            </w:r>
          </w:p>
        </w:tc>
        <w:tc>
          <w:tcPr>
            <w:tcW w:w="14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02"/>
        <w:gridCol w:w="259"/>
        <w:gridCol w:w="263"/>
        <w:gridCol w:w="2123"/>
        <w:gridCol w:w="2123"/>
        <w:gridCol w:w="2128"/>
        <w:gridCol w:w="127"/>
        <w:gridCol w:w="127"/>
        <w:gridCol w:w="127"/>
        <w:gridCol w:w="140"/>
        <w:gridCol w:w="140"/>
        <w:gridCol w:w="141"/>
        <w:gridCol w:w="416"/>
        <w:gridCol w:w="398"/>
        <w:gridCol w:w="400"/>
        <w:gridCol w:w="294"/>
        <w:gridCol w:w="284"/>
        <w:gridCol w:w="413"/>
      </w:tblGrid>
      <w:tr>
        <w:trPr/>
        <w:tc>
          <w:tcPr>
            <w:tcW w:w="30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212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32.2**</w:t>
            </w:r>
          </w:p>
        </w:tc>
        <w:tc>
          <w:tcPr>
            <w:tcW w:w="6374" w:type="dxa"/>
            <w:gridSpan w:val="3"/>
            <w:tcBorders/>
            <w:shd w:fill="CCEE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Certification of Chief Financial Officer pursuant to Section 906 of the Sarbanes-Oxley Act of 2002.</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99.1</w:t>
            </w:r>
          </w:p>
        </w:tc>
        <w:tc>
          <w:tcPr>
            <w:tcW w:w="6374" w:type="dxa"/>
            <w:gridSpan w:val="3"/>
            <w:tcBorders/>
            <w:shd w:fill="FFFFFF" w:val="clear"/>
            <w:tcMar>
              <w:top w:w="0" w:type="dxa"/>
              <w:left w:w="0" w:type="dxa"/>
              <w:bottom w:w="0" w:type="dxa"/>
              <w:right w:w="0" w:type="dxa"/>
            </w:tcMar>
            <w:vAlign w:val="center"/>
          </w:tcPr>
          <w:p>
            <w:pPr>
              <w:pStyle w:val="TableContents"/>
              <w:spacing w:lineRule="auto" w:line="208" w:before="0" w:after="0"/>
              <w:jc w:val="left"/>
              <w:rPr/>
            </w:pPr>
            <w:hyperlink r:id="rId23">
              <w:r>
                <w:rPr>
                  <w:rStyle w:val="InternetLink"/>
                  <w:rFonts w:ascii="Times New Roman;sans-serif" w:hAnsi="Times New Roman;sans-serif"/>
                  <w:b w:val="false"/>
                  <w:color w:val="0000FF"/>
                  <w:sz w:val="16"/>
                  <w:u w:val="single"/>
                </w:rPr>
                <w:t>SpringBig Holdings, Inc. 2022 Long-Term Incentive Plan.</w:t>
              </w:r>
            </w:hyperlink>
          </w:p>
        </w:tc>
        <w:tc>
          <w:tcPr>
            <w:tcW w:w="3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4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99.1</w:t>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21, 2022</w:t>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99.2</w:t>
            </w:r>
          </w:p>
        </w:tc>
        <w:tc>
          <w:tcPr>
            <w:tcW w:w="6374" w:type="dxa"/>
            <w:gridSpan w:val="3"/>
            <w:tcBorders/>
            <w:shd w:fill="CCEEFF" w:val="clear"/>
            <w:tcMar>
              <w:top w:w="0" w:type="dxa"/>
              <w:left w:w="0" w:type="dxa"/>
              <w:bottom w:w="0" w:type="dxa"/>
              <w:right w:w="0" w:type="dxa"/>
            </w:tcMar>
            <w:vAlign w:val="center"/>
          </w:tcPr>
          <w:p>
            <w:pPr>
              <w:pStyle w:val="TableContents"/>
              <w:spacing w:lineRule="auto" w:line="208" w:before="0" w:after="0"/>
              <w:jc w:val="left"/>
              <w:rPr/>
            </w:pPr>
            <w:hyperlink r:id="rId24">
              <w:r>
                <w:rPr>
                  <w:rStyle w:val="InternetLink"/>
                  <w:rFonts w:ascii="Times New Roman;sans-serif" w:hAnsi="Times New Roman;sans-serif"/>
                  <w:b w:val="false"/>
                  <w:color w:val="0000FF"/>
                  <w:sz w:val="16"/>
                  <w:u w:val="single"/>
                </w:rPr>
                <w:t>Form of Restricted Stock Unit Agreement.</w:t>
              </w:r>
            </w:hyperlink>
          </w:p>
        </w:tc>
        <w:tc>
          <w:tcPr>
            <w:tcW w:w="3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S-8</w:t>
            </w:r>
          </w:p>
        </w:tc>
        <w:tc>
          <w:tcPr>
            <w:tcW w:w="4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99.2</w:t>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August 22, 2022</w:t>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333-267011</w:t>
            </w:r>
          </w:p>
        </w:tc>
      </w:tr>
      <w:tr>
        <w:trPr/>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101.INS*</w:t>
            </w:r>
          </w:p>
        </w:tc>
        <w:tc>
          <w:tcPr>
            <w:tcW w:w="6374" w:type="dxa"/>
            <w:gridSpan w:val="3"/>
            <w:tcBorders/>
            <w:shd w:fill="FFFF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Document[2]</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101.SCH*</w:t>
            </w:r>
          </w:p>
        </w:tc>
        <w:tc>
          <w:tcPr>
            <w:tcW w:w="6374" w:type="dxa"/>
            <w:gridSpan w:val="3"/>
            <w:tcBorders/>
            <w:shd w:fill="CCEE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Schema Document</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101.CAL*</w:t>
            </w:r>
          </w:p>
        </w:tc>
        <w:tc>
          <w:tcPr>
            <w:tcW w:w="6374" w:type="dxa"/>
            <w:gridSpan w:val="3"/>
            <w:tcBorders/>
            <w:shd w:fill="FFFFFF" w:val="clear"/>
            <w:tcMar>
              <w:top w:w="0" w:type="dxa"/>
              <w:left w:w="0" w:type="dxa"/>
              <w:bottom w:w="0" w:type="dxa"/>
              <w:right w:w="0" w:type="dxa"/>
            </w:tcMar>
            <w:vAlign w:val="center"/>
          </w:tcPr>
          <w:p>
            <w:pPr>
              <w:pStyle w:val="TableContents"/>
              <w:spacing w:lineRule="auto" w:line="20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Calculation Linkbase Document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 Document</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Labels Linkbase Document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Presentation Linkbase Document</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(embedded within the Inline XBRL document)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44" w:before="0" w:after="0"/>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Filed herewith.</w:t>
      </w:r>
    </w:p>
    <w:p>
      <w:pPr>
        <w:pStyle w:val="TextBody"/>
        <w:spacing w:lineRule="auto" w:line="244" w:before="0" w:after="0"/>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Furnished herewith.</w:t>
      </w:r>
    </w:p>
    <w:p>
      <w:pPr>
        <w:pStyle w:val="TextBody"/>
        <w:spacing w:lineRule="auto" w:line="244" w:before="0" w:after="0"/>
        <w:rPr>
          <w:rFonts w:ascii="Times New Roman;sans-serif" w:hAnsi="Times New Roman;sans-serif"/>
          <w:b w:val="false"/>
          <w:color w:val="000000"/>
          <w:sz w:val="20"/>
        </w:rPr>
      </w:pPr>
      <w:r>
        <w:rPr>
          <w:rFonts w:ascii="Times New Roman;sans-serif" w:hAnsi="Times New Roman;sans-serif"/>
          <w:b w:val="false"/>
          <w:color w:val="000000"/>
          <w:sz w:val="20"/>
        </w:rPr>
        <w:t># Indicates a management or compensatory plan.</w:t>
      </w:r>
    </w:p>
    <w:p>
      <w:pPr>
        <w:pStyle w:val="TextBody"/>
        <w:spacing w:lineRule="auto" w:line="244" w:before="0" w:after="0"/>
        <w:rPr>
          <w:color w:val="000000"/>
        </w:rPr>
      </w:pPr>
      <w:r>
        <w:rPr>
          <w:color w:val="000000"/>
        </w:rPr>
        <w:t xml:space="preserve">† </w:t>
      </w:r>
      <w:r>
        <w:rPr>
          <w:rFonts w:ascii="Times New Roman;sans-serif" w:hAnsi="Times New Roman;sans-serif"/>
          <w:b w:val="false"/>
          <w:color w:val="000000"/>
          <w:sz w:val="20"/>
        </w:rPr>
        <w:t>Schedules to this exhibit have been omitted pursuant to Item 601(b)(2) of Registration S-K. The Registrant hereby agrees to furnish a copy of any omitted schedules to the Commission upon request.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7" w:before="0" w:after="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rPr/>
      </w:pPr>
      <w:r>
        <w:rPr/>
      </w:r>
    </w:p>
    <w:p>
      <w:pPr>
        <w:pStyle w:val="TextBody"/>
        <w:spacing w:lineRule="auto" w:line="247"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before="0" w:after="0"/>
        <w:rPr/>
      </w:pPr>
      <w:r>
        <w:rPr/>
      </w:r>
    </w:p>
    <w:p>
      <w:pPr>
        <w:pStyle w:val="TextBody"/>
        <w:spacing w:lineRule="auto" w:line="247"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47"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firstLine="495"/>
        <w:rPr/>
      </w:pPr>
      <w:r>
        <w:rPr/>
      </w:r>
    </w:p>
    <w:p>
      <w:pPr>
        <w:pStyle w:val="TextBody"/>
        <w:spacing w:before="0" w:after="0"/>
        <w:ind w:left="0" w:right="0" w:firstLine="495"/>
        <w:rPr/>
      </w:pPr>
      <w:r>
        <w:rPr/>
      </w:r>
    </w:p>
    <w:p>
      <w:pPr>
        <w:pStyle w:val="TextBody"/>
        <w:spacing w:lineRule="auto" w:line="247" w:before="0" w:after="0"/>
        <w:ind w:left="0" w:right="0" w:firstLine="45"/>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spacing w:before="0" w:after="0"/>
        <w:ind w:left="0" w:right="0" w:firstLine="495"/>
        <w:jc w:val="center"/>
        <w:rPr/>
      </w:pPr>
      <w:r>
        <w:rPr/>
      </w:r>
    </w:p>
    <w:tbl>
      <w:tblPr>
        <w:tblW w:w="3774" w:type="dxa"/>
        <w:jc w:val="center"/>
        <w:tblInd w:w="0" w:type="dxa"/>
        <w:tblCellMar>
          <w:top w:w="28" w:type="dxa"/>
          <w:left w:w="28" w:type="dxa"/>
          <w:bottom w:w="28" w:type="dxa"/>
          <w:right w:w="28" w:type="dxa"/>
        </w:tblCellMar>
      </w:tblPr>
      <w:tblGrid>
        <w:gridCol w:w="232"/>
        <w:gridCol w:w="205"/>
        <w:gridCol w:w="208"/>
        <w:gridCol w:w="109"/>
        <w:gridCol w:w="109"/>
        <w:gridCol w:w="109"/>
        <w:gridCol w:w="809"/>
        <w:gridCol w:w="809"/>
        <w:gridCol w:w="812"/>
        <w:gridCol w:w="109"/>
        <w:gridCol w:w="109"/>
        <w:gridCol w:w="154"/>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Harris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5"/>
        <w:jc w:val="center"/>
        <w:rPr/>
      </w:pPr>
      <w:r>
        <w:rPr/>
      </w:r>
    </w:p>
    <w:p>
      <w:pPr>
        <w:pStyle w:val="TextBody"/>
        <w:spacing w:before="0" w:after="0"/>
        <w:ind w:left="0" w:right="0" w:firstLine="495"/>
        <w:jc w:val="center"/>
        <w:rPr/>
      </w:pPr>
      <w:r>
        <w:rPr/>
      </w:r>
    </w:p>
    <w:p>
      <w:pPr>
        <w:pStyle w:val="TextBody"/>
        <w:spacing w:lineRule="auto" w:line="244" w:before="0" w:after="0"/>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before="0" w:after="0"/>
        <w:ind w:left="0" w:right="0" w:firstLine="495"/>
        <w:jc w:val="center"/>
        <w:rPr/>
      </w:pPr>
      <w:r>
        <w:rPr/>
      </w:r>
    </w:p>
    <w:p>
      <w:pPr>
        <w:pStyle w:val="TextBody"/>
        <w:spacing w:lineRule="auto" w:line="244"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Jeffrey Harris and Paul Sykes,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ind w:left="0" w:right="0" w:firstLine="495"/>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before="0" w:after="0"/>
        <w:rPr/>
      </w:pPr>
      <w:r>
        <w:rPr/>
      </w:r>
    </w:p>
    <w:p>
      <w:pPr>
        <w:pStyle w:val="TextBody"/>
        <w:spacing w:lineRule="auto" w:line="244"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rPr/>
      </w:pPr>
      <w:r>
        <w:rPr/>
      </w:r>
    </w:p>
    <w:p>
      <w:pPr>
        <w:pStyle w:val="TextBody"/>
        <w:spacing w:before="0" w:after="0"/>
        <w:rPr/>
      </w:pPr>
      <w:r>
        <w:rPr/>
      </w:r>
    </w:p>
    <w:tbl>
      <w:tblPr>
        <w:tblW w:w="7605" w:type="dxa"/>
        <w:jc w:val="left"/>
        <w:tblInd w:w="0" w:type="dxa"/>
        <w:tblCellMar>
          <w:top w:w="28" w:type="dxa"/>
          <w:left w:w="28" w:type="dxa"/>
          <w:bottom w:w="28" w:type="dxa"/>
          <w:right w:w="28" w:type="dxa"/>
        </w:tblCellMar>
      </w:tblPr>
      <w:tblGrid>
        <w:gridCol w:w="644"/>
        <w:gridCol w:w="567"/>
        <w:gridCol w:w="573"/>
        <w:gridCol w:w="109"/>
        <w:gridCol w:w="109"/>
        <w:gridCol w:w="109"/>
        <w:gridCol w:w="109"/>
        <w:gridCol w:w="109"/>
        <w:gridCol w:w="109"/>
        <w:gridCol w:w="1020"/>
        <w:gridCol w:w="1020"/>
        <w:gridCol w:w="1034"/>
        <w:gridCol w:w="109"/>
        <w:gridCol w:w="109"/>
        <w:gridCol w:w="109"/>
        <w:gridCol w:w="109"/>
        <w:gridCol w:w="109"/>
        <w:gridCol w:w="109"/>
        <w:gridCol w:w="419"/>
        <w:gridCol w:w="419"/>
        <w:gridCol w:w="601"/>
      </w:tblGrid>
      <w:tr>
        <w:trPr/>
        <w:tc>
          <w:tcPr>
            <w:tcW w:w="644"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7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Harris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Jeffrey Harris</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Paul Sykes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w:t>
            </w:r>
          </w:p>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Paul Sykes</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Steven Bernstein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Steven Bernstein</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Patricia Glassford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Patricia Glassford</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Amanda Lannert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Amanda Lannert</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Phil Schwarz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Phil Schwarz</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Sergey Sherman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Sergey Sherman</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Jon Trauben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r>
      <w:tr>
        <w:trPr/>
        <w:tc>
          <w:tcPr>
            <w:tcW w:w="17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Jon Trauben</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7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color w:val="000000"/>
        </w:rPr>
      </w:pPr>
      <w:r>
        <w:rPr>
          <w:color w:val="000000"/>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EXHIBIT 3.1</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INCORPORATION</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13, 2022</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w:t>
      </w:r>
    </w:p>
    <w:p>
      <w:pPr>
        <w:pStyle w:val="TextBody"/>
        <w:spacing w:before="0" w:after="0"/>
        <w:jc w:val="center"/>
        <w:rPr/>
      </w:pPr>
      <w:r>
        <w:rPr/>
      </w:r>
    </w:p>
    <w:p>
      <w:pPr>
        <w:pStyle w:val="TextBody"/>
        <w:spacing w:lineRule="auto" w:line="268" w:before="0" w:after="0"/>
        <w:ind w:left="0" w:right="0" w:firstLine="400"/>
        <w:rPr/>
      </w:pPr>
      <w:r>
        <w:rPr>
          <w:rFonts w:ascii="Times New Roman;sans-serif" w:hAnsi="Times New Roman;sans-serif"/>
          <w:b w:val="false"/>
          <w:color w:val="000000"/>
          <w:sz w:val="20"/>
        </w:rPr>
        <w:t>The name of the corporation is SpringBig Holdings, Inc. (the “</w:t>
      </w:r>
      <w:r>
        <w:rPr>
          <w:rFonts w:ascii="Times New Roman;sans-serif" w:hAnsi="Times New Roman;sans-serif"/>
          <w:b/>
          <w:color w:val="000000"/>
          <w:sz w:val="20"/>
        </w:rPr>
        <w:t>Corporation</w:t>
      </w:r>
      <w:r>
        <w:rPr>
          <w:color w:val="000000"/>
        </w:rPr>
        <w:t>”</w:t>
      </w:r>
      <w:r>
        <w:rPr>
          <w:rFonts w:ascii="Times New Roman;sans-serif" w:hAnsi="Times New Roman;sans-serif"/>
          <w:b w:val="false"/>
          <w:color w:val="000000"/>
          <w:sz w:val="20"/>
        </w:rPr>
        <w:t>).</w:t>
      </w:r>
    </w:p>
    <w:p>
      <w:pPr>
        <w:pStyle w:val="TextBody"/>
        <w:spacing w:before="0" w:after="0"/>
        <w:ind w:left="0" w:right="0" w:firstLine="40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PURPOSE; EFFECTIVENESS</w:t>
      </w:r>
    </w:p>
    <w:p>
      <w:pPr>
        <w:pStyle w:val="TextBody"/>
        <w:spacing w:before="0" w:after="0"/>
        <w:jc w:val="center"/>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The purpose of the Corporation is to engage in any lawful act or activity for which corporations may be organized under the General Corporation Law of the State of Delaware (the “</w:t>
      </w:r>
      <w:r>
        <w:rPr>
          <w:rFonts w:ascii="Times New Roman;sans-serif" w:hAnsi="Times New Roman;sans-serif"/>
          <w:b/>
          <w:color w:val="000000"/>
          <w:sz w:val="20"/>
        </w:rPr>
        <w:t>DGCL</w:t>
      </w:r>
      <w:r>
        <w:rPr>
          <w:color w:val="000000"/>
        </w:rPr>
        <w:t>”</w:t>
      </w:r>
      <w:r>
        <w:rPr>
          <w:rFonts w:ascii="Times New Roman;sans-serif" w:hAnsi="Times New Roman;sans-serif"/>
          <w:b w:val="false"/>
          <w:color w:val="000000"/>
          <w:sz w:val="20"/>
        </w:rPr>
        <w:t>).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The Corporation is being incorporated in connection with the domestication of Tuatara Capital Acquisition Corporation, a Cayman Islands exempted company (“</w:t>
      </w:r>
      <w:r>
        <w:rPr>
          <w:rFonts w:ascii="Times New Roman;sans-serif" w:hAnsi="Times New Roman;sans-serif"/>
          <w:b/>
          <w:color w:val="000000"/>
          <w:sz w:val="20"/>
        </w:rPr>
        <w:t>Tuatara</w:t>
      </w:r>
      <w:r>
        <w:rPr>
          <w:color w:val="000000"/>
        </w:rPr>
        <w:t>”</w:t>
      </w:r>
      <w:r>
        <w:rPr>
          <w:rFonts w:ascii="Times New Roman;sans-serif" w:hAnsi="Times New Roman;sans-serif"/>
          <w:b w:val="false"/>
          <w:color w:val="000000"/>
          <w:sz w:val="20"/>
        </w:rPr>
        <w:t>), as a Delaware corporation in accordance with Section 388 of the DGCL and Part XII of the Cayman Islands Companies Act (2021 Revision) (the “</w:t>
      </w:r>
      <w:r>
        <w:rPr>
          <w:rFonts w:ascii="Times New Roman;sans-serif" w:hAnsi="Times New Roman;sans-serif"/>
          <w:b/>
          <w:color w:val="000000"/>
          <w:sz w:val="20"/>
        </w:rPr>
        <w:t>Domestication</w:t>
      </w:r>
      <w:r>
        <w:rPr>
          <w:color w:val="000000"/>
        </w:rPr>
        <w:t>”</w:t>
      </w:r>
      <w:r>
        <w:rPr>
          <w:rFonts w:ascii="Times New Roman;sans-serif" w:hAnsi="Times New Roman;sans-serif"/>
          <w:b w:val="false"/>
          <w:color w:val="000000"/>
          <w:sz w:val="20"/>
        </w:rPr>
        <w:t>). This Certificate of Incorporation is being filed simultaneously with the Certificate of Corporate Domestication of Tuatara and shall be effective upon the effectiveness of the Domestication.</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III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REGISTERED AGENT</w:t>
      </w:r>
    </w:p>
    <w:p>
      <w:pPr>
        <w:pStyle w:val="TextBody"/>
        <w:spacing w:before="0" w:after="0"/>
        <w:jc w:val="center"/>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address of the Corporation’s registered office in the State of Delaware is 1209 Orange Street, in the City of Wilmington, County of New Castle, State of Delaware, 19801, and the name of the Corporation’s registered agent at such address is The Corporation Trust Company.</w:t>
      </w:r>
    </w:p>
    <w:p>
      <w:pPr>
        <w:pStyle w:val="TextBody"/>
        <w:spacing w:before="0" w:after="0"/>
        <w:ind w:left="0" w:right="0" w:firstLine="40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IV</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CAPITALIZATION</w:t>
      </w:r>
    </w:p>
    <w:p>
      <w:pPr>
        <w:pStyle w:val="TextBody"/>
        <w:spacing w:before="0" w:after="0"/>
        <w:jc w:val="center"/>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4.1. </w:t>
      </w:r>
      <w:r>
        <w:rPr>
          <w:rFonts w:ascii="Times New Roman;sans-serif" w:hAnsi="Times New Roman;sans-serif"/>
          <w:b/>
          <w:color w:val="000000"/>
          <w:sz w:val="20"/>
        </w:rPr>
        <w:t>Authorized Capital Stock.</w:t>
      </w:r>
      <w:r>
        <w:rPr>
          <w:color w:val="000000"/>
        </w:rPr>
        <w:t xml:space="preserve"> </w:t>
      </w:r>
      <w:r>
        <w:rPr>
          <w:rFonts w:ascii="Times New Roman;sans-serif" w:hAnsi="Times New Roman;sans-serif"/>
          <w:b w:val="false"/>
          <w:color w:val="000000"/>
          <w:sz w:val="20"/>
        </w:rPr>
        <w:t xml:space="preserve">Subject to </w:t>
      </w:r>
      <w:r>
        <w:rPr>
          <w:rFonts w:ascii="Times New Roman;sans-serif" w:hAnsi="Times New Roman;sans-serif"/>
          <w:b w:val="false"/>
          <w:color w:val="000000"/>
          <w:sz w:val="20"/>
          <w:u w:val="single"/>
        </w:rPr>
        <w:t>Section 4.2</w:t>
      </w:r>
      <w:r>
        <w:rPr>
          <w:rFonts w:ascii="Times New Roman;sans-serif" w:hAnsi="Times New Roman;sans-serif"/>
          <w:b w:val="false"/>
          <w:color w:val="000000"/>
          <w:sz w:val="20"/>
        </w:rPr>
        <w:t>, the total number of shares of all classes of capital stock, each with a par value of $0.0001 per share, which the Corporation is authorized to issue is 350,000,000 shares, consisting of (a) 300,000,000 shares of common stock (the “</w:t>
      </w:r>
      <w:r>
        <w:rPr>
          <w:rFonts w:ascii="Times New Roman;sans-serif" w:hAnsi="Times New Roman;sans-serif"/>
          <w:b/>
          <w:color w:val="000000"/>
          <w:sz w:val="20"/>
        </w:rPr>
        <w:t>Common Stock</w:t>
      </w:r>
      <w:r>
        <w:rPr>
          <w:color w:val="000000"/>
        </w:rPr>
        <w:t>”</w:t>
      </w:r>
      <w:r>
        <w:rPr>
          <w:rFonts w:ascii="Times New Roman;sans-serif" w:hAnsi="Times New Roman;sans-serif"/>
          <w:b w:val="false"/>
          <w:color w:val="000000"/>
          <w:sz w:val="20"/>
        </w:rPr>
        <w:t>), and (b) 50,000,000 shares of preferred stock (the “</w:t>
      </w:r>
      <w:r>
        <w:rPr>
          <w:rFonts w:ascii="Times New Roman;sans-serif" w:hAnsi="Times New Roman;sans-serif"/>
          <w:b/>
          <w:color w:val="000000"/>
          <w:sz w:val="20"/>
        </w:rPr>
        <w:t>Preferred Stock</w:t>
      </w:r>
      <w:r>
        <w:rPr>
          <w:color w:val="000000"/>
        </w:rPr>
        <w:t>”</w:t>
      </w:r>
      <w:r>
        <w:rPr>
          <w:rFonts w:ascii="Times New Roman;sans-serif" w:hAnsi="Times New Roman;sans-serif"/>
          <w:b w:val="false"/>
          <w:color w:val="000000"/>
          <w:sz w:val="20"/>
        </w:rPr>
        <w:t>).</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4.2. </w:t>
      </w:r>
      <w:r>
        <w:rPr>
          <w:rFonts w:ascii="Times New Roman;sans-serif" w:hAnsi="Times New Roman;sans-serif"/>
          <w:b/>
          <w:color w:val="000000"/>
          <w:sz w:val="20"/>
        </w:rPr>
        <w:t>Preferred Stock.</w:t>
      </w:r>
      <w:r>
        <w:rPr>
          <w:color w:val="000000"/>
        </w:rPr>
        <w:t xml:space="preserve"> </w:t>
      </w:r>
      <w:r>
        <w:rPr>
          <w:rFonts w:ascii="Times New Roman;sans-serif" w:hAnsi="Times New Roman;sans-serif"/>
          <w:b w:val="false"/>
          <w:color w:val="000000"/>
          <w:sz w:val="20"/>
        </w:rPr>
        <w:t>The Preferred Stock may be issued from time to time in one or more series. The Board is hereby expressly authorized to provide for the issuance of shares of the Preferred Stock in one or more series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sans-serif" w:hAnsi="Times New Roman;sans-serif"/>
          <w:b/>
          <w:color w:val="000000"/>
          <w:sz w:val="20"/>
        </w:rPr>
        <w:t>Preferred Stock Designation</w:t>
      </w:r>
      <w:r>
        <w:rPr>
          <w:color w:val="000000"/>
        </w:rPr>
        <w:t>”</w:t>
      </w:r>
      <w:r>
        <w:rPr>
          <w:rFonts w:ascii="Times New Roman;sans-serif" w:hAnsi="Times New Roman;sans-serif"/>
          <w:b w:val="false"/>
          <w:color w:val="000000"/>
          <w:sz w:val="20"/>
        </w:rPr>
        <w:t>) filed pursuant to the DGCL, and the Board is hereby expressly vested with the authority to the full extent provided by law, now or hereafter, to adopt any such resolution or resolutions.</w:t>
      </w:r>
    </w:p>
    <w:p>
      <w:pPr>
        <w:pStyle w:val="TextBody"/>
        <w:spacing w:before="0" w:after="0"/>
        <w:ind w:left="0" w:right="0" w:firstLine="400"/>
        <w:jc w:val="both"/>
        <w:rPr/>
      </w:pPr>
      <w:r>
        <w:rPr/>
      </w:r>
    </w:p>
    <w:p>
      <w:pPr>
        <w:pStyle w:val="TextBody"/>
        <w:ind w:left="0" w:right="0" w:firstLine="40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400"/>
        <w:rPr/>
      </w:pPr>
      <w:r>
        <w:rPr>
          <w:rFonts w:ascii="Times New Roman;sans-serif" w:hAnsi="Times New Roman;sans-serif"/>
          <w:b w:val="false"/>
          <w:color w:val="000000"/>
          <w:sz w:val="20"/>
        </w:rPr>
        <w:t>Section 4.3. </w:t>
      </w:r>
      <w:r>
        <w:rPr>
          <w:rFonts w:ascii="Times New Roman;sans-serif" w:hAnsi="Times New Roman;sans-serif"/>
          <w:b/>
          <w:color w:val="000000"/>
          <w:sz w:val="20"/>
        </w:rPr>
        <w:t>Common Stock.</w:t>
      </w:r>
    </w:p>
    <w:p>
      <w:pPr>
        <w:pStyle w:val="TextBody"/>
        <w:spacing w:before="0" w:after="0"/>
        <w:ind w:left="0" w:right="0" w:firstLine="400"/>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(a) Except as otherwise required by law or this Certificate of Incorporation (including any Preferred Stock Designation), the holders of the Common Stock shall exclusively possess all voting power with respect to the Corporation. The holders of shares of Common Stock shall be entitled to one vote for each such share on each matter properly submitted to the stockholders on which the holders of the Common Stock are entitled to vote.</w:t>
      </w:r>
      <w:r>
        <w:rPr>
          <w:color w:val="000000"/>
        </w:rPr>
        <w:t xml:space="preserve"> </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(b) Except as otherwise required by law or this Certificate of Incorporation (including any Preferred Stock Designation), at any annual or special meeting of the stockholders of the Corporation, the holders of the Common Stock shall have the exclusive right to vote for the election of directors and on all other matters properly submitted to a vote of the stockholders. Notwithstanding the foregoing, except as otherwise required by law or this Certificate of Incorporation (including any Preferred Stock Designation), the holders of shares of Common Stock shall not be entitled to vote on any amendment to this Certificate of Incorporation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 or the DGCL.</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(c) Subject to the rights, if any, of the holders of any outstanding series of the Preferred Stock, the holders of the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4.4. </w:t>
      </w:r>
      <w:r>
        <w:rPr>
          <w:rFonts w:ascii="Times New Roman;sans-serif" w:hAnsi="Times New Roman;sans-serif"/>
          <w:b/>
          <w:color w:val="000000"/>
          <w:sz w:val="20"/>
        </w:rPr>
        <w:t>Rights and Options</w:t>
      </w:r>
      <w:r>
        <w:rPr>
          <w:rFonts w:ascii="Times New Roman;sans-serif" w:hAnsi="Times New Roman;sans-serif"/>
          <w:b w:val="false"/>
          <w:color w:val="000000"/>
          <w:sz w:val="20"/>
        </w:rPr>
        <w:t xml:space="preserve">. The Corporation has the authority to create and issue rights, warrants and options entitling the holders thereof to purchase shares of any class or series of the Corporation’s capital stock or other securities of the Corporation, and such rights, warrants and options shall be evidenced by instrument(s) approved by the Board. The Board is empowered to set the exercise price, duration, times for exercise and other terms and conditions of such rights, warrants or options;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consideration to be received for any shares of capital stock subject thereto may not be less than the par value thereof.</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4.5. </w:t>
      </w:r>
      <w:r>
        <w:rPr>
          <w:rFonts w:ascii="Times New Roman;sans-serif" w:hAnsi="Times New Roman;sans-serif"/>
          <w:b/>
          <w:color w:val="000000"/>
          <w:sz w:val="20"/>
        </w:rPr>
        <w:t>No Class Vote on Changes in Authorized Number of Shares of Stock</w:t>
      </w:r>
      <w:r>
        <w:rPr>
          <w:rFonts w:ascii="Times New Roman;sans-serif" w:hAnsi="Times New Roman;sans-serif"/>
          <w:b w:val="false"/>
          <w:color w:val="000000"/>
          <w:sz w:val="20"/>
        </w:rPr>
        <w:t>. Subject to the rights of the holders of any outstanding series of Preferred Stock, the number of authorized shares of any class or classes of stock may be increased or decreased (but not below the number of shares thereof then outstanding) by the affirmative vote of at least a majority of the voting power of the stock entitled to vote thereon irrespective of the provisions of Section 242(b)(2) of the DGCL.</w:t>
      </w:r>
    </w:p>
    <w:p>
      <w:pPr>
        <w:pStyle w:val="TextBody"/>
        <w:spacing w:before="0" w:after="0"/>
        <w:ind w:left="0" w:right="0" w:firstLine="40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V</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spacing w:before="0" w:after="0"/>
        <w:jc w:val="center"/>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5.1. </w:t>
      </w:r>
      <w:r>
        <w:rPr>
          <w:rFonts w:ascii="Times New Roman;sans-serif" w:hAnsi="Times New Roman;sans-serif"/>
          <w:b/>
          <w:color w:val="000000"/>
          <w:sz w:val="20"/>
        </w:rPr>
        <w:t>Board Powers</w:t>
      </w:r>
      <w:r>
        <w:rPr>
          <w:rFonts w:ascii="Times New Roman;sans-serif" w:hAnsi="Times New Roman;sans-serif"/>
          <w:b w:val="false"/>
          <w:color w:val="000000"/>
          <w:sz w:val="20"/>
        </w:rPr>
        <w:t>. The business and affairs of the Corporation shall be managed by, or under the direction of, the Board. In addition to the powers and authority expressly conferred upon the Board by statute, this Certificate of Incorporation or the current Bylaws of the Corporation (“</w:t>
      </w:r>
      <w:r>
        <w:rPr>
          <w:rFonts w:ascii="Times New Roman;sans-serif" w:hAnsi="Times New Roman;sans-serif"/>
          <w:b/>
          <w:color w:val="000000"/>
          <w:sz w:val="20"/>
        </w:rPr>
        <w:t>Bylaws</w:t>
      </w:r>
      <w:r>
        <w:rPr>
          <w:color w:val="000000"/>
        </w:rPr>
        <w:t>”</w:t>
      </w:r>
      <w:r>
        <w:rPr>
          <w:rFonts w:ascii="Times New Roman;sans-serif" w:hAnsi="Times New Roman;sans-serif"/>
          <w:b w:val="false"/>
          <w:color w:val="000000"/>
          <w:sz w:val="20"/>
        </w:rPr>
        <w:t>), the Board is hereby empowered to exercise all such powers and do all such acts and things as may be exercised or done by the Corporation, subject, nevertheless, to the provisions of the DGCL and this Certificate of Incorporation and the Bylaws.</w:t>
      </w:r>
    </w:p>
    <w:p>
      <w:pPr>
        <w:pStyle w:val="TextBody"/>
        <w:spacing w:before="0" w:after="0"/>
        <w:ind w:left="0" w:right="0" w:firstLine="400"/>
        <w:jc w:val="both"/>
        <w:rPr/>
      </w:pPr>
      <w:r>
        <w:rPr/>
      </w:r>
    </w:p>
    <w:p>
      <w:pPr>
        <w:pStyle w:val="TextBody"/>
        <w:spacing w:lineRule="auto" w:line="268" w:before="0" w:after="0"/>
        <w:ind w:left="0" w:right="0" w:firstLine="400"/>
        <w:rPr/>
      </w:pPr>
      <w:r>
        <w:rPr>
          <w:rFonts w:ascii="Times New Roman;sans-serif" w:hAnsi="Times New Roman;sans-serif"/>
          <w:b w:val="false"/>
          <w:color w:val="000000"/>
          <w:sz w:val="20"/>
        </w:rPr>
        <w:t>Section 5.2. </w:t>
      </w:r>
      <w:r>
        <w:rPr>
          <w:rFonts w:ascii="Times New Roman;sans-serif" w:hAnsi="Times New Roman;sans-serif"/>
          <w:b/>
          <w:color w:val="000000"/>
          <w:sz w:val="20"/>
        </w:rPr>
        <w:t>Number, Election and Term</w:t>
      </w:r>
      <w:r>
        <w:rPr>
          <w:rFonts w:ascii="Times New Roman;sans-serif" w:hAnsi="Times New Roman;sans-serif"/>
          <w:b w:val="false"/>
          <w:color w:val="000000"/>
          <w:sz w:val="20"/>
        </w:rPr>
        <w:t>.</w:t>
      </w:r>
    </w:p>
    <w:p>
      <w:pPr>
        <w:pStyle w:val="TextBody"/>
        <w:spacing w:before="0" w:after="0"/>
        <w:ind w:left="0" w:right="0" w:firstLine="40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(a) The number of directors of the Corporation shall (i) as of the date of this Certificate of Incorporation, be seven (7), and (ii) thereafter, be fixed from time to time exclusively by the Board pursuant to a resolution adopted by a majority of the Board.</w:t>
      </w:r>
    </w:p>
    <w:p>
      <w:pPr>
        <w:pStyle w:val="TextBody"/>
        <w:spacing w:before="0" w:after="0"/>
        <w:ind w:left="0" w:right="0" w:firstLine="400"/>
        <w:jc w:val="both"/>
        <w:rPr/>
      </w:pPr>
      <w:r>
        <w:rPr/>
      </w:r>
    </w:p>
    <w:p>
      <w:pPr>
        <w:pStyle w:val="TextBody"/>
        <w:spacing w:lineRule="auto" w:line="268"/>
        <w:ind w:left="0" w:right="0" w:firstLine="400"/>
        <w:jc w:val="both"/>
        <w:rPr/>
      </w:pPr>
      <w:r>
        <w:rPr>
          <w:rFonts w:ascii="Times New Roman;sans-serif" w:hAnsi="Times New Roman;sans-serif"/>
          <w:b w:val="false"/>
          <w:color w:val="000000"/>
          <w:sz w:val="20"/>
        </w:rPr>
        <w:t xml:space="preserve">(b) Subject to </w:t>
      </w:r>
      <w:r>
        <w:rPr>
          <w:rFonts w:ascii="Times New Roman;sans-serif" w:hAnsi="Times New Roman;sans-serif"/>
          <w:b w:val="false"/>
          <w:color w:val="000000"/>
          <w:sz w:val="20"/>
          <w:u w:val="single"/>
        </w:rPr>
        <w:t>Section 5.5</w:t>
      </w:r>
      <w:r>
        <w:rPr>
          <w:color w:val="000000"/>
        </w:rPr>
        <w:t xml:space="preserve"> </w:t>
      </w:r>
      <w:r>
        <w:rPr>
          <w:rFonts w:ascii="Times New Roman;sans-serif" w:hAnsi="Times New Roman;sans-serif"/>
          <w:b w:val="false"/>
          <w:color w:val="000000"/>
          <w:sz w:val="20"/>
        </w:rPr>
        <w:t xml:space="preserve">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Certificate of Incorporation; the term of the initial Class II Directors shall expire at the second annual meeting of the stockholders of the Corporation following the effectiveness of this Certificate of Incorporation; and the term of the initial Class III </w:t>
      </w:r>
      <w:r>
        <w:br w:type="page"/>
      </w: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0"/>
        </w:rPr>
        <w:t xml:space="preserve">Directors shall expire at the third annual meeting of the stockholders of the Corporation following the effectiveness of this Certificate of Incorporation. At each succeeding annual meeting of the stockholders of the Corporation, beginning with the first annual meeting of the stockholders of the Corporation following the effectiveness of this Certificate of Incorporation, successors to the class of directors whose term expires at that annual meeting shall be elected for a three-year term. Subject to </w:t>
      </w:r>
      <w:r>
        <w:rPr>
          <w:rFonts w:ascii="Times New Roman;sans-serif" w:hAnsi="Times New Roman;sans-serif"/>
          <w:b w:val="false"/>
          <w:color w:val="000000"/>
          <w:sz w:val="20"/>
          <w:u w:val="single"/>
        </w:rPr>
        <w:t>Section 5.5</w:t>
      </w:r>
      <w:r>
        <w:rPr>
          <w:color w:val="000000"/>
        </w:rPr>
        <w:t xml:space="preserve"> </w:t>
      </w:r>
      <w:r>
        <w:rPr>
          <w:rFonts w:ascii="Times New Roman;sans-serif" w:hAnsi="Times New Roman;sans-serif"/>
          <w:b w:val="false"/>
          <w:color w:val="000000"/>
          <w:sz w:val="20"/>
        </w:rPr>
        <w:t>hereof, if the number of directors is changed, any increase or decrease shall be apportioned by the Board among the classes so as to maintain the number of directors in each class as nearly equal as possible, but in no case shall a decrease in the number of directors shorten the term of any incumbent director. Directors shall be elected by a plurality of the votes cast at an annual meeting of stockholders by holders of the Common Stock.</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(c) Subject to </w:t>
      </w:r>
      <w:r>
        <w:rPr>
          <w:rFonts w:ascii="Times New Roman;sans-serif" w:hAnsi="Times New Roman;sans-serif"/>
          <w:b w:val="false"/>
          <w:color w:val="000000"/>
          <w:sz w:val="20"/>
          <w:u w:val="single"/>
        </w:rPr>
        <w:t>Section 5.5</w:t>
      </w:r>
      <w:r>
        <w:rPr>
          <w:color w:val="000000"/>
        </w:rPr>
        <w:t xml:space="preserve"> </w:t>
      </w:r>
      <w:r>
        <w:rPr>
          <w:rFonts w:ascii="Times New Roman;sans-serif" w:hAnsi="Times New Roman;sans-serif"/>
          <w:b w:val="false"/>
          <w:color w:val="000000"/>
          <w:sz w:val="20"/>
        </w:rPr>
        <w:t>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(d) There shall be no cumulative voting in the election of directors. Unless and except to the extent that the Bylaws shall so require, the election of directors need not be by written ballot.</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5.3. </w:t>
      </w:r>
      <w:r>
        <w:rPr>
          <w:rFonts w:ascii="Times New Roman;sans-serif" w:hAnsi="Times New Roman;sans-serif"/>
          <w:b/>
          <w:color w:val="000000"/>
          <w:sz w:val="20"/>
        </w:rPr>
        <w:t>Newly Created Directorships and Vacancies</w:t>
      </w:r>
      <w:r>
        <w:rPr>
          <w:rFonts w:ascii="Times New Roman;sans-serif" w:hAnsi="Times New Roman;sans-serif"/>
          <w:b w:val="false"/>
          <w:color w:val="000000"/>
          <w:sz w:val="20"/>
        </w:rPr>
        <w:t xml:space="preserve">. Subject to </w:t>
      </w:r>
      <w:r>
        <w:rPr>
          <w:rFonts w:ascii="Times New Roman;sans-serif" w:hAnsi="Times New Roman;sans-serif"/>
          <w:b w:val="false"/>
          <w:color w:val="000000"/>
          <w:sz w:val="20"/>
          <w:u w:val="single"/>
        </w:rPr>
        <w:t>Section 5.5</w:t>
      </w:r>
      <w:r>
        <w:rPr>
          <w:color w:val="000000"/>
        </w:rPr>
        <w:t xml:space="preserve"> </w:t>
      </w:r>
      <w:r>
        <w:rPr>
          <w:rFonts w:ascii="Times New Roman;sans-serif" w:hAnsi="Times New Roman;sans-serif"/>
          <w:b w:val="false"/>
          <w:color w:val="000000"/>
          <w:sz w:val="20"/>
        </w:rPr>
        <w:t>hereof, newly created directorships resulting from an increase in the number of directors and any vacancies on the Board resulting from death, resignation, retirement, disqualification, removal or other cause shall be filled solely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5.4. </w:t>
      </w:r>
      <w:r>
        <w:rPr>
          <w:rFonts w:ascii="Times New Roman;sans-serif" w:hAnsi="Times New Roman;sans-serif"/>
          <w:b/>
          <w:color w:val="000000"/>
          <w:sz w:val="20"/>
        </w:rPr>
        <w:t>Removal</w:t>
      </w:r>
      <w:r>
        <w:rPr>
          <w:rFonts w:ascii="Times New Roman;sans-serif" w:hAnsi="Times New Roman;sans-serif"/>
          <w:b w:val="false"/>
          <w:color w:val="000000"/>
          <w:sz w:val="20"/>
        </w:rPr>
        <w:t xml:space="preserve">. Subject to </w:t>
      </w:r>
      <w:r>
        <w:rPr>
          <w:rFonts w:ascii="Times New Roman;sans-serif" w:hAnsi="Times New Roman;sans-serif"/>
          <w:b w:val="false"/>
          <w:color w:val="000000"/>
          <w:sz w:val="20"/>
          <w:u w:val="single"/>
        </w:rPr>
        <w:t>Section 5.5</w:t>
      </w:r>
      <w:r>
        <w:rPr>
          <w:color w:val="000000"/>
        </w:rPr>
        <w:t xml:space="preserve"> </w:t>
      </w:r>
      <w:r>
        <w:rPr>
          <w:rFonts w:ascii="Times New Roman;sans-serif" w:hAnsi="Times New Roman;sans-serif"/>
          <w:b w:val="false"/>
          <w:color w:val="000000"/>
          <w:sz w:val="20"/>
        </w:rPr>
        <w:t>hereof, any or all of the directors may be removed from office at any time, but only for cause and only by the affirmative vote of holders of at least two-thirds of the voting power of all then outstanding shares of capital stock of the Corporation entitled to vote generally in the election of directors, voting together as a single class.</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5.5. </w:t>
      </w:r>
      <w:r>
        <w:rPr>
          <w:rFonts w:ascii="Times New Roman;sans-serif" w:hAnsi="Times New Roman;sans-serif"/>
          <w:b/>
          <w:color w:val="000000"/>
          <w:sz w:val="20"/>
        </w:rPr>
        <w:t>Preferred Stock - Directors</w:t>
      </w:r>
      <w:r>
        <w:rPr>
          <w:rFonts w:ascii="Times New Roman;sans-serif" w:hAnsi="Times New Roman;sans-serif"/>
          <w:b w:val="false"/>
          <w:color w:val="000000"/>
          <w:sz w:val="20"/>
        </w:rPr>
        <w:t xml:space="preserve">. Notwithstanding any other provision of this </w:t>
      </w:r>
      <w:r>
        <w:rPr>
          <w:rFonts w:ascii="Times New Roman;sans-serif" w:hAnsi="Times New Roman;sans-serif"/>
          <w:b w:val="false"/>
          <w:color w:val="000000"/>
          <w:sz w:val="20"/>
          <w:u w:val="single"/>
        </w:rPr>
        <w:t>Article V</w:t>
      </w:r>
      <w:r>
        <w:rPr>
          <w:rFonts w:ascii="Times New Roman;sans-serif" w:hAnsi="Times New Roman;sans-serif"/>
          <w:b w:val="false"/>
          <w:color w:val="000000"/>
          <w:sz w:val="20"/>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Certificate of Incorporation (including any Preferred Stock Designation) and such directors shall not be included in any of the classes created pursuant to this </w:t>
      </w:r>
      <w:r>
        <w:rPr>
          <w:rFonts w:ascii="Times New Roman;sans-serif" w:hAnsi="Times New Roman;sans-serif"/>
          <w:b w:val="false"/>
          <w:color w:val="000000"/>
          <w:sz w:val="20"/>
          <w:u w:val="single"/>
        </w:rPr>
        <w:t>Article V</w:t>
      </w:r>
      <w:r>
        <w:rPr>
          <w:color w:val="000000"/>
        </w:rPr>
        <w:t xml:space="preserve"> </w:t>
      </w:r>
      <w:r>
        <w:rPr>
          <w:rFonts w:ascii="Times New Roman;sans-serif" w:hAnsi="Times New Roman;sans-serif"/>
          <w:b w:val="false"/>
          <w:color w:val="000000"/>
          <w:sz w:val="20"/>
        </w:rPr>
        <w:t>unless expressly provided by such terms.</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VI</w:t>
      </w:r>
    </w:p>
    <w:p>
      <w:pPr>
        <w:pStyle w:val="TextBody"/>
        <w:spacing w:lineRule="auto" w:line="268" w:before="0" w:after="0"/>
        <w:jc w:val="center"/>
        <w:rPr>
          <w:color w:val="000000"/>
        </w:rPr>
      </w:pPr>
      <w:r>
        <w:rPr>
          <w:color w:val="000000"/>
        </w:rPr>
        <w:t> </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BYLAWS</w:t>
      </w:r>
    </w:p>
    <w:p>
      <w:pPr>
        <w:pStyle w:val="TextBody"/>
        <w:spacing w:before="0" w:after="0"/>
        <w:jc w:val="center"/>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In furtherance and not in limitation of the powers conferred upon it by law, the Board shall have the power to adopt, amend, alter or repeal the Bylaws. The affirmative vote of a majority of the Board shall be required to adopt, amend, alter or repeal the Bylaws. The Bylaws also may be adopted, amended, altered or repealed by the stockholders;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in addition to any vote of the holders of any class or series of capital stock of the Corporation required by law or by this Certificate of Incorporation (including any Preferred Stock Designation), the affirmative vote of the holders of at least two-thirds of the voting power of all then outstanding shares of capital stock of the Corporation entitled to vote generally in the election of directors, voting together as a single class, shall be required for the stockholders to adopt, amend, alter or repeal the Bylaws; </w:t>
      </w:r>
      <w:r>
        <w:rPr>
          <w:rFonts w:ascii="Times New Roman;sans-serif" w:hAnsi="Times New Roman;sans-serif"/>
          <w:b w:val="false"/>
          <w:color w:val="000000"/>
          <w:sz w:val="20"/>
          <w:u w:val="single"/>
        </w:rPr>
        <w:t>provided further</w:t>
      </w:r>
      <w:r>
        <w:rPr>
          <w:rFonts w:ascii="Times New Roman;sans-serif" w:hAnsi="Times New Roman;sans-serif"/>
          <w:b w:val="false"/>
          <w:color w:val="000000"/>
          <w:sz w:val="20"/>
        </w:rPr>
        <w:t>, however, that no Bylaws hereafter adopted by the stockholders shall invalidate any prior act of the Board that would have been valid if such Bylaws had not been adopted.</w:t>
      </w:r>
    </w:p>
    <w:p>
      <w:pPr>
        <w:pStyle w:val="TextBody"/>
        <w:spacing w:before="0" w:after="0"/>
        <w:ind w:left="0" w:right="0" w:firstLine="40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VII</w:t>
      </w:r>
    </w:p>
    <w:p>
      <w:pPr>
        <w:pStyle w:val="TextBody"/>
        <w:spacing w:before="0" w:after="0"/>
        <w:jc w:val="center"/>
        <w:rPr/>
      </w:pPr>
      <w:r>
        <w:rPr/>
      </w:r>
    </w:p>
    <w:p>
      <w:pPr>
        <w:pStyle w:val="TextBody"/>
        <w:spacing w:lineRule="auto" w:line="268"/>
        <w:jc w:val="center"/>
        <w:rPr>
          <w:rFonts w:ascii="Times New Roman;sans-serif" w:hAnsi="Times New Roman;sans-serif"/>
          <w:b/>
          <w:color w:val="000000"/>
          <w:sz w:val="20"/>
        </w:rPr>
      </w:pPr>
      <w:r>
        <w:rPr>
          <w:rFonts w:ascii="Times New Roman;sans-serif" w:hAnsi="Times New Roman;sans-serif"/>
          <w:b/>
          <w:color w:val="000000"/>
          <w:sz w:val="20"/>
        </w:rPr>
        <w:t>MEETINGS OF STOCKHOLDERS; NO ACTION BY WRITTEN CONSENT</w:t>
      </w:r>
      <w:r>
        <w:br w:type="page"/>
      </w: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400"/>
        <w:jc w:val="both"/>
        <w:rPr/>
      </w:pPr>
      <w:r>
        <w:rPr>
          <w:rFonts w:ascii="Times New Roman;sans-serif" w:hAnsi="Times New Roman;sans-serif"/>
          <w:b w:val="false"/>
          <w:color w:val="000000"/>
          <w:sz w:val="20"/>
        </w:rPr>
        <w:t>Section 7.1. </w:t>
      </w:r>
      <w:r>
        <w:rPr>
          <w:rFonts w:ascii="Times New Roman;sans-serif" w:hAnsi="Times New Roman;sans-serif"/>
          <w:b/>
          <w:color w:val="000000"/>
          <w:sz w:val="20"/>
        </w:rPr>
        <w:t>Meetings</w:t>
      </w:r>
      <w:r>
        <w:rPr>
          <w:rFonts w:ascii="Times New Roman;sans-serif" w:hAnsi="Times New Roman;sans-serif"/>
          <w:b w:val="false"/>
          <w:color w:val="000000"/>
          <w:sz w:val="20"/>
        </w:rPr>
        <w:t>. Subject to the rights, if any, of the holders of any outstanding series of the Preferred Stock, and to the requirements of applicable law, special meetings of stockholders of the Corporation may be called only by the Chairman of the Board, the Chief Executive Officer of the Corporation, or the Board pursuant to a resolution adopted by a majority of the Board, and the ability of the stockholders to call a special meeting is hereby specifically denied.</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7.2. </w:t>
      </w:r>
      <w:r>
        <w:rPr>
          <w:rFonts w:ascii="Times New Roman;sans-serif" w:hAnsi="Times New Roman;sans-serif"/>
          <w:b/>
          <w:color w:val="000000"/>
          <w:sz w:val="20"/>
        </w:rPr>
        <w:t>Advance Notice</w:t>
      </w:r>
      <w:r>
        <w:rPr>
          <w:rFonts w:ascii="Times New Roman;sans-serif" w:hAnsi="Times New Roman;sans-serif"/>
          <w:b w:val="false"/>
          <w:color w:val="000000"/>
          <w:sz w:val="20"/>
        </w:rPr>
        <w:t>. Advance notice of stockholder nominations for the election of directors and of business to be brought by stockholders before any meeting of the stockholders of the Corporation shall be given in the manner provided in the Bylaws.</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7.3. </w:t>
      </w:r>
      <w:r>
        <w:rPr>
          <w:rFonts w:ascii="Times New Roman;sans-serif" w:hAnsi="Times New Roman;sans-serif"/>
          <w:b/>
          <w:color w:val="000000"/>
          <w:sz w:val="20"/>
        </w:rPr>
        <w:t>No Action by Written Consent</w:t>
      </w:r>
      <w:r>
        <w:rPr>
          <w:rFonts w:ascii="Times New Roman;sans-serif" w:hAnsi="Times New Roman;sans-serif"/>
          <w:b w:val="false"/>
          <w:color w:val="000000"/>
          <w:sz w:val="20"/>
        </w:rPr>
        <w:t>. Any action required or permitted to be taken by the stockholders of the Corporation must be effected by a duly called annual or special meeting of such stockholders and may not be effected by written consent of the stockholders.</w:t>
      </w:r>
    </w:p>
    <w:p>
      <w:pPr>
        <w:pStyle w:val="TextBody"/>
        <w:spacing w:before="0" w:after="0"/>
        <w:ind w:left="0" w:right="0" w:firstLine="40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VIII</w:t>
      </w:r>
    </w:p>
    <w:p>
      <w:pPr>
        <w:pStyle w:val="TextBody"/>
        <w:spacing w:lineRule="auto" w:line="268" w:before="0" w:after="0"/>
        <w:jc w:val="center"/>
        <w:rPr>
          <w:color w:val="000000"/>
        </w:rPr>
      </w:pPr>
      <w:r>
        <w:rPr>
          <w:color w:val="000000"/>
        </w:rPr>
        <w:t> </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LIMITED LIABILITY; INDEMNIFICATION</w:t>
      </w:r>
    </w:p>
    <w:p>
      <w:pPr>
        <w:pStyle w:val="TextBody"/>
        <w:spacing w:before="0" w:after="0"/>
        <w:jc w:val="center"/>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Section 8.1. </w:t>
      </w:r>
      <w:r>
        <w:rPr>
          <w:rFonts w:ascii="Times New Roman;sans-serif" w:hAnsi="Times New Roman;sans-serif"/>
          <w:b/>
          <w:color w:val="000000"/>
          <w:sz w:val="20"/>
        </w:rPr>
        <w:t>Limitation of Director Liability</w:t>
      </w:r>
      <w:r>
        <w:rPr>
          <w:rFonts w:ascii="Times New Roman;sans-serif" w:hAnsi="Times New Roman;sans-serif"/>
          <w:b w:val="false"/>
          <w:color w:val="000000"/>
          <w:sz w:val="20"/>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w:t>
      </w:r>
    </w:p>
    <w:p>
      <w:pPr>
        <w:pStyle w:val="TextBody"/>
        <w:spacing w:before="0" w:after="0"/>
        <w:ind w:left="0" w:right="0" w:firstLine="400"/>
        <w:jc w:val="both"/>
        <w:rPr/>
      </w:pPr>
      <w:r>
        <w:rPr/>
      </w:r>
    </w:p>
    <w:p>
      <w:pPr>
        <w:pStyle w:val="TextBody"/>
        <w:spacing w:lineRule="auto" w:line="268" w:before="0" w:after="0"/>
        <w:ind w:left="0" w:right="0" w:firstLine="400"/>
        <w:rPr/>
      </w:pPr>
      <w:r>
        <w:rPr>
          <w:rFonts w:ascii="Times New Roman;sans-serif" w:hAnsi="Times New Roman;sans-serif"/>
          <w:b w:val="false"/>
          <w:color w:val="000000"/>
          <w:sz w:val="20"/>
        </w:rPr>
        <w:t>Section 8.2. </w:t>
      </w:r>
      <w:r>
        <w:rPr>
          <w:rFonts w:ascii="Times New Roman;sans-serif" w:hAnsi="Times New Roman;sans-serif"/>
          <w:b/>
          <w:color w:val="000000"/>
          <w:sz w:val="20"/>
        </w:rPr>
        <w:t>Indemnification and Advancement of Expenses</w:t>
      </w:r>
      <w:r>
        <w:rPr>
          <w:rFonts w:ascii="Times New Roman;sans-serif" w:hAnsi="Times New Roman;sans-serif"/>
          <w:b w:val="false"/>
          <w:color w:val="000000"/>
          <w:sz w:val="20"/>
        </w:rPr>
        <w:t>.</w:t>
      </w:r>
    </w:p>
    <w:p>
      <w:pPr>
        <w:pStyle w:val="TextBody"/>
        <w:spacing w:before="0" w:after="0"/>
        <w:ind w:left="0" w:right="0" w:firstLine="400"/>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(a) To the fullest extent permitted by Delaware law, as the same exists or may hereafter be amended, the Corporation shall indemnify, defend and hold harmless each person who is or was made a party or is threatened to be made a party to or is otherwise involved in any threatened, pending or completed action, suit, investigation, arbitration or proceeding, whether civil, criminal, administrative or investigative, including an action by or in the right of the Corporation to procure a judgment in its favor (each, a “</w:t>
      </w:r>
      <w:r>
        <w:rPr>
          <w:rFonts w:ascii="Times New Roman;sans-serif" w:hAnsi="Times New Roman;sans-serif"/>
          <w:b/>
          <w:color w:val="000000"/>
          <w:sz w:val="20"/>
        </w:rPr>
        <w:t>proceeding</w:t>
      </w:r>
      <w:r>
        <w:rPr>
          <w:color w:val="000000"/>
        </w:rPr>
        <w:t>”</w:t>
      </w:r>
      <w:r>
        <w:rPr>
          <w:rFonts w:ascii="Times New Roman;sans-serif" w:hAnsi="Times New Roman;sans-serif"/>
          <w:b w:val="false"/>
          <w:color w:val="000000"/>
          <w:sz w:val="20"/>
        </w:rPr>
        <w:t>), by reason of the fact that he or she is or was a director or officer of the Corporation or any of its subsidiaries or, while a director or officer of the Corporation or any of its subsidiaries,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sans-serif" w:hAnsi="Times New Roman;sans-serif"/>
          <w:b/>
          <w:color w:val="000000"/>
          <w:sz w:val="20"/>
        </w:rPr>
        <w:t>indemnitee</w:t>
      </w:r>
      <w:r>
        <w:rPr>
          <w:color w:val="000000"/>
        </w:rPr>
        <w:t>”</w:t>
      </w:r>
      <w:r>
        <w:rPr>
          <w:rFonts w:ascii="Times New Roman;sans-serif" w:hAnsi="Times New Roman;sans-serif"/>
          <w:b w:val="false"/>
          <w:color w:val="000000"/>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and disbursements, judgments, fines, ERISA excise taxes, damages, claims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sans-serif" w:hAnsi="Times New Roman;sans-serif"/>
          <w:b w:val="false"/>
          <w:color w:val="000000"/>
          <w:sz w:val="20"/>
          <w:u w:val="single"/>
        </w:rPr>
        <w:t>Section 8.2</w:t>
      </w:r>
      <w:r>
        <w:rPr>
          <w:color w:val="000000"/>
        </w:rPr>
        <w:t xml:space="preserve"> </w:t>
      </w:r>
      <w:r>
        <w:rPr>
          <w:rFonts w:ascii="Times New Roman;sans-serif" w:hAnsi="Times New Roman;sans-serif"/>
          <w:b w:val="false"/>
          <w:color w:val="000000"/>
          <w:sz w:val="20"/>
        </w:rPr>
        <w:t xml:space="preserve">or otherwise. The rights to indemnification and advancement of expenses conferred by this </w:t>
      </w:r>
      <w:r>
        <w:rPr>
          <w:rFonts w:ascii="Times New Roman;sans-serif" w:hAnsi="Times New Roman;sans-serif"/>
          <w:b w:val="false"/>
          <w:color w:val="000000"/>
          <w:sz w:val="20"/>
          <w:u w:val="single"/>
        </w:rPr>
        <w:t>Section 8.2</w:t>
      </w:r>
      <w:r>
        <w:rPr>
          <w:color w:val="000000"/>
        </w:rPr>
        <w:t xml:space="preserve"> </w:t>
      </w:r>
      <w:r>
        <w:rPr>
          <w:rFonts w:ascii="Times New Roman;sans-serif" w:hAnsi="Times New Roman;sans-serif"/>
          <w:b w:val="false"/>
          <w:color w:val="000000"/>
          <w:sz w:val="20"/>
        </w:rPr>
        <w:t xml:space="preserve">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sans-serif" w:hAnsi="Times New Roman;sans-serif"/>
          <w:b w:val="false"/>
          <w:color w:val="000000"/>
          <w:sz w:val="20"/>
          <w:u w:val="single"/>
        </w:rPr>
        <w:t>Section 8.2(a)</w:t>
      </w:r>
      <w:r>
        <w:rPr>
          <w:rFonts w:ascii="Times New Roman;sans-serif" w:hAnsi="Times New Roman;sans-serif"/>
          <w:b w:val="false"/>
          <w:color w:val="000000"/>
          <w:sz w:val="20"/>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(b) The rights to indemnification and advancement of expenses conferred on any indemnitee by this </w:t>
      </w:r>
      <w:r>
        <w:rPr>
          <w:rFonts w:ascii="Times New Roman;sans-serif" w:hAnsi="Times New Roman;sans-serif"/>
          <w:b w:val="false"/>
          <w:color w:val="000000"/>
          <w:sz w:val="20"/>
          <w:u w:val="single"/>
        </w:rPr>
        <w:t>Section 8.2</w:t>
      </w:r>
      <w:r>
        <w:rPr>
          <w:color w:val="000000"/>
        </w:rPr>
        <w:t xml:space="preserve"> </w:t>
      </w:r>
      <w:r>
        <w:rPr>
          <w:rFonts w:ascii="Times New Roman;sans-serif" w:hAnsi="Times New Roman;sans-serif"/>
          <w:b w:val="false"/>
          <w:color w:val="000000"/>
          <w:sz w:val="20"/>
        </w:rPr>
        <w:t>shall not be exclusive of any other rights that any indemnitee may have or hereafter acquire under law, this Certificate of Incorporation, the Bylaws, an agreement, vote of stockholders or disinterested directors, or otherwise.</w:t>
      </w:r>
    </w:p>
    <w:p>
      <w:pPr>
        <w:pStyle w:val="TextBody"/>
        <w:ind w:left="0" w:right="0" w:firstLine="40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(c) Any repeal or amendment of this </w:t>
      </w:r>
      <w:r>
        <w:rPr>
          <w:rFonts w:ascii="Times New Roman;sans-serif" w:hAnsi="Times New Roman;sans-serif"/>
          <w:b w:val="false"/>
          <w:color w:val="000000"/>
          <w:sz w:val="20"/>
          <w:u w:val="single"/>
        </w:rPr>
        <w:t>Section 8.2</w:t>
      </w:r>
      <w:r>
        <w:rPr>
          <w:color w:val="000000"/>
        </w:rPr>
        <w:t xml:space="preserve"> </w:t>
      </w:r>
      <w:r>
        <w:rPr>
          <w:rFonts w:ascii="Times New Roman;sans-serif" w:hAnsi="Times New Roman;sans-serif"/>
          <w:b w:val="false"/>
          <w:color w:val="000000"/>
          <w:sz w:val="20"/>
        </w:rPr>
        <w:t xml:space="preserve">by the stockholders of the Corporation or by changes in law, or the adoption of any other provision of this Certificate of Incorporation inconsistent with this </w:t>
      </w:r>
      <w:r>
        <w:rPr>
          <w:rFonts w:ascii="Times New Roman;sans-serif" w:hAnsi="Times New Roman;sans-serif"/>
          <w:b w:val="false"/>
          <w:color w:val="000000"/>
          <w:sz w:val="20"/>
          <w:u w:val="single"/>
        </w:rPr>
        <w:t>Section 8.2</w:t>
      </w:r>
      <w:r>
        <w:rPr>
          <w:rFonts w:ascii="Times New Roman;sans-serif" w:hAnsi="Times New Roman;sans-serif"/>
          <w:b w:val="false"/>
          <w:color w:val="000000"/>
          <w:sz w:val="20"/>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(d) This </w:t>
      </w:r>
      <w:r>
        <w:rPr>
          <w:rFonts w:ascii="Times New Roman;sans-serif" w:hAnsi="Times New Roman;sans-serif"/>
          <w:b w:val="false"/>
          <w:color w:val="000000"/>
          <w:sz w:val="20"/>
          <w:u w:val="single"/>
        </w:rPr>
        <w:t>Section 8.2</w:t>
      </w:r>
      <w:r>
        <w:rPr>
          <w:color w:val="000000"/>
        </w:rPr>
        <w:t xml:space="preserve"> </w:t>
      </w:r>
      <w:r>
        <w:rPr>
          <w:rFonts w:ascii="Times New Roman;sans-serif" w:hAnsi="Times New Roman;sans-serif"/>
          <w:b w:val="false"/>
          <w:color w:val="000000"/>
          <w:sz w:val="20"/>
        </w:rPr>
        <w:t>shall not limit the right of the Corporation, to the extent and in the manner authorized or permitted by law, to indemnify and to advance expenses to persons other than indemnitees.</w:t>
      </w:r>
    </w:p>
    <w:p>
      <w:pPr>
        <w:pStyle w:val="TextBody"/>
        <w:spacing w:before="0" w:after="0"/>
        <w:ind w:left="0" w:right="0" w:firstLine="40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IX</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CORPORATE OPPORTUNITY</w:t>
      </w:r>
    </w:p>
    <w:p>
      <w:pPr>
        <w:pStyle w:val="TextBody"/>
        <w:spacing w:before="0" w:after="0"/>
        <w:jc w:val="center"/>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doctrine of corporate opportunity, or any other analogous doctrine, shall not apply with respect to the Corporation or any of its officers or directors, or any of their respective affiliates, in circumstances where the application of any such doctrine to a corporate opportunity would conflict with any fiduciary duties or contractual obligations they may have as of the date of this Certificate of Incorporation or in the future. In addition to the foregoing,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Neither the alteration, amendment, addition to or repeal of this </w:t>
      </w:r>
      <w:r>
        <w:rPr>
          <w:rFonts w:ascii="Times New Roman;sans-serif" w:hAnsi="Times New Roman;sans-serif"/>
          <w:b w:val="false"/>
          <w:color w:val="000000"/>
          <w:sz w:val="20"/>
          <w:u w:val="single"/>
        </w:rPr>
        <w:t>Article IX</w:t>
      </w:r>
      <w:r>
        <w:rPr>
          <w:rFonts w:ascii="Times New Roman;sans-serif" w:hAnsi="Times New Roman;sans-serif"/>
          <w:b w:val="false"/>
          <w:color w:val="000000"/>
          <w:sz w:val="20"/>
        </w:rPr>
        <w:t xml:space="preserve">, nor the adoption of any provision of this Certificate of Incorporation (including any Preferred Stock Designation) inconsistent with this </w:t>
      </w:r>
      <w:r>
        <w:rPr>
          <w:rFonts w:ascii="Times New Roman;sans-serif" w:hAnsi="Times New Roman;sans-serif"/>
          <w:b w:val="false"/>
          <w:color w:val="000000"/>
          <w:sz w:val="20"/>
          <w:u w:val="single"/>
        </w:rPr>
        <w:t>Article IX</w:t>
      </w:r>
      <w:r>
        <w:rPr>
          <w:rFonts w:ascii="Times New Roman;sans-serif" w:hAnsi="Times New Roman;sans-serif"/>
          <w:b w:val="false"/>
          <w:color w:val="000000"/>
          <w:sz w:val="20"/>
        </w:rPr>
        <w:t xml:space="preserve">, shall eliminate or reduce the effect of this </w:t>
      </w:r>
      <w:r>
        <w:rPr>
          <w:rFonts w:ascii="Times New Roman;sans-serif" w:hAnsi="Times New Roman;sans-serif"/>
          <w:b w:val="false"/>
          <w:color w:val="000000"/>
          <w:sz w:val="20"/>
          <w:u w:val="single"/>
        </w:rPr>
        <w:t>Article IX</w:t>
      </w:r>
      <w:r>
        <w:rPr>
          <w:color w:val="000000"/>
        </w:rPr>
        <w:t xml:space="preserve"> </w:t>
      </w:r>
      <w:r>
        <w:rPr>
          <w:rFonts w:ascii="Times New Roman;sans-serif" w:hAnsi="Times New Roman;sans-serif"/>
          <w:b w:val="false"/>
          <w:color w:val="000000"/>
          <w:sz w:val="20"/>
        </w:rPr>
        <w:t xml:space="preserve">in respect of any business opportunity first identified or any other matter occurring, or any cause of action, suit or claim that, but for this </w:t>
      </w:r>
      <w:r>
        <w:rPr>
          <w:rFonts w:ascii="Times New Roman;sans-serif" w:hAnsi="Times New Roman;sans-serif"/>
          <w:b w:val="false"/>
          <w:color w:val="000000"/>
          <w:sz w:val="20"/>
          <w:u w:val="single"/>
        </w:rPr>
        <w:t>Article IX</w:t>
      </w:r>
      <w:r>
        <w:rPr>
          <w:rFonts w:ascii="Times New Roman;sans-serif" w:hAnsi="Times New Roman;sans-serif"/>
          <w:b w:val="false"/>
          <w:color w:val="000000"/>
          <w:sz w:val="20"/>
        </w:rPr>
        <w:t xml:space="preserve">, would accrue or arise, prior to such alteration, amendment, addition, repeal or adoption. This </w:t>
      </w:r>
      <w:r>
        <w:rPr>
          <w:rFonts w:ascii="Times New Roman;sans-serif" w:hAnsi="Times New Roman;sans-serif"/>
          <w:b w:val="false"/>
          <w:color w:val="000000"/>
          <w:sz w:val="20"/>
          <w:u w:val="single"/>
        </w:rPr>
        <w:t>Article IX</w:t>
      </w:r>
      <w:r>
        <w:rPr>
          <w:color w:val="000000"/>
        </w:rPr>
        <w:t xml:space="preserve"> </w:t>
      </w:r>
      <w:r>
        <w:rPr>
          <w:rFonts w:ascii="Times New Roman;sans-serif" w:hAnsi="Times New Roman;sans-serif"/>
          <w:b w:val="false"/>
          <w:color w:val="000000"/>
          <w:sz w:val="20"/>
        </w:rPr>
        <w:t>shall not limit any protections or defenses available to, or indemnification or advancement rights of, any director or officer of the Corporation under this Certificate of Incorporation, the Bylaws or applicable law.</w:t>
      </w:r>
    </w:p>
    <w:p>
      <w:pPr>
        <w:pStyle w:val="TextBody"/>
        <w:spacing w:before="0" w:after="0"/>
        <w:ind w:left="0" w:right="0" w:firstLine="40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X</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AMENDMENT OF CERTIFICATE OF INCORPORATION</w:t>
      </w:r>
    </w:p>
    <w:p>
      <w:pPr>
        <w:pStyle w:val="TextBody"/>
        <w:spacing w:before="0" w:after="0"/>
        <w:jc w:val="center"/>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The Corporation reserves the right at any time and from time to time to amend, alter, change or repeal any provision contained in this Certificate of Incorporation (including any Preferred Stock Designation), in the manner now or hereafter prescribed by this Certificate of Incorporation and the DGCL, and, except as set forth in </w:t>
      </w:r>
      <w:r>
        <w:rPr>
          <w:rFonts w:ascii="Times New Roman;sans-serif" w:hAnsi="Times New Roman;sans-serif"/>
          <w:b w:val="false"/>
          <w:color w:val="000000"/>
          <w:sz w:val="20"/>
          <w:u w:val="single"/>
        </w:rPr>
        <w:t>Article VIII</w:t>
      </w:r>
      <w:r>
        <w:rPr>
          <w:rFonts w:ascii="Times New Roman;sans-serif" w:hAnsi="Times New Roman;sans-serif"/>
          <w:b w:val="false"/>
          <w:color w:val="000000"/>
          <w:sz w:val="20"/>
        </w:rPr>
        <w:t xml:space="preserve">, all rights, preferences and privileges herein conferred upon stockholders, directors or any other persons by and pursuant to this Certificate of Incorporation in its present form or as hereafter amended are granted subject to the right reserved in this </w:t>
      </w:r>
      <w:r>
        <w:rPr>
          <w:rFonts w:ascii="Times New Roman;sans-serif" w:hAnsi="Times New Roman;sans-serif"/>
          <w:b w:val="false"/>
          <w:color w:val="000000"/>
          <w:sz w:val="20"/>
          <w:u w:val="single"/>
        </w:rPr>
        <w:t>Article X</w:t>
      </w:r>
      <w:r>
        <w:rPr>
          <w:rFonts w:ascii="Times New Roman;sans-serif" w:hAnsi="Times New Roman;sans-serif"/>
          <w:b w:val="false"/>
          <w:color w:val="000000"/>
          <w:sz w:val="20"/>
        </w:rPr>
        <w:t xml:space="preserve">. Notwithstanding anything to the contrary contained in this Certificate of Incorporation, and notwithstanding that a lesser percentage may be permitted from time to time by applicable law, no provision of </w:t>
      </w:r>
      <w:r>
        <w:rPr>
          <w:rFonts w:ascii="Times New Roman;sans-serif" w:hAnsi="Times New Roman;sans-serif"/>
          <w:b w:val="false"/>
          <w:color w:val="000000"/>
          <w:sz w:val="20"/>
          <w:u w:val="single"/>
        </w:rPr>
        <w:t>Article 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7.3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VIII</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u w:val="single"/>
        </w:rPr>
        <w:t>Article IX</w:t>
      </w:r>
      <w:r>
        <w:rPr>
          <w:color w:val="000000"/>
        </w:rPr>
        <w:t xml:space="preserve"> </w:t>
      </w:r>
      <w:r>
        <w:rPr>
          <w:rFonts w:ascii="Times New Roman;sans-serif" w:hAnsi="Times New Roman;sans-serif"/>
          <w:b w:val="false"/>
          <w:color w:val="000000"/>
          <w:sz w:val="20"/>
        </w:rPr>
        <w:t xml:space="preserve">and this </w:t>
      </w:r>
      <w:r>
        <w:rPr>
          <w:rFonts w:ascii="Times New Roman;sans-serif" w:hAnsi="Times New Roman;sans-serif"/>
          <w:b w:val="false"/>
          <w:color w:val="000000"/>
          <w:sz w:val="20"/>
          <w:u w:val="single"/>
        </w:rPr>
        <w:t>Article X</w:t>
      </w:r>
      <w:r>
        <w:rPr>
          <w:color w:val="000000"/>
        </w:rPr>
        <w:t xml:space="preserve"> </w:t>
      </w:r>
      <w:r>
        <w:rPr>
          <w:rFonts w:ascii="Times New Roman;sans-serif" w:hAnsi="Times New Roman;sans-serif"/>
          <w:b w:val="false"/>
          <w:color w:val="000000"/>
          <w:sz w:val="20"/>
        </w:rPr>
        <w:t>may be altered, amended or repealed in any respect, nor may any provision or bylaw inconsistent therewith be adopted, unless, in addition to any other vote required by this Certificate of Incorporation or otherwise required by law, such alteration, amendment, repeal or adoption is approved by the affirmative vote of the holders of at least two thirds of the voting power of the outstanding shares of capital stock of the Corporation entitled to vote generally in the election of directors, voting together as a single class.</w:t>
      </w:r>
    </w:p>
    <w:p>
      <w:pPr>
        <w:pStyle w:val="TextBody"/>
        <w:spacing w:before="0" w:after="0"/>
        <w:ind w:left="0" w:right="0" w:firstLine="40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XI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FORUM FOR ADJUDICATION OF DISPUTES</w:t>
      </w:r>
    </w:p>
    <w:p>
      <w:pPr>
        <w:pStyle w:val="TextBody"/>
        <w:spacing w:before="0" w:after="0"/>
        <w:jc w:val="center"/>
        <w:rPr/>
      </w:pPr>
      <w:r>
        <w:rPr/>
      </w:r>
    </w:p>
    <w:p>
      <w:pPr>
        <w:pStyle w:val="TextBody"/>
        <w:spacing w:lineRule="auto" w:line="268"/>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11.1 Unless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w:t>
      </w:r>
      <w:r>
        <w:br w:type="page"/>
      </w: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0"/>
        </w:rPr>
        <w:t xml:space="preserve">lack subject matter jurisdiction, the federal district court for the District of Delaware), to the fullest extent permitted by applicable law, be the sole and exclusive forum for the following types of actions or proceedings under Delaware statutory or common law: (A) any derivative action or proceeding brought on behalf of the Corporation; (B) any action or proceeding (including any class action) asserting a claim of breach of a fiduciary duty owed by any current or former director, officer or other employee of the Corporation to the Corporation or the Corporation’s stockholders; (C) any action or proceeding (including any class action) asserting a claim against the Corporation or any current or former director, officer or other employee of the Company arising out of or pursuant to any provision of the DGCL, this Certificate of Incorporation or the Bylaws (as each may be amended from time to time); (D) any action or proceeding (including any class action) to interpret, apply, enforce or determine the validity of this Certificate of Incorporation or the Bylaws of the Corporation (including any right, obligation or remedy thereunder); (E) any action or proceeding as to which the DGCL confers jurisdiction to the Court of Chancery of the State of Delaware; or (F) any action asserting a claim against the Corporation or any director, officer or other employee of the Corporation governed by the internal affairs doctrine, in all cases to the fullest extent permitted by law and subject to the court’s having personal jurisdiction over the indispensable parties named as defendants. This </w:t>
      </w:r>
      <w:r>
        <w:rPr>
          <w:rFonts w:ascii="Times New Roman;sans-serif" w:hAnsi="Times New Roman;sans-serif"/>
          <w:b w:val="false"/>
          <w:color w:val="000000"/>
          <w:sz w:val="20"/>
          <w:u w:val="single"/>
        </w:rPr>
        <w:t>Article XI</w:t>
      </w:r>
      <w:r>
        <w:rPr>
          <w:color w:val="000000"/>
        </w:rPr>
        <w:t xml:space="preserve"> </w:t>
      </w:r>
      <w:r>
        <w:rPr>
          <w:rFonts w:ascii="Times New Roman;sans-serif" w:hAnsi="Times New Roman;sans-serif"/>
          <w:b w:val="false"/>
          <w:color w:val="000000"/>
          <w:sz w:val="20"/>
        </w:rPr>
        <w:t>shall not apply to suits brought to enforce a duty or liability created by the Securities Exchange Act of 1934, as amended, or any other claim for which the federal courts have exclusive jurisdiction.</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Section 11.2 If any action the subject matter of which is within the scope of </w:t>
      </w:r>
      <w:r>
        <w:rPr>
          <w:rFonts w:ascii="Times New Roman;sans-serif" w:hAnsi="Times New Roman;sans-serif"/>
          <w:b w:val="false"/>
          <w:color w:val="000000"/>
          <w:sz w:val="20"/>
          <w:u w:val="single"/>
        </w:rPr>
        <w:t>Section 11.1</w:t>
      </w:r>
      <w:r>
        <w:rPr>
          <w:color w:val="000000"/>
        </w:rPr>
        <w:t xml:space="preserve"> </w:t>
      </w:r>
      <w:r>
        <w:rPr>
          <w:rFonts w:ascii="Times New Roman;sans-serif" w:hAnsi="Times New Roman;sans-serif"/>
          <w:b w:val="false"/>
          <w:color w:val="000000"/>
          <w:sz w:val="20"/>
        </w:rPr>
        <w:t>is filed in a court other than a court located within the State of Delaware (a “</w:t>
      </w:r>
      <w:r>
        <w:rPr>
          <w:rFonts w:ascii="Times New Roman;sans-serif" w:hAnsi="Times New Roman;sans-serif"/>
          <w:b/>
          <w:color w:val="000000"/>
          <w:sz w:val="20"/>
        </w:rPr>
        <w:t>Foreign Action</w:t>
      </w:r>
      <w:r>
        <w:rPr>
          <w:color w:val="000000"/>
        </w:rPr>
        <w:t>”</w:t>
      </w:r>
      <w:r>
        <w:rPr>
          <w:rFonts w:ascii="Times New Roman;sans-serif" w:hAnsi="Times New Roman;sans-serif"/>
          <w:b w:val="false"/>
          <w:color w:val="000000"/>
          <w:sz w:val="20"/>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sans-serif" w:hAnsi="Times New Roman;sans-serif"/>
          <w:b w:val="false"/>
          <w:color w:val="000000"/>
          <w:sz w:val="20"/>
          <w:u w:val="single"/>
        </w:rPr>
        <w:t>Section 11.1</w:t>
      </w:r>
      <w:r>
        <w:rPr>
          <w:color w:val="000000"/>
        </w:rPr>
        <w:t xml:space="preserve"> </w:t>
      </w:r>
      <w:r>
        <w:rPr>
          <w:rFonts w:ascii="Times New Roman;sans-serif" w:hAnsi="Times New Roman;sans-serif"/>
          <w:b w:val="false"/>
          <w:color w:val="000000"/>
          <w:sz w:val="20"/>
        </w:rPr>
        <w:t>(an “</w:t>
      </w:r>
      <w:r>
        <w:rPr>
          <w:rFonts w:ascii="Times New Roman;sans-serif" w:hAnsi="Times New Roman;sans-serif"/>
          <w:b/>
          <w:color w:val="000000"/>
          <w:sz w:val="20"/>
        </w:rPr>
        <w:t>Enforcement Action</w:t>
      </w:r>
      <w:r>
        <w:rPr>
          <w:color w:val="000000"/>
        </w:rPr>
        <w:t>”</w:t>
      </w:r>
      <w:r>
        <w:rPr>
          <w:rFonts w:ascii="Times New Roman;sans-serif" w:hAnsi="Times New Roman;sans-serif"/>
          <w:b w:val="false"/>
          <w:color w:val="000000"/>
          <w:sz w:val="20"/>
        </w:rPr>
        <w:t>) and (ii) having service of process made upon such stockholder in any such Enforcement Action by service upon such stockholder’s counsel in the Foreign Action as agent for such stockholder.</w:t>
      </w:r>
    </w:p>
    <w:p>
      <w:pPr>
        <w:pStyle w:val="TextBody"/>
        <w:spacing w:before="0" w:after="0"/>
        <w:ind w:left="0" w:right="0" w:firstLine="40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ARTICLE XII</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name and mailing address of the incorporator are:</w:t>
      </w:r>
    </w:p>
    <w:p>
      <w:pPr>
        <w:pStyle w:val="TextBody"/>
        <w:spacing w:before="0" w:after="0"/>
        <w:rPr/>
      </w:pPr>
      <w:r>
        <w:rPr/>
      </w:r>
    </w:p>
    <w:tbl>
      <w:tblPr>
        <w:tblW w:w="3854" w:type="dxa"/>
        <w:jc w:val="center"/>
        <w:tblInd w:w="0" w:type="dxa"/>
        <w:tblCellMar>
          <w:top w:w="28" w:type="dxa"/>
          <w:left w:w="28" w:type="dxa"/>
          <w:bottom w:w="28" w:type="dxa"/>
          <w:right w:w="28" w:type="dxa"/>
        </w:tblCellMar>
      </w:tblPr>
      <w:tblGrid>
        <w:gridCol w:w="499"/>
        <w:gridCol w:w="438"/>
        <w:gridCol w:w="443"/>
        <w:gridCol w:w="724"/>
        <w:gridCol w:w="724"/>
        <w:gridCol w:w="1026"/>
      </w:tblGrid>
      <w:tr>
        <w:trPr/>
        <w:tc>
          <w:tcPr>
            <w:tcW w:w="49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Name</w:t>
            </w:r>
          </w:p>
        </w:tc>
        <w:tc>
          <w:tcPr>
            <w:tcW w:w="247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Mailing Address</w:t>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Albert Foreman</w:t>
            </w:r>
          </w:p>
        </w:tc>
        <w:tc>
          <w:tcPr>
            <w:tcW w:w="247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655 Third Avenue, 8th Floor</w:t>
              <w:br/>
              <w:t>New York, New York 10017</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undersigned has executed this Certificate of Incorporation as of the date first set forth above.</w:t>
      </w:r>
    </w:p>
    <w:tbl>
      <w:tblPr>
        <w:tblW w:w="3627"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482"/>
        <w:gridCol w:w="482"/>
        <w:gridCol w:w="6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Albert Foreman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 Foreman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Incorporator</w:t>
            </w:r>
          </w:p>
        </w:tc>
      </w:tr>
    </w:tbl>
    <w:p>
      <w:pPr>
        <w:pStyle w:val="TextBody"/>
        <w:ind w:left="0" w:right="0" w:firstLine="4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BYLAWS</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spacing w:lineRule="auto" w:line="362" w:before="0" w:after="0"/>
        <w:jc w:val="center"/>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spacing w:lineRule="auto" w:line="36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I </w:t>
      </w:r>
    </w:p>
    <w:p>
      <w:pPr>
        <w:pStyle w:val="TextBody"/>
        <w:spacing w:lineRule="auto" w:line="362" w:before="0" w:after="0"/>
        <w:jc w:val="center"/>
        <w:rPr>
          <w:rFonts w:ascii="Times New Roman;sans-serif" w:hAnsi="Times New Roman;sans-serif"/>
          <w:b/>
          <w:color w:val="000000"/>
          <w:sz w:val="20"/>
        </w:rPr>
      </w:pPr>
      <w:r>
        <w:rPr>
          <w:rFonts w:ascii="Times New Roman;sans-serif" w:hAnsi="Times New Roman;sans-serif"/>
          <w:b/>
          <w:color w:val="000000"/>
          <w:sz w:val="20"/>
        </w:rPr>
        <w:t>OFFICES</w:t>
      </w:r>
    </w:p>
    <w:p>
      <w:pPr>
        <w:pStyle w:val="TextBody"/>
        <w:spacing w:before="0" w:after="0"/>
        <w:jc w:val="center"/>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1.1. </w:t>
      </w:r>
      <w:r>
        <w:rPr>
          <w:rFonts w:ascii="Times New Roman;sans-serif" w:hAnsi="Times New Roman;sans-serif"/>
          <w:b/>
          <w:color w:val="000000"/>
          <w:sz w:val="20"/>
        </w:rPr>
        <w:t>Registered Office</w:t>
      </w:r>
      <w:r>
        <w:rPr>
          <w:rFonts w:ascii="Times New Roman;sans-serif" w:hAnsi="Times New Roman;sans-serif"/>
          <w:b w:val="false"/>
          <w:color w:val="000000"/>
          <w:sz w:val="20"/>
        </w:rPr>
        <w:t>. The registered office of SpringBig Holdings, Inc. (the "</w:t>
      </w:r>
      <w:r>
        <w:rPr>
          <w:rFonts w:ascii="Times New Roman;sans-serif" w:hAnsi="Times New Roman;sans-serif"/>
          <w:b/>
          <w:color w:val="000000"/>
          <w:sz w:val="20"/>
        </w:rPr>
        <w:t>Corporation</w:t>
      </w:r>
      <w:r>
        <w:rPr>
          <w:rFonts w:ascii="Times New Roman;sans-serif" w:hAnsi="Times New Roman;sans-serif"/>
          <w:b w:val="false"/>
          <w:color w:val="000000"/>
          <w:sz w:val="20"/>
        </w:rPr>
        <w:t>") within the State of Delaware shall be 1209 Orange Street, in the City of Wilmington, County of New Castle, State of Delaware, 19801.</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1.2. </w:t>
      </w:r>
      <w:r>
        <w:rPr>
          <w:rFonts w:ascii="Times New Roman;sans-serif" w:hAnsi="Times New Roman;sans-serif"/>
          <w:b/>
          <w:color w:val="000000"/>
          <w:sz w:val="20"/>
        </w:rPr>
        <w:t>Additional Offices</w:t>
      </w:r>
      <w:r>
        <w:rPr>
          <w:rFonts w:ascii="Times New Roman;sans-serif" w:hAnsi="Times New Roman;sans-serif"/>
          <w:b w:val="false"/>
          <w:color w:val="000000"/>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sans-serif" w:hAnsi="Times New Roman;sans-serif"/>
          <w:b/>
          <w:color w:val="000000"/>
          <w:sz w:val="20"/>
        </w:rPr>
        <w:t>Board</w:t>
      </w:r>
      <w:r>
        <w:rPr>
          <w:rFonts w:ascii="Times New Roman;sans-serif" w:hAnsi="Times New Roman;sans-serif"/>
          <w:b w:val="false"/>
          <w:color w:val="000000"/>
          <w:sz w:val="20"/>
        </w:rPr>
        <w:t>") may from time to time determine or as the business and affairs of the Corporation may require.</w:t>
      </w:r>
    </w:p>
    <w:p>
      <w:pPr>
        <w:pStyle w:val="TextBody"/>
        <w:spacing w:before="0" w:after="0"/>
        <w:rPr/>
      </w:pPr>
      <w:r>
        <w:rPr/>
      </w:r>
    </w:p>
    <w:p>
      <w:pPr>
        <w:pStyle w:val="TextBody"/>
        <w:spacing w:before="0" w:after="0"/>
        <w:rPr/>
      </w:pPr>
      <w:r>
        <w:rPr/>
      </w:r>
    </w:p>
    <w:p>
      <w:pPr>
        <w:pStyle w:val="TextBody"/>
        <w:spacing w:lineRule="auto" w:line="362" w:before="0" w:after="0"/>
        <w:ind w:left="0" w:right="0" w:firstLine="3394"/>
        <w:jc w:val="center"/>
        <w:rPr>
          <w:rFonts w:ascii="Times New Roman;sans-serif" w:hAnsi="Times New Roman;sans-serif"/>
          <w:b/>
          <w:color w:val="000000"/>
          <w:sz w:val="20"/>
        </w:rPr>
      </w:pPr>
      <w:r>
        <w:rPr>
          <w:rFonts w:ascii="Times New Roman;sans-serif" w:hAnsi="Times New Roman;sans-serif"/>
          <w:b/>
          <w:color w:val="000000"/>
          <w:sz w:val="20"/>
        </w:rPr>
        <w:t xml:space="preserve">ARTICLE II </w:t>
      </w:r>
    </w:p>
    <w:p>
      <w:pPr>
        <w:pStyle w:val="TextBody"/>
        <w:spacing w:lineRule="auto" w:line="362" w:before="0" w:after="0"/>
        <w:ind w:left="0" w:right="0" w:firstLine="3394"/>
        <w:jc w:val="center"/>
        <w:rPr>
          <w:rFonts w:ascii="Times New Roman;sans-serif" w:hAnsi="Times New Roman;sans-serif"/>
          <w:b/>
          <w:color w:val="000000"/>
          <w:sz w:val="20"/>
        </w:rPr>
      </w:pPr>
      <w:r>
        <w:rPr>
          <w:rFonts w:ascii="Times New Roman;sans-serif" w:hAnsi="Times New Roman;sans-serif"/>
          <w:b/>
          <w:color w:val="000000"/>
          <w:sz w:val="20"/>
        </w:rPr>
        <w:t>STOCKHOLDERS MEETINGS</w:t>
      </w:r>
    </w:p>
    <w:p>
      <w:pPr>
        <w:pStyle w:val="TextBody"/>
        <w:spacing w:before="0" w:after="0"/>
        <w:ind w:left="0" w:right="0" w:firstLine="3394"/>
        <w:jc w:val="center"/>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2.1. </w:t>
      </w:r>
      <w:r>
        <w:rPr>
          <w:rFonts w:ascii="Times New Roman;sans-serif" w:hAnsi="Times New Roman;sans-serif"/>
          <w:b/>
          <w:color w:val="000000"/>
          <w:sz w:val="20"/>
        </w:rPr>
        <w:t>Annual Meetings</w:t>
      </w:r>
      <w:r>
        <w:rPr>
          <w:rFonts w:ascii="Times New Roman;sans-serif" w:hAnsi="Times New Roman;sans-serif"/>
          <w:b w:val="false"/>
          <w:color w:val="000000"/>
          <w:sz w:val="20"/>
        </w:rPr>
        <w:t xml:space="preserve">. The annual meeting of stockholders shall be held at such place, either within or without the State of Delaware, and time and on such date as shall be determined by the Board and stated in the notice of the meeting,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 xml:space="preserve">the Board may in its sole discretion determine that the meeting shall not be held at any place, but may instead be held solely by means of remote communication pursuant to </w:t>
      </w:r>
      <w:r>
        <w:rPr>
          <w:rFonts w:ascii="Times New Roman;sans-serif" w:hAnsi="Times New Roman;sans-serif"/>
          <w:b w:val="false"/>
          <w:color w:val="000000"/>
          <w:sz w:val="20"/>
          <w:u w:val="single"/>
        </w:rPr>
        <w:t>Section 9.5(a)</w:t>
      </w:r>
      <w:r>
        <w:rPr>
          <w:rFonts w:ascii="Times New Roman;sans-serif" w:hAnsi="Times New Roman;sans-serif"/>
          <w:b w:val="false"/>
          <w:color w:val="000000"/>
          <w:sz w:val="20"/>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2.2. </w:t>
      </w:r>
      <w:r>
        <w:rPr>
          <w:rFonts w:ascii="Times New Roman;sans-serif" w:hAnsi="Times New Roman;sans-serif"/>
          <w:b/>
          <w:color w:val="000000"/>
          <w:sz w:val="20"/>
        </w:rPr>
        <w:t>Special Meetings</w:t>
      </w:r>
      <w:r>
        <w:rPr>
          <w:rFonts w:ascii="Times New Roman;sans-serif" w:hAnsi="Times New Roman;sans-serif"/>
          <w:b w:val="false"/>
          <w:color w:val="000000"/>
          <w:sz w:val="20"/>
        </w:rPr>
        <w:t xml:space="preserve">. Subject to the rights of the holders of any outstanding series of the Preferred Stock and to the requirements of applicable law, special meetings of stockholders, for any purpose or purposes, may be called only by the Chairman of 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Times New Roman;sans-serif" w:hAnsi="Times New Roman;sans-serif"/>
          <w:b w:val="false"/>
          <w:color w:val="000000"/>
          <w:sz w:val="20"/>
          <w:u w:val="single"/>
        </w:rPr>
        <w:t>Section 9.5(a)</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2.3. </w:t>
      </w:r>
      <w:r>
        <w:rPr>
          <w:rFonts w:ascii="Times New Roman;sans-serif" w:hAnsi="Times New Roman;sans-serif"/>
          <w:b/>
          <w:color w:val="000000"/>
          <w:sz w:val="20"/>
        </w:rPr>
        <w:t>Notices</w:t>
      </w:r>
      <w:r>
        <w:rPr>
          <w:rFonts w:ascii="Times New Roman;sans-serif" w:hAnsi="Times New Roman;sans-serif"/>
          <w:b w:val="false"/>
          <w:color w:val="000000"/>
          <w:sz w:val="20"/>
        </w:rPr>
        <w:t xml:space="preserve">.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Times New Roman;sans-serif" w:hAnsi="Times New Roman;sans-serif"/>
          <w:b w:val="false"/>
          <w:color w:val="000000"/>
          <w:sz w:val="20"/>
          <w:u w:val="single"/>
        </w:rPr>
        <w:t>Section 9.3</w:t>
      </w:r>
      <w:r>
        <w:rPr>
          <w:color w:val="000000"/>
        </w:rPr>
        <w:t xml:space="preserve"> </w:t>
      </w:r>
      <w:r>
        <w:rPr>
          <w:rFonts w:ascii="Times New Roman;sans-serif" w:hAnsi="Times New Roman;sans-serif"/>
          <w:b w:val="false"/>
          <w:color w:val="000000"/>
          <w:sz w:val="20"/>
        </w:rPr>
        <w:t>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Times New Roman;sans-serif" w:hAnsi="Times New Roman;sans-serif"/>
          <w:b/>
          <w:color w:val="000000"/>
          <w:sz w:val="20"/>
        </w:rPr>
        <w:t>DGCL</w:t>
      </w:r>
      <w:r>
        <w:rPr>
          <w:rFonts w:ascii="Times New Roman;sans-serif" w:hAnsi="Times New Roman;sans-serif"/>
          <w:b w:val="false"/>
          <w:color w:val="000000"/>
          <w:sz w:val="20"/>
        </w:rPr>
        <w:t xml:space="preserve">").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w:t>
      </w:r>
      <w:r>
        <w:rPr>
          <w:rFonts w:ascii="Times New Roman;sans-serif" w:hAnsi="Times New Roman;sans-serif"/>
          <w:b w:val="false"/>
          <w:color w:val="000000"/>
          <w:sz w:val="20"/>
          <w:u w:val="single"/>
        </w:rPr>
        <w:t>Section</w:t>
      </w:r>
      <w:r>
        <w:rPr>
          <w:color w:val="000000"/>
        </w:rPr>
        <w:t xml:space="preserve"> </w:t>
      </w:r>
      <w:r>
        <w:rPr>
          <w:rFonts w:ascii="Times New Roman;sans-serif" w:hAnsi="Times New Roman;sans-serif"/>
          <w:b w:val="false"/>
          <w:color w:val="000000"/>
          <w:sz w:val="20"/>
          <w:u w:val="single"/>
        </w:rPr>
        <w:t>2.7(c)</w:t>
      </w:r>
      <w:r>
        <w:rPr>
          <w:rFonts w:ascii="Times New Roman;sans-serif" w:hAnsi="Times New Roman;sans-serif"/>
          <w:b w:val="false"/>
          <w:color w:val="000000"/>
          <w:sz w:val="20"/>
        </w:rPr>
        <w:t>) given before the date previously scheduled for such meeting.</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2.4. </w:t>
      </w:r>
      <w:r>
        <w:rPr>
          <w:rFonts w:ascii="Times New Roman;sans-serif" w:hAnsi="Times New Roman;sans-serif"/>
          <w:b/>
          <w:color w:val="000000"/>
          <w:sz w:val="20"/>
        </w:rPr>
        <w:t>Quorum</w:t>
      </w:r>
      <w:r>
        <w:rPr>
          <w:rFonts w:ascii="Times New Roman;sans-serif" w:hAnsi="Times New Roman;sans-serif"/>
          <w:b w:val="false"/>
          <w:color w:val="000000"/>
          <w:sz w:val="20"/>
        </w:rPr>
        <w:t>. Except as otherwise provided by applicable law, the Corporation's Certificate of Incorporation, as the same may be amended or restated from time to time (the "</w:t>
      </w:r>
      <w:r>
        <w:rPr>
          <w:rFonts w:ascii="Times New Roman;sans-serif" w:hAnsi="Times New Roman;sans-serif"/>
          <w:b/>
          <w:color w:val="000000"/>
          <w:sz w:val="20"/>
        </w:rPr>
        <w:t>Certificate of Incorporation</w:t>
      </w:r>
      <w:r>
        <w:rPr>
          <w:rFonts w:ascii="Times New Roman;sans-serif" w:hAnsi="Times New Roman;sans-serif"/>
          <w:b w:val="false"/>
          <w:color w:val="000000"/>
          <w:sz w:val="20"/>
        </w:rPr>
        <w:t>"), or these Bylaws, the presence, in person or by proxy, at a stockholders meeting of the holders of shares of outstanding</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120"/>
        <w:jc w:val="both"/>
        <w:rPr/>
      </w:pPr>
      <w:r>
        <w:rPr>
          <w:rFonts w:ascii="Times New Roman;sans-serif" w:hAnsi="Times New Roman;sans-serif"/>
          <w:b w:val="false"/>
          <w:color w:val="000000"/>
          <w:sz w:val="20"/>
        </w:rPr>
        <w:t xml:space="preserve">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Times New Roman;sans-serif" w:hAnsi="Times New Roman;sans-serif"/>
          <w:b w:val="false"/>
          <w:color w:val="000000"/>
          <w:sz w:val="20"/>
          <w:u w:val="single"/>
        </w:rPr>
        <w:t>Section 2.6</w:t>
      </w:r>
      <w:r>
        <w:rPr>
          <w:color w:val="000000"/>
        </w:rPr>
        <w:t xml:space="preserve"> </w:t>
      </w:r>
      <w:r>
        <w:rPr>
          <w:rFonts w:ascii="Times New Roman;sans-serif" w:hAnsi="Times New Roman;sans-serif"/>
          <w:b w:val="false"/>
          <w:color w:val="000000"/>
          <w:sz w:val="20"/>
        </w:rPr>
        <w:t xml:space="preserve">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foregoing shall not limit the right of the Corporation or any such other corporation to vote shares held by it in a fiduciary capacity.</w: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2.5. </w:t>
      </w:r>
      <w:r>
        <w:rPr>
          <w:rFonts w:ascii="Times New Roman;sans-serif" w:hAnsi="Times New Roman;sans-serif"/>
          <w:b/>
          <w:color w:val="000000"/>
          <w:sz w:val="20"/>
        </w:rPr>
        <w:t>Voting of Shares</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Voting Lists</w:t>
      </w:r>
      <w:r>
        <w:rPr>
          <w:rFonts w:ascii="Times New Roman;sans-serif" w:hAnsi="Times New Roman;sans-serif"/>
          <w:b w:val="false"/>
          <w:color w:val="000000"/>
          <w:sz w:val="20"/>
        </w:rPr>
        <w:t xml:space="preserve">. The Secretary shall prepare, or shall cause the officer or agent who has charge of the stock ledger of the Corporation to prepare, at least 10 days before every meeting of stockholders, a complete list of the stockholders of record entitled to vote at such meeting and showing the address and the number of shares registered in the name of each stockholder. Nothing contained in this </w:t>
      </w:r>
      <w:r>
        <w:rPr>
          <w:rFonts w:ascii="Times New Roman;sans-serif" w:hAnsi="Times New Roman;sans-serif"/>
          <w:b w:val="false"/>
          <w:color w:val="000000"/>
          <w:sz w:val="20"/>
          <w:u w:val="single"/>
        </w:rPr>
        <w:t>Section 2.5(a)</w:t>
      </w:r>
      <w:r>
        <w:rPr>
          <w:color w:val="000000"/>
        </w:rPr>
        <w:t xml:space="preserve"> </w:t>
      </w:r>
      <w:r>
        <w:rPr>
          <w:rFonts w:ascii="Times New Roman;sans-serif" w:hAnsi="Times New Roman;sans-serif"/>
          <w:b w:val="false"/>
          <w:color w:val="000000"/>
          <w:sz w:val="20"/>
        </w:rPr>
        <w:t xml:space="preserve">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that</w:t>
      </w:r>
      <w:r>
        <w:rPr>
          <w:color w:val="000000"/>
        </w:rPr>
        <w:t xml:space="preserve"> </w:t>
      </w:r>
      <w:r>
        <w:rPr>
          <w:rFonts w:ascii="Times New Roman;sans-serif" w:hAnsi="Times New Roman;sans-serif"/>
          <w:b w:val="false"/>
          <w:color w:val="000000"/>
          <w:sz w:val="20"/>
        </w:rPr>
        <w:t xml:space="preserve">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sans-serif" w:hAnsi="Times New Roman;sans-serif"/>
          <w:b w:val="false"/>
          <w:color w:val="000000"/>
          <w:sz w:val="20"/>
          <w:u w:val="single"/>
        </w:rPr>
        <w:t>Section 9.5(a)</w:t>
      </w:r>
      <w:r>
        <w:rPr>
          <w:rFonts w:ascii="Times New Roman;sans-serif" w:hAnsi="Times New Roman;sans-serif"/>
          <w:b w:val="false"/>
          <w:color w:val="000000"/>
          <w:sz w:val="20"/>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Times New Roman;sans-serif" w:hAnsi="Times New Roman;sans-serif"/>
          <w:b w:val="false"/>
          <w:color w:val="000000"/>
          <w:sz w:val="20"/>
          <w:u w:val="single"/>
        </w:rPr>
        <w:t>Section 2.5(a)</w:t>
      </w:r>
      <w:r>
        <w:rPr>
          <w:color w:val="000000"/>
        </w:rPr>
        <w:t xml:space="preserve"> </w:t>
      </w:r>
      <w:r>
        <w:rPr>
          <w:rFonts w:ascii="Times New Roman;sans-serif" w:hAnsi="Times New Roman;sans-serif"/>
          <w:b w:val="false"/>
          <w:color w:val="000000"/>
          <w:sz w:val="20"/>
        </w:rPr>
        <w:t>or to vote in person or by proxy at any meeting of stockholders.</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Manner of Voting</w:t>
      </w:r>
      <w:r>
        <w:rPr>
          <w:rFonts w:ascii="Times New Roman;sans-serif" w:hAnsi="Times New Roman;sans-serif"/>
          <w:b w:val="false"/>
          <w:color w:val="000000"/>
          <w:sz w:val="20"/>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Times New Roman;sans-serif" w:hAnsi="Times New Roman;sans-serif"/>
          <w:b w:val="false"/>
          <w:color w:val="000000"/>
          <w:sz w:val="20"/>
          <w:u w:val="single"/>
        </w:rPr>
        <w:t>Section 9.3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Proxies</w:t>
      </w:r>
      <w:r>
        <w:rPr>
          <w:rFonts w:ascii="Times New Roman;sans-serif" w:hAnsi="Times New Roman;sans-serif"/>
          <w:b w:val="false"/>
          <w:color w:val="000000"/>
          <w:sz w:val="20"/>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w:t>
      </w:r>
    </w:p>
    <w:p>
      <w:pPr>
        <w:pStyle w:val="TextBody"/>
        <w:spacing w:before="0" w:after="0"/>
        <w:rPr/>
      </w:pPr>
      <w:r>
        <w:rPr/>
      </w:r>
    </w:p>
    <w:p>
      <w:pPr>
        <w:pStyle w:val="TextBody"/>
        <w:spacing w:lineRule="auto" w:line="268"/>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stockholder may execute a writing authorizing another person or persons to act for such stockholder as proxy. Execution may be accomplished by the stockholder or such stockholder's authorized officer, director, employee or agent signing such writing or causing such person's </w:t>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signature to be affixed to such writing by any reasonable means, including, but not limited to, by facsimile signature.</w:t>
      </w:r>
    </w:p>
    <w:p>
      <w:pPr>
        <w:pStyle w:val="TextBody"/>
        <w:spacing w:before="0" w:after="0"/>
        <w:rPr/>
      </w:pPr>
      <w:r>
        <w:rPr/>
      </w:r>
    </w:p>
    <w:p>
      <w:pPr>
        <w:pStyle w:val="TextBody"/>
        <w:spacing w:lineRule="auto" w:line="268" w:before="0" w:after="0"/>
        <w:ind w:left="0" w:right="0" w:hanging="521"/>
        <w:jc w:val="both"/>
        <w:rPr/>
      </w:pPr>
      <w:r>
        <w:rPr>
          <w:rFonts w:ascii="Times New Roman;sans-serif" w:hAnsi="Times New Roman;sans-serif"/>
          <w:b w:val="false"/>
          <w:color w:val="000000"/>
          <w:sz w:val="20"/>
        </w:rPr>
        <w:t xml:space="preserve">ii.A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u w:val="single"/>
        </w:rPr>
        <w:t>that</w:t>
      </w:r>
      <w:r>
        <w:rPr>
          <w:color w:val="000000"/>
        </w:rPr>
        <w:t xml:space="preserve"> </w:t>
      </w:r>
      <w:r>
        <w:rPr>
          <w:rFonts w:ascii="Times New Roman;sans-serif" w:hAnsi="Times New Roman;sans-serif"/>
          <w:b w:val="false"/>
          <w:color w:val="000000"/>
          <w:sz w:val="20"/>
        </w:rPr>
        <w:t xml:space="preserve">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such copy, facsimile telecommunication or other reproduction shall be a complete reproduction of the entire original writing or transmission.</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Required Vote</w:t>
      </w:r>
      <w:r>
        <w:rPr>
          <w:rFonts w:ascii="Times New Roman;sans-serif" w:hAnsi="Times New Roman;sans-serif"/>
          <w:b w:val="false"/>
          <w:color w:val="000000"/>
          <w:sz w:val="20"/>
        </w:rPr>
        <w:t>. Subject to the rights of the holders of one or more series of preferred stock of the Corporation ("</w:t>
      </w:r>
      <w:r>
        <w:rPr>
          <w:rFonts w:ascii="Times New Roman;sans-serif" w:hAnsi="Times New Roman;sans-serif"/>
          <w:b/>
          <w:color w:val="000000"/>
          <w:sz w:val="20"/>
        </w:rPr>
        <w:t>Preferred Stock</w:t>
      </w:r>
      <w:r>
        <w:rPr>
          <w:rFonts w:ascii="Times New Roman;sans-serif" w:hAnsi="Times New Roman;sans-serif"/>
          <w:b w:val="false"/>
          <w:color w:val="000000"/>
          <w:sz w:val="20"/>
        </w:rPr>
        <w:t>"),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Inspectors of Election</w:t>
      </w:r>
      <w:r>
        <w:rPr>
          <w:rFonts w:ascii="Times New Roman;sans-serif" w:hAnsi="Times New Roman;sans-serif"/>
          <w:b w:val="false"/>
          <w:color w:val="000000"/>
          <w:sz w:val="20"/>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designate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pStyle w:val="TextBody"/>
        <w:spacing w:before="0" w:after="0"/>
        <w:rPr/>
      </w:pPr>
      <w:r>
        <w:rPr/>
      </w:r>
    </w:p>
    <w:p>
      <w:pPr>
        <w:pStyle w:val="TextBody"/>
        <w:spacing w:lineRule="auto" w:line="268"/>
        <w:ind w:left="0" w:right="0" w:firstLine="609"/>
        <w:jc w:val="both"/>
        <w:rPr/>
      </w:pPr>
      <w:r>
        <w:rPr>
          <w:rFonts w:ascii="Times New Roman;sans-serif" w:hAnsi="Times New Roman;sans-serif"/>
          <w:b w:val="false"/>
          <w:color w:val="000000"/>
          <w:sz w:val="20"/>
        </w:rPr>
        <w:t xml:space="preserve">Section 2.6. </w:t>
      </w:r>
      <w:r>
        <w:rPr>
          <w:rFonts w:ascii="Times New Roman;sans-serif" w:hAnsi="Times New Roman;sans-serif"/>
          <w:b/>
          <w:color w:val="000000"/>
          <w:sz w:val="20"/>
        </w:rPr>
        <w:t>Adjournments</w:t>
      </w:r>
      <w:r>
        <w:rPr>
          <w:rFonts w:ascii="Times New Roman;sans-serif" w:hAnsi="Times New Roman;sans-serif"/>
          <w:b w:val="false"/>
          <w:color w:val="000000"/>
          <w:sz w:val="20"/>
        </w:rPr>
        <w:t xml:space="preserve">.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sans-serif" w:hAnsi="Times New Roman;sans-serif"/>
          <w:b w:val="false"/>
          <w:color w:val="000000"/>
          <w:sz w:val="20"/>
          <w:u w:val="single"/>
        </w:rPr>
        <w:t>Section 9.2</w:t>
      </w:r>
      <w:r>
        <w:rPr>
          <w:rFonts w:ascii="Times New Roman;sans-serif" w:hAnsi="Times New Roman;sans-serif"/>
          <w:b w:val="false"/>
          <w:color w:val="000000"/>
          <w:sz w:val="20"/>
        </w:rPr>
        <w:t>, and shall give notice of the adjourned meeting to each stockholder of record entitled to vote at such adjourned meeting as of the record date fixed for notice of such adjourned meeting.</w:t>
      </w:r>
      <w:r>
        <w:br w:type="page"/>
      </w: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2.7. </w:t>
      </w:r>
      <w:r>
        <w:rPr>
          <w:rFonts w:ascii="Times New Roman;sans-serif" w:hAnsi="Times New Roman;sans-serif"/>
          <w:b/>
          <w:color w:val="000000"/>
          <w:sz w:val="20"/>
        </w:rPr>
        <w:t>Advance Notice for Business</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Annual Meetings of Stockholders</w:t>
      </w:r>
      <w:r>
        <w:rPr>
          <w:rFonts w:ascii="Times New Roman;sans-serif" w:hAnsi="Times New Roman;sans-serif"/>
          <w:b w:val="false"/>
          <w:color w:val="000000"/>
          <w:sz w:val="20"/>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 xml:space="preserve">and on the record date for the determination of stockholders entitled to vote at such annual meeting and (y) who complies with the notice procedures set forth in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 xml:space="preserve">. Notwithstanding anything in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 xml:space="preserve">to the contrary, only persons nominated for election as a director to fill any term of a directorship that expires on the date of the annual meeting pursuant to </w:t>
      </w:r>
      <w:r>
        <w:rPr>
          <w:rFonts w:ascii="Times New Roman;sans-serif" w:hAnsi="Times New Roman;sans-serif"/>
          <w:b w:val="false"/>
          <w:color w:val="000000"/>
          <w:sz w:val="20"/>
          <w:u w:val="single"/>
        </w:rPr>
        <w:t>Section 3.2</w:t>
      </w:r>
      <w:r>
        <w:rPr>
          <w:color w:val="000000"/>
        </w:rPr>
        <w:t xml:space="preserve"> </w:t>
      </w:r>
      <w:r>
        <w:rPr>
          <w:rFonts w:ascii="Times New Roman;sans-serif" w:hAnsi="Times New Roman;sans-serif"/>
          <w:b w:val="false"/>
          <w:color w:val="000000"/>
          <w:sz w:val="20"/>
        </w:rPr>
        <w:t>will be considered for election at such meeting.</w:t>
      </w:r>
    </w:p>
    <w:p>
      <w:pPr>
        <w:pStyle w:val="TextBody"/>
        <w:spacing w:before="0" w:after="0"/>
        <w:rPr/>
      </w:pPr>
      <w:r>
        <w:rPr/>
      </w:r>
    </w:p>
    <w:p>
      <w:pPr>
        <w:pStyle w:val="TextBody"/>
        <w:spacing w:lineRule="auto" w:line="268" w:before="0" w:after="0"/>
        <w:ind w:left="0" w:right="0" w:hanging="465"/>
        <w:jc w:val="both"/>
        <w:rPr/>
      </w:pPr>
      <w:r>
        <w:rPr>
          <w:rFonts w:ascii="Times New Roman;sans-serif" w:hAnsi="Times New Roman;sans-serif"/>
          <w:b w:val="false"/>
          <w:color w:val="000000"/>
          <w:sz w:val="20"/>
        </w:rPr>
        <w:t xml:space="preserve">i.In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Times New Roman;sans-serif" w:hAnsi="Times New Roman;sans-serif"/>
          <w:b w:val="false"/>
          <w:color w:val="000000"/>
          <w:sz w:val="20"/>
          <w:u w:val="single"/>
        </w:rPr>
        <w:t>Section 2.7(a)(iii)</w:t>
      </w:r>
      <w:r>
        <w:rPr>
          <w:rFonts w:ascii="Times New Roman;sans-serif" w:hAnsi="Times New Roman;sans-serif"/>
          <w:b w:val="false"/>
          <w:color w:val="000000"/>
          <w:sz w:val="20"/>
        </w:rPr>
        <w:t xml:space="preserve">, a stockholder's notice to the Secretary with respect to such business, to be timely, must be received by the Secretary at the principal executive offices of the Corporation not later than the close of business on the 90th day nor earlier than the close of business on the 120th day before the anniversary date of the immediately preceding annual meeting of stockholders;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in the event that the annual meeting is more than 30 days before or more than 60 days after such anniversary date, notice by the stockholder to be timely must be so delivered not earlier than the close of business on the 120th day before the meeting and not later than the later of (A) the close of business on the 90th day before the meeting and (B)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ii.To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pStyle w:val="TextBody"/>
        <w:spacing w:before="0" w:after="0"/>
        <w:rPr/>
      </w:pPr>
      <w:r>
        <w:rPr/>
      </w:r>
    </w:p>
    <w:p>
      <w:pPr>
        <w:pStyle w:val="TextBody"/>
        <w:spacing w:lineRule="auto" w:line="268"/>
        <w:ind w:left="0" w:right="0" w:hanging="576"/>
        <w:jc w:val="both"/>
        <w:rPr/>
      </w:pPr>
      <w:r>
        <w:rPr>
          <w:rFonts w:ascii="Times New Roman;sans-serif" w:hAnsi="Times New Roman;sans-serif"/>
          <w:b w:val="false"/>
          <w:color w:val="000000"/>
          <w:sz w:val="20"/>
        </w:rPr>
        <w:t xml:space="preserve">iii.The foregoing notice requirements of this </w:t>
      </w:r>
      <w:r>
        <w:rPr>
          <w:rFonts w:ascii="Times New Roman;sans-serif" w:hAnsi="Times New Roman;sans-serif"/>
          <w:b w:val="false"/>
          <w:color w:val="000000"/>
          <w:sz w:val="20"/>
          <w:u w:val="single"/>
        </w:rPr>
        <w:t>Section 2.7pr(a)</w:t>
      </w:r>
      <w:r>
        <w:rPr>
          <w:color w:val="000000"/>
        </w:rPr>
        <w:t xml:space="preserve"> </w:t>
      </w:r>
      <w:r>
        <w:rPr>
          <w:rFonts w:ascii="Times New Roman;sans-serif" w:hAnsi="Times New Roman;sans-serif"/>
          <w:b w:val="false"/>
          <w:color w:val="000000"/>
          <w:sz w:val="20"/>
        </w:rPr>
        <w:t>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sans-serif" w:hAnsi="Times New Roman;sans-serif"/>
          <w:b/>
          <w:color w:val="000000"/>
          <w:sz w:val="20"/>
        </w:rPr>
        <w:t>Exchange Act</w:t>
      </w:r>
      <w:r>
        <w:rPr>
          <w:rFonts w:ascii="Times New Roman;sans-serif" w:hAnsi="Times New Roman;sans-serif"/>
          <w:b w:val="false"/>
          <w:color w:val="000000"/>
          <w:sz w:val="20"/>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w:t>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0"/>
        </w:rPr>
        <w:t xml:space="preserve">set forth in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once business has been properly brought before the annual meeting in accordance with such procedures, nothing in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 xml:space="preserve">shall be deemed to preclude discussion by any stockholder of any such business. If the Board or the chairman of the annual meeting determines that any stockholder proposal was not made in accordance with the provisions of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 xml:space="preserve">or that the information provided in a stockholder's notice does not satisfy the information requirements of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 xml:space="preserve">, such proposal shall not be presented for action at the annual meeting. Notwithstanding the foregoing provisions of this </w:t>
      </w:r>
      <w:r>
        <w:rPr>
          <w:rFonts w:ascii="Times New Roman;sans-serif" w:hAnsi="Times New Roman;sans-serif"/>
          <w:b w:val="false"/>
          <w:color w:val="000000"/>
          <w:sz w:val="20"/>
          <w:u w:val="single"/>
        </w:rPr>
        <w:t>Section</w:t>
      </w:r>
      <w:r>
        <w:rPr>
          <w:color w:val="000000"/>
        </w:rPr>
        <w:t xml:space="preserve"> </w:t>
      </w:r>
      <w:r>
        <w:rPr>
          <w:rFonts w:ascii="Times New Roman;sans-serif" w:hAnsi="Times New Roman;sans-serif"/>
          <w:b w:val="false"/>
          <w:color w:val="000000"/>
          <w:sz w:val="20"/>
          <w:u w:val="single"/>
        </w:rPr>
        <w:t>2.7(a)</w:t>
      </w:r>
      <w:r>
        <w:rPr>
          <w:rFonts w:ascii="Times New Roman;sans-serif" w:hAnsi="Times New Roman;sans-serif"/>
          <w:b w:val="false"/>
          <w:color w:val="000000"/>
          <w:sz w:val="20"/>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pStyle w:val="TextBody"/>
        <w:spacing w:before="0" w:after="0"/>
        <w:rPr/>
      </w:pPr>
      <w:r>
        <w:rPr/>
      </w:r>
    </w:p>
    <w:p>
      <w:pPr>
        <w:pStyle w:val="TextBody"/>
        <w:spacing w:lineRule="auto" w:line="268" w:before="0" w:after="0"/>
        <w:ind w:left="0" w:right="0" w:hanging="565"/>
        <w:jc w:val="both"/>
        <w:rPr/>
      </w:pPr>
      <w:r>
        <w:rPr>
          <w:rFonts w:ascii="Times New Roman;sans-serif" w:hAnsi="Times New Roman;sans-serif"/>
          <w:b w:val="false"/>
          <w:color w:val="000000"/>
          <w:sz w:val="20"/>
        </w:rPr>
        <w:t xml:space="preserve">iv.In addition to the provisions of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 xml:space="preserve">, a stockholder shall also comply with all applicable requirements of the Exchange Act and the rules and regulations thereunder with respect to the matters set forth herein. Nothing in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shall be deemed to affect any rights of stockholders to request inclusion of proposals in the Corporation's proxy statement pursuant to Rule 14a-8 under the Exchange Act.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Special Meetings of Stockholder</w:t>
      </w:r>
      <w:r>
        <w:rPr>
          <w:rFonts w:ascii="Times New Roman;sans-serif" w:hAnsi="Times New Roman;sans-serif"/>
          <w:b w:val="false"/>
          <w:color w:val="000000"/>
          <w:sz w:val="20"/>
        </w:rPr>
        <w:t xml:space="preserve">s.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Public Announcement</w:t>
      </w:r>
      <w:r>
        <w:rPr>
          <w:rFonts w:ascii="Times New Roman;sans-serif" w:hAnsi="Times New Roman;sans-serif"/>
          <w:b w:val="false"/>
          <w:color w:val="000000"/>
          <w:sz w:val="20"/>
        </w:rPr>
        <w:t>. 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2.8. </w:t>
      </w:r>
      <w:r>
        <w:rPr>
          <w:rFonts w:ascii="Times New Roman;sans-serif" w:hAnsi="Times New Roman;sans-serif"/>
          <w:b/>
          <w:color w:val="000000"/>
          <w:sz w:val="20"/>
        </w:rPr>
        <w:t xml:space="preserve">Conduct of Meetings. </w:t>
      </w:r>
      <w:r>
        <w:rPr>
          <w:rFonts w:ascii="Times New Roman;sans-serif" w:hAnsi="Times New Roman;sans-serif"/>
          <w:b w:val="false"/>
          <w:color w:val="000000"/>
          <w:sz w:val="20"/>
        </w:rPr>
        <w:t>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w:t>
      </w:r>
    </w:p>
    <w:p>
      <w:pPr>
        <w:pStyle w:val="TextBody"/>
        <w:spacing w:lineRule="auto" w:line="268" w:before="0" w:after="0"/>
        <w:ind w:left="0" w:right="0" w:firstLine="120"/>
        <w:jc w:val="both"/>
        <w:rPr>
          <w:rFonts w:ascii="Times New Roman;sans-serif" w:hAnsi="Times New Roman;sans-serif"/>
          <w:b w:val="false"/>
          <w:color w:val="000000"/>
          <w:sz w:val="20"/>
        </w:rPr>
      </w:pPr>
      <w:r>
        <w:rPr>
          <w:rFonts w:ascii="Times New Roman;sans-serif" w:hAnsi="Times New Roman;sans-serif"/>
          <w:b w:val="false"/>
          <w:color w:val="000000"/>
          <w:sz w:val="20"/>
        </w:rPr>
        <w:t>(a)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pStyle w:val="TextBody"/>
        <w:spacing w:before="0" w:after="0"/>
        <w:rPr/>
      </w:pPr>
      <w:r>
        <w:rPr/>
      </w:r>
    </w:p>
    <w:p>
      <w:pPr>
        <w:pStyle w:val="TextBody"/>
        <w:spacing w:lineRule="auto" w:line="268"/>
        <w:ind w:left="0" w:right="0" w:firstLine="609"/>
        <w:jc w:val="both"/>
        <w:rPr/>
      </w:pPr>
      <w:r>
        <w:rPr>
          <w:rFonts w:ascii="Times New Roman;sans-serif" w:hAnsi="Times New Roman;sans-serif"/>
          <w:b w:val="false"/>
          <w:color w:val="000000"/>
          <w:sz w:val="20"/>
        </w:rPr>
        <w:t xml:space="preserve">Section 2.9. </w:t>
      </w:r>
      <w:r>
        <w:rPr>
          <w:rFonts w:ascii="Times New Roman;sans-serif" w:hAnsi="Times New Roman;sans-serif"/>
          <w:b/>
          <w:color w:val="000000"/>
          <w:sz w:val="20"/>
        </w:rPr>
        <w:t xml:space="preserve">Consents in Lieu of Meeting. </w:t>
      </w:r>
      <w:r>
        <w:rPr>
          <w:rFonts w:ascii="Times New Roman;sans-serif" w:hAnsi="Times New Roman;sans-serif"/>
          <w:b w:val="false"/>
          <w:color w:val="000000"/>
          <w:sz w:val="20"/>
        </w:rPr>
        <w:t>Any action required or permitted to be taken by the stockholders of the Corporation must be effected by a duly called annual or special meeting of such stockholders and may not be effected by written consent of the stockholders.</w:t>
      </w:r>
      <w:r>
        <w:br w:type="page"/>
      </w: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362" w:before="0" w:after="0"/>
        <w:ind w:left="0" w:right="0" w:firstLine="4202"/>
        <w:jc w:val="center"/>
        <w:rPr>
          <w:rFonts w:ascii="Times New Roman;sans-serif" w:hAnsi="Times New Roman;sans-serif"/>
          <w:b/>
          <w:color w:val="000000"/>
          <w:sz w:val="20"/>
        </w:rPr>
      </w:pPr>
      <w:r>
        <w:rPr>
          <w:rFonts w:ascii="Times New Roman;sans-serif" w:hAnsi="Times New Roman;sans-serif"/>
          <w:b/>
          <w:color w:val="000000"/>
          <w:sz w:val="20"/>
        </w:rPr>
        <w:t xml:space="preserve">ARTICLE III </w:t>
      </w:r>
    </w:p>
    <w:p>
      <w:pPr>
        <w:pStyle w:val="TextBody"/>
        <w:spacing w:lineRule="auto" w:line="362" w:before="0" w:after="0"/>
        <w:ind w:left="0" w:right="0" w:firstLine="4202"/>
        <w:jc w:val="center"/>
        <w:rPr>
          <w:rFonts w:ascii="Times New Roman;sans-serif" w:hAnsi="Times New Roman;sans-serif"/>
          <w:b/>
          <w:color w:val="000000"/>
          <w:sz w:val="20"/>
        </w:rPr>
      </w:pPr>
      <w:r>
        <w:rPr>
          <w:rFonts w:ascii="Times New Roman;sans-serif" w:hAnsi="Times New Roman;sans-serif"/>
          <w:b/>
          <w:color w:val="000000"/>
          <w:sz w:val="20"/>
        </w:rPr>
        <w:t>DIRECTORS</w:t>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3.1. </w:t>
      </w:r>
      <w:r>
        <w:rPr>
          <w:rFonts w:ascii="Times New Roman;sans-serif" w:hAnsi="Times New Roman;sans-serif"/>
          <w:b/>
          <w:color w:val="000000"/>
          <w:sz w:val="20"/>
        </w:rPr>
        <w:t>Powers; Number</w:t>
      </w:r>
      <w:r>
        <w:rPr>
          <w:rFonts w:ascii="Times New Roman;sans-serif" w:hAnsi="Times New Roman;sans-serif"/>
          <w:b w:val="false"/>
          <w:color w:val="000000"/>
          <w:sz w:val="20"/>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Subject to the Certificate of Incorporation, the number of directors shall be fixed exclusively by resolution of the Board.</w: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3.2. </w:t>
      </w:r>
      <w:r>
        <w:rPr>
          <w:rFonts w:ascii="Times New Roman;sans-serif" w:hAnsi="Times New Roman;sans-serif"/>
          <w:b/>
          <w:color w:val="000000"/>
          <w:sz w:val="20"/>
        </w:rPr>
        <w:t>Advance Notice for Nomination of Directors</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 xml:space="preserve">a.Only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(A) who is a stockholder of record entitled to vote in the election of directors on the date of the giving of the notice provided for in this </w:t>
      </w:r>
      <w:r>
        <w:rPr>
          <w:rFonts w:ascii="Times New Roman;sans-serif" w:hAnsi="Times New Roman;sans-serif"/>
          <w:b w:val="false"/>
          <w:color w:val="000000"/>
          <w:sz w:val="20"/>
          <w:u w:val="single"/>
        </w:rPr>
        <w:t>Section 3.2</w:t>
      </w:r>
      <w:r>
        <w:rPr>
          <w:color w:val="000000"/>
        </w:rPr>
        <w:t xml:space="preserve"> </w:t>
      </w:r>
      <w:r>
        <w:rPr>
          <w:rFonts w:ascii="Times New Roman;sans-serif" w:hAnsi="Times New Roman;sans-serif"/>
          <w:b w:val="false"/>
          <w:color w:val="000000"/>
          <w:sz w:val="20"/>
        </w:rPr>
        <w:t xml:space="preserve">and on the record date for the determination of stockholders entitled to vote at such meeting and (B) who complies with the notice procedures set forth in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 xml:space="preserve">b.In addition to any other applicable requirements, for a nomination to be made by a stockholder, such stockholder must have given timely notice thereof in proper written form to the Secretary of the Corporation.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in the event that the annual meeting is called for a date that is not within 45 days before or after such anniversary date, notice by the stockholder to be timely must be so received no earlier than the opening of business on the 120th day before the meeting and not later than the later of (A) the close of business on the 90th day before the meeting and (B)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 xml:space="preserve">c.Notwithstanding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sans-serif" w:hAnsi="Times New Roman;sans-serif"/>
          <w:b w:val="false"/>
          <w:color w:val="000000"/>
          <w:sz w:val="20"/>
          <w:u w:val="single"/>
        </w:rPr>
        <w:t>Section 3.2</w:t>
      </w:r>
      <w:r>
        <w:rPr>
          <w:color w:val="000000"/>
        </w:rPr>
        <w:t xml:space="preserve"> </w:t>
      </w:r>
      <w:r>
        <w:rPr>
          <w:rFonts w:ascii="Times New Roman;sans-serif" w:hAnsi="Times New Roman;sans-serif"/>
          <w:b w:val="false"/>
          <w:color w:val="000000"/>
          <w:sz w:val="20"/>
        </w:rPr>
        <w:t>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pStyle w:val="TextBody"/>
        <w:spacing w:before="0" w:after="0"/>
        <w:rPr/>
      </w:pPr>
      <w:r>
        <w:rPr/>
      </w:r>
    </w:p>
    <w:p>
      <w:pPr>
        <w:pStyle w:val="TextBody"/>
        <w:spacing w:lineRule="auto" w:line="268"/>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if any,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w:t>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promulgated thereunder, without regard to the application of the Exchange Act to either the nomination or the Corporation;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 xml:space="preserve">e.If the Board or the chairman of the meeting of stockholders determines that any nomination was not made in accordance with the provisions of this </w:t>
      </w:r>
      <w:r>
        <w:rPr>
          <w:rFonts w:ascii="Times New Roman;sans-serif" w:hAnsi="Times New Roman;sans-serif"/>
          <w:b w:val="false"/>
          <w:color w:val="000000"/>
          <w:sz w:val="20"/>
          <w:u w:val="single"/>
        </w:rPr>
        <w:t>Section 3.2</w:t>
      </w:r>
      <w:r>
        <w:rPr>
          <w:color w:val="000000"/>
        </w:rPr>
        <w:t xml:space="preserve"> </w:t>
      </w:r>
      <w:r>
        <w:rPr>
          <w:rFonts w:ascii="Times New Roman;sans-serif" w:hAnsi="Times New Roman;sans-serif"/>
          <w:b w:val="false"/>
          <w:color w:val="000000"/>
          <w:sz w:val="20"/>
        </w:rPr>
        <w:t xml:space="preserve">or that the information provided in a stockholder's notice does not satisfy the information requirements of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 xml:space="preserve">, then such nomination shall not be considered at the meeting in question. Notwithstanding the foregoing provisions of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 xml:space="preserve">f.In addition to the provisions of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 xml:space="preserve">, a stockholder shall also comply with all of the applicable requirements of the Exchange Act and the rules and regulations thereunder with respect to the matters set forth herein. Nothing in this </w:t>
      </w:r>
      <w:r>
        <w:rPr>
          <w:rFonts w:ascii="Times New Roman;sans-serif" w:hAnsi="Times New Roman;sans-serif"/>
          <w:b w:val="false"/>
          <w:color w:val="000000"/>
          <w:sz w:val="20"/>
          <w:u w:val="single"/>
        </w:rPr>
        <w:t>Section 3.2</w:t>
      </w:r>
      <w:r>
        <w:rPr>
          <w:color w:val="000000"/>
        </w:rPr>
        <w:t xml:space="preserve"> </w:t>
      </w:r>
      <w:r>
        <w:rPr>
          <w:rFonts w:ascii="Times New Roman;sans-serif" w:hAnsi="Times New Roman;sans-serif"/>
          <w:b w:val="false"/>
          <w:color w:val="000000"/>
          <w:sz w:val="20"/>
        </w:rPr>
        <w:t>shall be deemed to affect any rights of the holders of Preferred Stock to elect directors pursuant to the Certificate of Incorporation.</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3.3. </w:t>
      </w:r>
      <w:r>
        <w:rPr>
          <w:rFonts w:ascii="Times New Roman;sans-serif" w:hAnsi="Times New Roman;sans-serif"/>
          <w:b/>
          <w:color w:val="000000"/>
          <w:sz w:val="20"/>
        </w:rPr>
        <w:t>Compensation</w:t>
      </w:r>
      <w:r>
        <w:rPr>
          <w:rFonts w:ascii="Times New Roman;sans-serif" w:hAnsi="Times New Roman;sans-serif"/>
          <w:b w:val="false"/>
          <w:color w:val="000000"/>
          <w:sz w:val="20"/>
        </w:rPr>
        <w:t>. Unless otherwise restricted by the Certificate of Incorporation or these Bylaws, the Board shall have the authority to 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3.4. </w:t>
      </w:r>
      <w:r>
        <w:rPr>
          <w:rFonts w:ascii="Times New Roman;sans-serif" w:hAnsi="Times New Roman;sans-serif"/>
          <w:b/>
          <w:color w:val="000000"/>
          <w:sz w:val="20"/>
        </w:rPr>
        <w:t>Newly Created Directorships and Vacancies</w:t>
      </w:r>
      <w:r>
        <w:rPr>
          <w:rFonts w:ascii="Times New Roman;sans-serif" w:hAnsi="Times New Roman;sans-serif"/>
          <w:b w:val="false"/>
          <w:color w:val="000000"/>
          <w:sz w:val="20"/>
        </w:rPr>
        <w:t>. Unless otherwise provided by the Certificate of Incorporation, newly created directorships resulting from an increase in the number of directors and any vacancies on the Board resulting from death, resignation, retirement, disqualification, removal or other cause shall be filled solely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pStyle w:val="TextBody"/>
        <w:spacing w:before="0" w:after="0"/>
        <w:rPr/>
      </w:pPr>
      <w:r>
        <w:rPr/>
      </w:r>
    </w:p>
    <w:p>
      <w:pPr>
        <w:pStyle w:val="TextBody"/>
        <w:spacing w:lineRule="auto" w:line="362" w:before="0" w:after="0"/>
        <w:ind w:left="0" w:right="0" w:firstLine="3871"/>
        <w:jc w:val="center"/>
        <w:rPr>
          <w:rFonts w:ascii="Times New Roman;sans-serif" w:hAnsi="Times New Roman;sans-serif"/>
          <w:b/>
          <w:color w:val="000000"/>
          <w:sz w:val="20"/>
        </w:rPr>
      </w:pPr>
      <w:r>
        <w:rPr>
          <w:rFonts w:ascii="Times New Roman;sans-serif" w:hAnsi="Times New Roman;sans-serif"/>
          <w:b/>
          <w:color w:val="000000"/>
          <w:sz w:val="20"/>
        </w:rPr>
        <w:t xml:space="preserve">ARTICLE IV </w:t>
      </w:r>
    </w:p>
    <w:p>
      <w:pPr>
        <w:pStyle w:val="TextBody"/>
        <w:spacing w:lineRule="auto" w:line="362" w:before="0" w:after="0"/>
        <w:ind w:left="0" w:right="0" w:firstLine="3871"/>
        <w:jc w:val="center"/>
        <w:rPr>
          <w:rFonts w:ascii="Times New Roman;sans-serif" w:hAnsi="Times New Roman;sans-serif"/>
          <w:b/>
          <w:color w:val="000000"/>
          <w:sz w:val="20"/>
        </w:rPr>
      </w:pPr>
      <w:r>
        <w:rPr>
          <w:rFonts w:ascii="Times New Roman;sans-serif" w:hAnsi="Times New Roman;sans-serif"/>
          <w:b/>
          <w:color w:val="000000"/>
          <w:sz w:val="20"/>
        </w:rPr>
        <w:t>BOARD MEETINGS</w:t>
      </w:r>
    </w:p>
    <w:p>
      <w:pPr>
        <w:pStyle w:val="TextBody"/>
        <w:spacing w:before="0" w:after="0"/>
        <w:ind w:left="0" w:right="0" w:firstLine="3871"/>
        <w:jc w:val="center"/>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4.1. </w:t>
      </w:r>
      <w:r>
        <w:rPr>
          <w:rFonts w:ascii="Times New Roman;sans-serif" w:hAnsi="Times New Roman;sans-serif"/>
          <w:b/>
          <w:color w:val="000000"/>
          <w:sz w:val="20"/>
        </w:rPr>
        <w:t>Annual Meetings</w:t>
      </w:r>
      <w:r>
        <w:rPr>
          <w:rFonts w:ascii="Times New Roman;sans-serif" w:hAnsi="Times New Roman;sans-serif"/>
          <w:b w:val="false"/>
          <w:color w:val="000000"/>
          <w:sz w:val="20"/>
        </w:rPr>
        <w:t xml:space="preserve">.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sans-serif" w:hAnsi="Times New Roman;sans-serif"/>
          <w:b w:val="false"/>
          <w:color w:val="000000"/>
          <w:sz w:val="20"/>
          <w:u w:val="single"/>
        </w:rPr>
        <w:t>Section 4.1</w:t>
      </w:r>
      <w:r>
        <w:rPr>
          <w:rFonts w:ascii="Times New Roman;sans-serif" w:hAnsi="Times New Roman;sans-serif"/>
          <w:b w:val="false"/>
          <w:color w:val="000000"/>
          <w:sz w:val="20"/>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4.2. </w:t>
      </w:r>
      <w:r>
        <w:rPr>
          <w:rFonts w:ascii="Times New Roman;sans-serif" w:hAnsi="Times New Roman;sans-serif"/>
          <w:b/>
          <w:color w:val="000000"/>
          <w:sz w:val="20"/>
        </w:rPr>
        <w:t>Regular Meetings</w:t>
      </w:r>
      <w:r>
        <w:rPr>
          <w:rFonts w:ascii="Times New Roman;sans-serif" w:hAnsi="Times New Roman;sans-serif"/>
          <w:b w:val="false"/>
          <w:color w:val="000000"/>
          <w:sz w:val="20"/>
        </w:rPr>
        <w:t>. Regularly scheduled, periodic meetings of the Board may be held without notice at such times, dates and places (within or without the State of Delaware) as shall from time to time be determined by the Board.</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4.3. </w:t>
      </w:r>
      <w:r>
        <w:rPr>
          <w:rFonts w:ascii="Times New Roman;sans-serif" w:hAnsi="Times New Roman;sans-serif"/>
          <w:b/>
          <w:color w:val="000000"/>
          <w:sz w:val="20"/>
        </w:rPr>
        <w:t>Special Meetings</w:t>
      </w:r>
      <w:r>
        <w:rPr>
          <w:rFonts w:ascii="Times New Roman;sans-serif" w:hAnsi="Times New Roman;sans-serif"/>
          <w:b w:val="false"/>
          <w:color w:val="000000"/>
          <w:sz w:val="20"/>
        </w:rPr>
        <w:t xml:space="preserve">. Special meetings of the Board (a) may be called by the Chairman of the Board or Chief Executive Officer and (b) shall be called by the Chairman of the Board, Chief Executive Officer or Secretary on the written request of at least a majority of directors then in office, as the case may be, and shall be held at such time, date and place (within or without the State of Delaware) as may be determined by the person calling the meeting or, if called upon the request of directors, as specified in such written request. Notice of each special meeting of the Board shall be given, as provided in </w:t>
      </w:r>
      <w:r>
        <w:rPr>
          <w:rFonts w:ascii="Times New Roman;sans-serif" w:hAnsi="Times New Roman;sans-serif"/>
          <w:b w:val="false"/>
          <w:color w:val="000000"/>
          <w:sz w:val="20"/>
          <w:u w:val="single"/>
        </w:rPr>
        <w:t>Section 9.3</w:t>
      </w:r>
      <w:r>
        <w:rPr>
          <w:rFonts w:ascii="Times New Roman;sans-serif" w:hAnsi="Times New Roman;sans-serif"/>
          <w:b w:val="false"/>
          <w:color w:val="000000"/>
          <w:sz w:val="20"/>
        </w:rPr>
        <w:t>,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w:t>
      </w:r>
    </w:p>
    <w:p>
      <w:pPr>
        <w:pStyle w:val="TextBody"/>
        <w:spacing w:before="0" w:after="0"/>
        <w:rPr/>
      </w:pPr>
      <w:r>
        <w:rPr/>
      </w:r>
    </w:p>
    <w:p>
      <w:pPr>
        <w:pStyle w:val="TextBody"/>
        <w:spacing w:lineRule="auto" w:line="268" w:before="0" w:after="0"/>
        <w:ind w:left="0" w:right="0" w:firstLine="119"/>
        <w:jc w:val="both"/>
        <w:rPr/>
      </w:pPr>
      <w:r>
        <w:rPr>
          <w:rFonts w:ascii="Times New Roman;sans-serif" w:hAnsi="Times New Roman;sans-serif"/>
          <w:b w:val="false"/>
          <w:color w:val="000000"/>
          <w:sz w:val="20"/>
        </w:rPr>
        <w:t xml:space="preserve">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sans-serif" w:hAnsi="Times New Roman;sans-serif"/>
          <w:b w:val="false"/>
          <w:color w:val="000000"/>
          <w:sz w:val="20"/>
          <w:u w:val="single"/>
        </w:rPr>
        <w:t>Section 9.4</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4.4. </w:t>
      </w:r>
      <w:r>
        <w:rPr>
          <w:rFonts w:ascii="Times New Roman;sans-serif" w:hAnsi="Times New Roman;sans-serif"/>
          <w:b/>
          <w:color w:val="000000"/>
          <w:sz w:val="20"/>
        </w:rPr>
        <w:t>Quorum; Required Vote</w:t>
      </w:r>
      <w:r>
        <w:rPr>
          <w:rFonts w:ascii="Times New Roman;sans-serif" w:hAnsi="Times New Roman;sans-serif"/>
          <w:b w:val="false"/>
          <w:color w:val="000000"/>
          <w:sz w:val="20"/>
        </w:rPr>
        <w:t>.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4.5. </w:t>
      </w:r>
      <w:r>
        <w:rPr>
          <w:rFonts w:ascii="Times New Roman;sans-serif" w:hAnsi="Times New Roman;sans-serif"/>
          <w:b/>
          <w:color w:val="000000"/>
          <w:sz w:val="20"/>
        </w:rPr>
        <w:t>Consent In Lieu of Meeting</w:t>
      </w:r>
      <w:r>
        <w:rPr>
          <w:rFonts w:ascii="Times New Roman;sans-serif" w:hAnsi="Times New Roman;sans-serif"/>
          <w:b w:val="false"/>
          <w:color w:val="000000"/>
          <w:sz w:val="20"/>
        </w:rPr>
        <w:t>.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4.6. </w:t>
      </w:r>
      <w:r>
        <w:rPr>
          <w:rFonts w:ascii="Times New Roman;sans-serif" w:hAnsi="Times New Roman;sans-serif"/>
          <w:b/>
          <w:color w:val="000000"/>
          <w:sz w:val="20"/>
        </w:rPr>
        <w:t>Organization</w:t>
      </w:r>
      <w:r>
        <w:rPr>
          <w:rFonts w:ascii="Times New Roman;sans-serif" w:hAnsi="Times New Roman;sans-serif"/>
          <w:b w:val="false"/>
          <w:color w:val="000000"/>
          <w:sz w:val="20"/>
        </w:rPr>
        <w:t>. The chairman of each meeting of the 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pStyle w:val="TextBody"/>
        <w:spacing w:before="0" w:after="0"/>
        <w:rPr/>
      </w:pPr>
      <w:r>
        <w:rPr/>
      </w:r>
    </w:p>
    <w:p>
      <w:pPr>
        <w:pStyle w:val="TextBody"/>
        <w:spacing w:before="0" w:after="0"/>
        <w:rPr/>
      </w:pPr>
      <w:r>
        <w:rPr/>
      </w:r>
    </w:p>
    <w:p>
      <w:pPr>
        <w:pStyle w:val="TextBody"/>
        <w:spacing w:lineRule="auto" w:line="362" w:before="0" w:after="0"/>
        <w:ind w:left="0" w:right="0" w:firstLine="4246"/>
        <w:jc w:val="center"/>
        <w:rPr>
          <w:rFonts w:ascii="Times New Roman;sans-serif" w:hAnsi="Times New Roman;sans-serif"/>
          <w:b/>
          <w:color w:val="000000"/>
          <w:sz w:val="20"/>
        </w:rPr>
      </w:pPr>
      <w:r>
        <w:rPr>
          <w:rFonts w:ascii="Times New Roman;sans-serif" w:hAnsi="Times New Roman;sans-serif"/>
          <w:b/>
          <w:color w:val="000000"/>
          <w:sz w:val="20"/>
        </w:rPr>
        <w:t xml:space="preserve">ARTICLE V </w:t>
      </w:r>
    </w:p>
    <w:p>
      <w:pPr>
        <w:pStyle w:val="TextBody"/>
        <w:spacing w:lineRule="auto" w:line="362" w:before="0" w:after="0"/>
        <w:ind w:left="0" w:right="0" w:firstLine="4246"/>
        <w:jc w:val="center"/>
        <w:rPr>
          <w:rFonts w:ascii="Times New Roman;sans-serif" w:hAnsi="Times New Roman;sans-serif"/>
          <w:b/>
          <w:color w:val="000000"/>
          <w:sz w:val="20"/>
        </w:rPr>
      </w:pPr>
      <w:r>
        <w:rPr>
          <w:rFonts w:ascii="Times New Roman;sans-serif" w:hAnsi="Times New Roman;sans-serif"/>
          <w:b/>
          <w:color w:val="000000"/>
          <w:sz w:val="20"/>
        </w:rPr>
        <w:t>COMMITTEES OF DIRECTORS</w:t>
      </w:r>
    </w:p>
    <w:p>
      <w:pPr>
        <w:pStyle w:val="TextBody"/>
        <w:spacing w:before="0" w:after="0"/>
        <w:ind w:left="0" w:right="0" w:firstLine="4246"/>
        <w:jc w:val="center"/>
        <w:rPr/>
      </w:pPr>
      <w:r>
        <w:rPr/>
      </w:r>
    </w:p>
    <w:p>
      <w:pPr>
        <w:pStyle w:val="TextBody"/>
        <w:spacing w:lineRule="auto" w:line="268"/>
        <w:ind w:left="0" w:right="0" w:firstLine="609"/>
        <w:jc w:val="both"/>
        <w:rPr/>
      </w:pPr>
      <w:r>
        <w:rPr>
          <w:rFonts w:ascii="Times New Roman;sans-serif" w:hAnsi="Times New Roman;sans-serif"/>
          <w:b w:val="false"/>
          <w:color w:val="000000"/>
          <w:sz w:val="20"/>
        </w:rPr>
        <w:t xml:space="preserve">Section 5.1. </w:t>
      </w:r>
      <w:r>
        <w:rPr>
          <w:rFonts w:ascii="Times New Roman;sans-serif" w:hAnsi="Times New Roman;sans-serif"/>
          <w:b/>
          <w:color w:val="000000"/>
          <w:sz w:val="20"/>
        </w:rPr>
        <w:t>Establishment</w:t>
      </w:r>
      <w:r>
        <w:rPr>
          <w:rFonts w:ascii="Times New Roman;sans-serif" w:hAnsi="Times New Roman;sans-serif"/>
          <w:b w:val="false"/>
          <w:color w:val="000000"/>
          <w:sz w:val="20"/>
        </w:rPr>
        <w:t>. The Board may by resolution of the Board designate one or more committees, each committee to consist of one or 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5.2. </w:t>
      </w:r>
      <w:r>
        <w:rPr>
          <w:rFonts w:ascii="Times New Roman;sans-serif" w:hAnsi="Times New Roman;sans-serif"/>
          <w:b/>
          <w:color w:val="000000"/>
          <w:sz w:val="20"/>
        </w:rPr>
        <w:t>Available Powers</w:t>
      </w:r>
      <w:r>
        <w:rPr>
          <w:rFonts w:ascii="Times New Roman;sans-serif" w:hAnsi="Times New Roman;sans-serif"/>
          <w:b w:val="false"/>
          <w:color w:val="000000"/>
          <w:sz w:val="20"/>
        </w:rPr>
        <w:t xml:space="preserve">. Any committee established pursuant to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5.3. </w:t>
      </w:r>
      <w:r>
        <w:rPr>
          <w:rFonts w:ascii="Times New Roman;sans-serif" w:hAnsi="Times New Roman;sans-serif"/>
          <w:b/>
          <w:color w:val="000000"/>
          <w:sz w:val="20"/>
        </w:rPr>
        <w:t>Alternate Members</w:t>
      </w:r>
      <w:r>
        <w:rPr>
          <w:rFonts w:ascii="Times New Roman;sans-serif" w:hAnsi="Times New Roman;sans-serif"/>
          <w:b w:val="false"/>
          <w:color w:val="000000"/>
          <w:sz w:val="20"/>
        </w:rPr>
        <w:t>. The Board may designate one or more directors as alternate members of any committee, who may replace any absent or disqualified member at any meeting of such committee.</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5.4. </w:t>
      </w:r>
      <w:r>
        <w:rPr>
          <w:rFonts w:ascii="Times New Roman;sans-serif" w:hAnsi="Times New Roman;sans-serif"/>
          <w:b/>
          <w:color w:val="000000"/>
          <w:sz w:val="20"/>
        </w:rPr>
        <w:t>Procedures</w:t>
      </w:r>
      <w:r>
        <w:rPr>
          <w:rFonts w:ascii="Times New Roman;sans-serif" w:hAnsi="Times New Roman;sans-serif"/>
          <w:b w:val="false"/>
          <w:color w:val="000000"/>
          <w:sz w:val="20"/>
        </w:rPr>
        <w:t xml:space="preserve">.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sans-serif" w:hAnsi="Times New Roman;sans-serif"/>
          <w:b w:val="false"/>
          <w:color w:val="000000"/>
          <w:sz w:val="20"/>
          <w:u w:val="single"/>
        </w:rPr>
        <w:t>Article IV</w:t>
      </w:r>
      <w:r>
        <w:rPr>
          <w:color w:val="000000"/>
        </w:rPr>
        <w:t xml:space="preserve"> </w:t>
      </w:r>
      <w:r>
        <w:rPr>
          <w:rFonts w:ascii="Times New Roman;sans-serif" w:hAnsi="Times New Roman;sans-serif"/>
          <w:b w:val="false"/>
          <w:color w:val="000000"/>
          <w:sz w:val="20"/>
        </w:rPr>
        <w:t>of these Bylaws.</w:t>
      </w:r>
    </w:p>
    <w:p>
      <w:pPr>
        <w:pStyle w:val="TextBody"/>
        <w:spacing w:before="0" w:after="0"/>
        <w:rPr/>
      </w:pPr>
      <w:r>
        <w:rPr/>
      </w:r>
    </w:p>
    <w:p>
      <w:pPr>
        <w:pStyle w:val="TextBody"/>
        <w:spacing w:before="0" w:after="0"/>
        <w:rPr/>
      </w:pPr>
      <w:r>
        <w:rPr/>
      </w:r>
    </w:p>
    <w:p>
      <w:pPr>
        <w:pStyle w:val="TextBody"/>
        <w:spacing w:lineRule="auto" w:line="489" w:before="0" w:after="0"/>
        <w:ind w:left="0" w:right="0" w:firstLine="3843"/>
        <w:jc w:val="center"/>
        <w:rPr>
          <w:rFonts w:ascii="Times New Roman;sans-serif" w:hAnsi="Times New Roman;sans-serif"/>
          <w:b/>
          <w:color w:val="000000"/>
          <w:sz w:val="20"/>
        </w:rPr>
      </w:pPr>
      <w:r>
        <w:rPr>
          <w:rFonts w:ascii="Times New Roman;sans-serif" w:hAnsi="Times New Roman;sans-serif"/>
          <w:b/>
          <w:color w:val="000000"/>
          <w:sz w:val="20"/>
        </w:rPr>
        <w:t xml:space="preserve">ARTICLE VI </w:t>
      </w:r>
    </w:p>
    <w:p>
      <w:pPr>
        <w:pStyle w:val="TextBody"/>
        <w:spacing w:lineRule="auto" w:line="489" w:before="0" w:after="0"/>
        <w:ind w:left="0" w:right="0" w:firstLine="3843"/>
        <w:jc w:val="center"/>
        <w:rPr>
          <w:rFonts w:ascii="Times New Roman;sans-serif" w:hAnsi="Times New Roman;sans-serif"/>
          <w:b/>
          <w:color w:val="000000"/>
          <w:sz w:val="20"/>
        </w:rPr>
      </w:pPr>
      <w:r>
        <w:rPr>
          <w:rFonts w:ascii="Times New Roman;sans-serif" w:hAnsi="Times New Roman;sans-serif"/>
          <w:b/>
          <w:color w:val="000000"/>
          <w:sz w:val="20"/>
        </w:rPr>
        <w:t>OFFICERS</w:t>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6.1. </w:t>
      </w:r>
      <w:r>
        <w:rPr>
          <w:rFonts w:ascii="Times New Roman;sans-serif" w:hAnsi="Times New Roman;sans-serif"/>
          <w:b/>
          <w:color w:val="000000"/>
          <w:sz w:val="20"/>
        </w:rPr>
        <w:t>Officers</w:t>
      </w:r>
      <w:r>
        <w:rPr>
          <w:rFonts w:ascii="Times New Roman;sans-serif" w:hAnsi="Times New Roman;sans-serif"/>
          <w:b w:val="false"/>
          <w:color w:val="000000"/>
          <w:sz w:val="20"/>
        </w:rPr>
        <w:t xml:space="preserve">. The officers of the Corporation elected by the Board shall be a Chief Executive Officer, a Chief Financial Officer, a Secretary and such other officers (including without limitation, a Chairman, President,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Times New Roman;sans-serif" w:hAnsi="Times New Roman;sans-serif"/>
          <w:b w:val="false"/>
          <w:color w:val="000000"/>
          <w:sz w:val="20"/>
          <w:u w:val="single"/>
        </w:rPr>
        <w:t>Article VI</w:t>
      </w:r>
      <w:r>
        <w:rPr>
          <w:rFonts w:ascii="Times New Roman;sans-serif" w:hAnsi="Times New Roman;sans-serif"/>
          <w:b w:val="false"/>
          <w:color w:val="000000"/>
          <w:sz w:val="20"/>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if any, as may be prescribed by the appointing officer.</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Chairman of the Board</w:t>
      </w:r>
      <w:r>
        <w:rPr>
          <w:rFonts w:ascii="Times New Roman;sans-serif" w:hAnsi="Times New Roman;sans-serif"/>
          <w:b w:val="false"/>
          <w:color w:val="000000"/>
          <w:sz w:val="20"/>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Chief Executive Officer</w:t>
      </w:r>
      <w:r>
        <w:rPr>
          <w:rFonts w:ascii="Times New Roman;sans-serif" w:hAnsi="Times New Roman;sans-serif"/>
          <w:b w:val="false"/>
          <w:color w:val="000000"/>
          <w:sz w:val="20"/>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Times New Roman;sans-serif" w:hAnsi="Times New Roman;sans-serif"/>
          <w:b w:val="false"/>
          <w:color w:val="000000"/>
          <w:sz w:val="20"/>
          <w:u w:val="single"/>
        </w:rPr>
        <w:t>Section 6.1(a)</w:t>
      </w:r>
      <w:r>
        <w:rPr>
          <w:color w:val="000000"/>
        </w:rPr>
        <w:t xml:space="preserve"> </w:t>
      </w:r>
      <w:r>
        <w:rPr>
          <w:rFonts w:ascii="Times New Roman;sans-serif" w:hAnsi="Times New Roman;sans-serif"/>
          <w:b w:val="false"/>
          <w:color w:val="000000"/>
          <w:sz w:val="20"/>
        </w:rPr>
        <w:t>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President</w:t>
      </w:r>
      <w:r>
        <w:rPr>
          <w:rFonts w:ascii="Times New Roman;sans-serif" w:hAnsi="Times New Roman;sans-serif"/>
          <w:b w:val="false"/>
          <w:color w:val="000000"/>
          <w:sz w:val="20"/>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Vice Presidents</w:t>
      </w:r>
      <w:r>
        <w:rPr>
          <w:rFonts w:ascii="Times New Roman;sans-serif" w:hAnsi="Times New Roman;sans-serif"/>
          <w:b w:val="false"/>
          <w:color w:val="000000"/>
          <w:sz w:val="20"/>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Secretary</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i.The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pStyle w:val="TextBody"/>
        <w:spacing w:before="0" w:after="0"/>
        <w:rPr/>
      </w:pPr>
      <w:r>
        <w:rPr/>
      </w:r>
    </w:p>
    <w:p>
      <w:pPr>
        <w:pStyle w:val="TextBody"/>
        <w:spacing w:lineRule="auto" w:line="268" w:before="0" w:after="0"/>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ii.The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Assistant Secretaries</w:t>
      </w:r>
      <w:r>
        <w:rPr>
          <w:rFonts w:ascii="Times New Roman;sans-serif" w:hAnsi="Times New Roman;sans-serif"/>
          <w:b w:val="false"/>
          <w:color w:val="000000"/>
          <w:sz w:val="20"/>
        </w:rPr>
        <w:t>. The Assistant Secretary or, if there be more than one, the Assistant Secretaries in the order determined by the Board shall, in the absence (or inability or refusal to act) of the Secretary, perform the duties and have the powers of the Secretary.</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Chief Financial Officer</w:t>
      </w:r>
      <w:r>
        <w:rPr>
          <w:rFonts w:ascii="Times New Roman;sans-serif" w:hAnsi="Times New Roman;sans-serif"/>
          <w:b w:val="false"/>
          <w:color w:val="000000"/>
          <w:sz w:val="20"/>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Treasurer</w:t>
      </w:r>
      <w:r>
        <w:rPr>
          <w:rFonts w:ascii="Times New Roman;sans-serif" w:hAnsi="Times New Roman;sans-serif"/>
          <w:b w:val="false"/>
          <w:color w:val="000000"/>
          <w:sz w:val="20"/>
        </w:rPr>
        <w:t>. The Treasurer shall, in the absence (or inability or refusal to act) of the Chief Financial Officer, perform the duties and exercise the powers of the Chief Financial Officer.</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6.2. </w:t>
      </w:r>
      <w:r>
        <w:rPr>
          <w:rFonts w:ascii="Times New Roman;sans-serif" w:hAnsi="Times New Roman;sans-serif"/>
          <w:b/>
          <w:color w:val="000000"/>
          <w:sz w:val="20"/>
        </w:rPr>
        <w:t>Term of Office; Removal; Vacancies</w:t>
      </w:r>
      <w:r>
        <w:rPr>
          <w:rFonts w:ascii="Times New Roman;sans-serif" w:hAnsi="Times New Roman;sans-serif"/>
          <w:b w:val="false"/>
          <w:color w:val="000000"/>
          <w:sz w:val="20"/>
        </w:rPr>
        <w:t>. The elected officers of the Corporation shall be appointed by the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pStyle w:val="TextBody"/>
        <w:ind w:left="0" w:right="0" w:firstLine="608"/>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6.3. </w:t>
      </w:r>
      <w:r>
        <w:rPr>
          <w:rFonts w:ascii="Times New Roman;sans-serif" w:hAnsi="Times New Roman;sans-serif"/>
          <w:b/>
          <w:color w:val="000000"/>
          <w:sz w:val="20"/>
        </w:rPr>
        <w:t>Other Officers</w:t>
      </w:r>
      <w:r>
        <w:rPr>
          <w:rFonts w:ascii="Times New Roman;sans-serif" w:hAnsi="Times New Roman;sans-serif"/>
          <w:b w:val="false"/>
          <w:color w:val="000000"/>
          <w:sz w:val="20"/>
        </w:rPr>
        <w:t>. The Board may delegate the power to appoint such other officers and agents, and may also remove such officers and agents or delegate the power to remove same, as it shall from time to time deem necessary or desirable.</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6.4. </w:t>
      </w:r>
      <w:r>
        <w:rPr>
          <w:rFonts w:ascii="Times New Roman;sans-serif" w:hAnsi="Times New Roman;sans-serif"/>
          <w:b/>
          <w:color w:val="000000"/>
          <w:sz w:val="20"/>
        </w:rPr>
        <w:t>Multiple Officeholders; Stockholder and Director Officers</w:t>
      </w:r>
      <w:r>
        <w:rPr>
          <w:rFonts w:ascii="Times New Roman;sans-serif" w:hAnsi="Times New Roman;sans-serif"/>
          <w:b w:val="false"/>
          <w:color w:val="000000"/>
          <w:sz w:val="20"/>
        </w:rPr>
        <w:t>. Any number of offices may be held by the same person unless the Certificate of Incorporation or these Bylaws otherwise provide; provided, however, that no officer shall execute, acknowledge or verify any instrument in more than one capacity if such instrument is required by law, the Certificate of Incorporation or these Bylaws to be executed, acknowledged or verified by two or more parties. Officers need not be stockholders or residents of the State of Delaware.</w:t>
      </w:r>
    </w:p>
    <w:p>
      <w:pPr>
        <w:pStyle w:val="TextBody"/>
        <w:spacing w:before="0" w:after="0"/>
        <w:rPr/>
      </w:pPr>
      <w:r>
        <w:rPr/>
      </w:r>
    </w:p>
    <w:p>
      <w:pPr>
        <w:pStyle w:val="TextBody"/>
        <w:spacing w:before="0" w:after="0"/>
        <w:rPr/>
      </w:pPr>
      <w:r>
        <w:rPr/>
      </w:r>
    </w:p>
    <w:p>
      <w:pPr>
        <w:pStyle w:val="TextBody"/>
        <w:spacing w:lineRule="auto" w:line="489" w:before="0" w:after="0"/>
        <w:ind w:left="0" w:right="0" w:firstLine="3842"/>
        <w:jc w:val="center"/>
        <w:rPr>
          <w:rFonts w:ascii="Times New Roman;sans-serif" w:hAnsi="Times New Roman;sans-serif"/>
          <w:b/>
          <w:color w:val="000000"/>
          <w:sz w:val="20"/>
        </w:rPr>
      </w:pPr>
      <w:r>
        <w:rPr>
          <w:rFonts w:ascii="Times New Roman;sans-serif" w:hAnsi="Times New Roman;sans-serif"/>
          <w:b/>
          <w:color w:val="000000"/>
          <w:sz w:val="20"/>
        </w:rPr>
        <w:t xml:space="preserve">ARTICLE VII </w:t>
      </w:r>
    </w:p>
    <w:p>
      <w:pPr>
        <w:pStyle w:val="TextBody"/>
        <w:spacing w:lineRule="auto" w:line="489" w:before="0" w:after="0"/>
        <w:ind w:left="0" w:right="0" w:firstLine="3842"/>
        <w:jc w:val="center"/>
        <w:rPr>
          <w:rFonts w:ascii="Times New Roman;sans-serif" w:hAnsi="Times New Roman;sans-serif"/>
          <w:b/>
          <w:color w:val="000000"/>
          <w:sz w:val="20"/>
        </w:rPr>
      </w:pPr>
      <w:r>
        <w:rPr>
          <w:rFonts w:ascii="Times New Roman;sans-serif" w:hAnsi="Times New Roman;sans-serif"/>
          <w:b/>
          <w:color w:val="000000"/>
          <w:sz w:val="20"/>
        </w:rPr>
        <w:t>SHARES</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7.1. </w:t>
      </w:r>
      <w:r>
        <w:rPr>
          <w:rFonts w:ascii="Times New Roman;sans-serif" w:hAnsi="Times New Roman;sans-serif"/>
          <w:b/>
          <w:color w:val="000000"/>
          <w:sz w:val="20"/>
        </w:rPr>
        <w:t>Certificated and Uncertificated Shares</w:t>
      </w:r>
      <w:r>
        <w:rPr>
          <w:rFonts w:ascii="Times New Roman;sans-serif" w:hAnsi="Times New Roman;sans-serif"/>
          <w:b w:val="false"/>
          <w:color w:val="000000"/>
          <w:sz w:val="20"/>
        </w:rPr>
        <w:t>. The shares of the Corporation may be certificated or uncertificated, subject to the sole discretion of the Board and the requirements of the DGCL.</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7.2. </w:t>
      </w:r>
      <w:r>
        <w:rPr>
          <w:rFonts w:ascii="Times New Roman;sans-serif" w:hAnsi="Times New Roman;sans-serif"/>
          <w:b/>
          <w:color w:val="000000"/>
          <w:sz w:val="20"/>
        </w:rPr>
        <w:t>Multiple Classes of Stock</w:t>
      </w:r>
      <w:r>
        <w:rPr>
          <w:rFonts w:ascii="Times New Roman;sans-serif" w:hAnsi="Times New Roman;sans-serif"/>
          <w:b w:val="false"/>
          <w:color w:val="000000"/>
          <w:sz w:val="20"/>
        </w:rPr>
        <w:t xml:space="preserve">.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7.3. </w:t>
      </w:r>
      <w:r>
        <w:rPr>
          <w:rFonts w:ascii="Times New Roman;sans-serif" w:hAnsi="Times New Roman;sans-serif"/>
          <w:b/>
          <w:color w:val="000000"/>
          <w:sz w:val="20"/>
        </w:rPr>
        <w:t>Signatures</w:t>
      </w:r>
      <w:r>
        <w:rPr>
          <w:rFonts w:ascii="Times New Roman;sans-serif" w:hAnsi="Times New Roman;sans-serif"/>
          <w:b w:val="false"/>
          <w:color w:val="000000"/>
          <w:sz w:val="20"/>
        </w:rPr>
        <w:t>. Each certificate representing capital stock of the Corporation shall be signed by or in the name of the Corporation by (a) the Chairman of the Board, the Chief Executive Officer, the President or a Vice President and (b) the Treasurer, an Assistant Treasurer, the Secretary or an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7.4. </w:t>
      </w:r>
      <w:r>
        <w:rPr>
          <w:rFonts w:ascii="Times New Roman;sans-serif" w:hAnsi="Times New Roman;sans-serif"/>
          <w:b/>
          <w:color w:val="000000"/>
          <w:sz w:val="20"/>
        </w:rPr>
        <w:t>Consideration and Payment for Shares</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pStyle w:val="TextBody"/>
        <w:spacing w:before="0" w:after="0"/>
        <w:rPr/>
      </w:pPr>
      <w:r>
        <w:rPr/>
      </w:r>
    </w:p>
    <w:p>
      <w:pPr>
        <w:pStyle w:val="TextBody"/>
        <w:spacing w:lineRule="auto" w:line="268" w:before="0" w:after="0"/>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i.Subject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7.5. </w:t>
      </w:r>
      <w:r>
        <w:rPr>
          <w:rFonts w:ascii="Times New Roman;sans-serif" w:hAnsi="Times New Roman;sans-serif"/>
          <w:b/>
          <w:color w:val="000000"/>
          <w:sz w:val="20"/>
        </w:rPr>
        <w:t>Lost, Destroyed or Wrongfully Taken Certificates</w:t>
      </w:r>
      <w:r>
        <w:rPr>
          <w:rFonts w:ascii="Times New Roman;sans-serif" w:hAnsi="Times New Roman;sans-serif"/>
          <w:b w:val="false"/>
          <w:color w:val="000000"/>
          <w:sz w:val="20"/>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7.6. </w:t>
      </w:r>
      <w:r>
        <w:rPr>
          <w:rFonts w:ascii="Times New Roman;sans-serif" w:hAnsi="Times New Roman;sans-serif"/>
          <w:b/>
          <w:color w:val="000000"/>
          <w:sz w:val="20"/>
        </w:rPr>
        <w:t>Transfer of Stock</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pStyle w:val="TextBody"/>
        <w:spacing w:before="0" w:after="0"/>
        <w:rPr/>
      </w:pPr>
      <w:r>
        <w:rPr/>
      </w:r>
    </w:p>
    <w:p>
      <w:pPr>
        <w:pStyle w:val="TextBody"/>
        <w:spacing w:lineRule="auto" w:line="268" w:before="0" w:after="0"/>
        <w:ind w:left="0" w:right="0" w:hanging="465"/>
        <w:rPr>
          <w:rFonts w:ascii="Times New Roman;sans-serif" w:hAnsi="Times New Roman;sans-serif"/>
          <w:b w:val="false"/>
          <w:color w:val="000000"/>
          <w:sz w:val="20"/>
        </w:rPr>
      </w:pPr>
      <w:r>
        <w:rPr>
          <w:rFonts w:ascii="Times New Roman;sans-serif" w:hAnsi="Times New Roman;sans-serif"/>
          <w:b w:val="false"/>
          <w:color w:val="000000"/>
          <w:sz w:val="20"/>
        </w:rPr>
        <w:t>i.in the case of certificated shares, the certificate representing such shares has been surrendered;</w:t>
      </w:r>
    </w:p>
    <w:p>
      <w:pPr>
        <w:pStyle w:val="TextBody"/>
        <w:spacing w:before="0" w:after="0"/>
        <w:rPr/>
      </w:pPr>
      <w:r>
        <w:rPr/>
      </w:r>
    </w:p>
    <w:p>
      <w:pPr>
        <w:pStyle w:val="TextBody"/>
        <w:spacing w:lineRule="auto" w:line="268" w:before="0" w:after="0"/>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ii.(A)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pStyle w:val="TextBody"/>
        <w:spacing w:before="0" w:after="0"/>
        <w:rPr/>
      </w:pPr>
      <w:r>
        <w:rPr/>
      </w:r>
    </w:p>
    <w:p>
      <w:pPr>
        <w:pStyle w:val="TextBody"/>
        <w:spacing w:lineRule="auto" w:line="268" w:before="0" w:after="0"/>
        <w:ind w:left="0" w:right="0" w:hanging="576"/>
        <w:jc w:val="both"/>
        <w:rPr>
          <w:rFonts w:ascii="Times New Roman;sans-serif" w:hAnsi="Times New Roman;sans-serif"/>
          <w:b w:val="false"/>
          <w:color w:val="000000"/>
          <w:sz w:val="20"/>
        </w:rPr>
      </w:pPr>
      <w:r>
        <w:rPr>
          <w:rFonts w:ascii="Times New Roman;sans-serif" w:hAnsi="Times New Roman;sans-serif"/>
          <w:b w:val="false"/>
          <w:color w:val="000000"/>
          <w:sz w:val="20"/>
        </w:rPr>
        <w:t>iii.the Corporation has received a guarantee of signature of the person signing such endorsement or instruction or such other reasonable assurance that the endorsement or instruction is genuine and authorized as the Corporation may request;</w:t>
      </w:r>
    </w:p>
    <w:p>
      <w:pPr>
        <w:pStyle w:val="TextBody"/>
        <w:spacing w:before="0" w:after="0"/>
        <w:rPr/>
      </w:pPr>
      <w:r>
        <w:rPr/>
      </w:r>
    </w:p>
    <w:p>
      <w:pPr>
        <w:pStyle w:val="TextBody"/>
        <w:spacing w:lineRule="auto" w:line="268" w:before="0" w:after="0"/>
        <w:ind w:left="0" w:right="0" w:hanging="565"/>
        <w:jc w:val="both"/>
        <w:rPr/>
      </w:pPr>
      <w:r>
        <w:rPr>
          <w:rFonts w:ascii="Times New Roman;sans-serif" w:hAnsi="Times New Roman;sans-serif"/>
          <w:b w:val="false"/>
          <w:color w:val="000000"/>
          <w:sz w:val="20"/>
        </w:rPr>
        <w:t xml:space="preserve">iv.the transfer does not violate any restriction on transfer imposed by the Corporation that is enforceable in accordance with </w:t>
      </w:r>
      <w:r>
        <w:rPr>
          <w:rFonts w:ascii="Times New Roman;sans-serif" w:hAnsi="Times New Roman;sans-serif"/>
          <w:b w:val="false"/>
          <w:color w:val="000000"/>
          <w:sz w:val="20"/>
          <w:u w:val="single"/>
        </w:rPr>
        <w:t>Section 7.8(a)</w:t>
      </w:r>
      <w:r>
        <w:rPr>
          <w:rFonts w:ascii="Times New Roman;sans-serif" w:hAnsi="Times New Roman;sans-serif"/>
          <w:b w:val="false"/>
          <w:color w:val="000000"/>
          <w:sz w:val="20"/>
        </w:rPr>
        <w:t>; and</w:t>
      </w:r>
    </w:p>
    <w:p>
      <w:pPr>
        <w:pStyle w:val="TextBody"/>
        <w:spacing w:before="0" w:after="0"/>
        <w:rPr/>
      </w:pPr>
      <w:r>
        <w:rPr/>
      </w:r>
    </w:p>
    <w:p>
      <w:pPr>
        <w:pStyle w:val="TextBody"/>
        <w:spacing w:lineRule="auto" w:line="268" w:before="0" w:after="0"/>
        <w:ind w:left="0" w:right="0" w:hanging="510"/>
        <w:rPr>
          <w:rFonts w:ascii="Times New Roman;sans-serif" w:hAnsi="Times New Roman;sans-serif"/>
          <w:b w:val="false"/>
          <w:color w:val="000000"/>
          <w:sz w:val="20"/>
        </w:rPr>
      </w:pPr>
      <w:r>
        <w:rPr>
          <w:rFonts w:ascii="Times New Roman;sans-serif" w:hAnsi="Times New Roman;sans-serif"/>
          <w:b w:val="false"/>
          <w:color w:val="000000"/>
          <w:sz w:val="20"/>
        </w:rPr>
        <w:t>v.such other conditions for such transfer as shall be provided for under applicable law have been satisfied.</w:t>
      </w:r>
    </w:p>
    <w:p>
      <w:pPr>
        <w:pStyle w:val="TextBody"/>
        <w:spacing w:before="0" w:after="0"/>
        <w:rPr/>
      </w:pPr>
      <w:r>
        <w:rPr/>
      </w:r>
    </w:p>
    <w:p>
      <w:pPr>
        <w:pStyle w:val="TextBody"/>
        <w:spacing w:lineRule="auto" w:line="268" w:before="0" w:after="0"/>
        <w:ind w:left="0" w:right="0" w:hanging="565"/>
        <w:rPr>
          <w:rFonts w:ascii="Times New Roman;sans-serif" w:hAnsi="Times New Roman;sans-serif"/>
          <w:b w:val="false"/>
          <w:color w:val="000000"/>
          <w:sz w:val="20"/>
        </w:rPr>
      </w:pPr>
      <w:r>
        <w:rPr>
          <w:rFonts w:ascii="Times New Roman;sans-serif" w:hAnsi="Times New Roman;sans-serif"/>
          <w:b w:val="false"/>
          <w:color w:val="000000"/>
          <w:sz w:val="20"/>
        </w:rPr>
        <w:t>vi.Whenever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pStyle w:val="TextBody"/>
        <w:spacing w:before="0" w:after="0"/>
        <w:rPr/>
      </w:pPr>
      <w:r>
        <w:rPr/>
      </w:r>
    </w:p>
    <w:p>
      <w:pPr>
        <w:pStyle w:val="TextBody"/>
        <w:spacing w:lineRule="auto" w:line="268"/>
        <w:ind w:left="0" w:right="0" w:firstLine="609"/>
        <w:jc w:val="both"/>
        <w:rPr/>
      </w:pPr>
      <w:r>
        <w:rPr>
          <w:rFonts w:ascii="Times New Roman;sans-serif" w:hAnsi="Times New Roman;sans-serif"/>
          <w:b w:val="false"/>
          <w:color w:val="000000"/>
          <w:sz w:val="20"/>
        </w:rPr>
        <w:t xml:space="preserve">Section 7.7. </w:t>
      </w:r>
      <w:r>
        <w:rPr>
          <w:rFonts w:ascii="Times New Roman;sans-serif" w:hAnsi="Times New Roman;sans-serif"/>
          <w:b/>
          <w:color w:val="000000"/>
          <w:sz w:val="20"/>
        </w:rPr>
        <w:t>Registered Stockholders</w:t>
      </w:r>
      <w:r>
        <w:rPr>
          <w:rFonts w:ascii="Times New Roman;sans-serif" w:hAnsi="Times New Roman;sans-serif"/>
          <w:b w:val="false"/>
          <w:color w:val="000000"/>
          <w:sz w:val="20"/>
        </w:rPr>
        <w:t xml:space="preserve">.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w:t>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satisfying such other conditions as are provided under applicable law, may also so inspect the books and records of the Corporation.</w: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7.8. </w:t>
      </w:r>
      <w:r>
        <w:rPr>
          <w:rFonts w:ascii="Times New Roman;sans-serif" w:hAnsi="Times New Roman;sans-serif"/>
          <w:b/>
          <w:color w:val="000000"/>
          <w:sz w:val="20"/>
        </w:rPr>
        <w:t>Effect of the Corporation's Restriction on Transfer</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prior to or within a reasonable time after the issuance or transfer of such shares.</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7.9. </w:t>
      </w:r>
      <w:r>
        <w:rPr>
          <w:rFonts w:ascii="Times New Roman;sans-serif" w:hAnsi="Times New Roman;sans-serif"/>
          <w:b/>
          <w:color w:val="000000"/>
          <w:sz w:val="20"/>
        </w:rPr>
        <w:t>Regulations</w:t>
      </w:r>
      <w:r>
        <w:rPr>
          <w:rFonts w:ascii="Times New Roman;sans-serif" w:hAnsi="Times New Roman;sans-serif"/>
          <w:b w:val="false"/>
          <w:color w:val="000000"/>
          <w:sz w:val="20"/>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pStyle w:val="TextBody"/>
        <w:spacing w:before="0" w:after="0"/>
        <w:rPr/>
      </w:pPr>
      <w:r>
        <w:rPr/>
      </w:r>
    </w:p>
    <w:p>
      <w:pPr>
        <w:pStyle w:val="TextBody"/>
        <w:spacing w:before="0" w:after="0"/>
        <w:rPr/>
      </w:pPr>
      <w:r>
        <w:rPr/>
      </w:r>
    </w:p>
    <w:p>
      <w:pPr>
        <w:pStyle w:val="TextBody"/>
        <w:spacing w:lineRule="auto" w:line="489" w:before="0" w:after="0"/>
        <w:ind w:left="0" w:right="0" w:firstLine="3843"/>
        <w:jc w:val="center"/>
        <w:rPr>
          <w:rFonts w:ascii="Times New Roman;sans-serif" w:hAnsi="Times New Roman;sans-serif"/>
          <w:b/>
          <w:color w:val="000000"/>
          <w:sz w:val="20"/>
        </w:rPr>
      </w:pPr>
      <w:r>
        <w:rPr>
          <w:rFonts w:ascii="Times New Roman;sans-serif" w:hAnsi="Times New Roman;sans-serif"/>
          <w:b/>
          <w:color w:val="000000"/>
          <w:sz w:val="20"/>
        </w:rPr>
        <w:t xml:space="preserve">ARTICLE VIII </w:t>
      </w:r>
    </w:p>
    <w:p>
      <w:pPr>
        <w:pStyle w:val="TextBody"/>
        <w:spacing w:lineRule="auto" w:line="489" w:before="0" w:after="0"/>
        <w:ind w:left="0" w:right="0" w:firstLine="3843"/>
        <w:jc w:val="center"/>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8.1. </w:t>
      </w:r>
      <w:r>
        <w:rPr>
          <w:rFonts w:ascii="Times New Roman;sans-serif" w:hAnsi="Times New Roman;sans-serif"/>
          <w:b/>
          <w:color w:val="000000"/>
          <w:sz w:val="20"/>
        </w:rPr>
        <w:t>Right to Indemnification</w:t>
      </w:r>
      <w:r>
        <w:rPr>
          <w:rFonts w:ascii="Times New Roman;sans-serif" w:hAnsi="Times New Roman;sans-serif"/>
          <w:b w:val="false"/>
          <w:color w:val="000000"/>
          <w:sz w:val="20"/>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sans-serif" w:hAnsi="Times New Roman;sans-serif"/>
          <w:b/>
          <w:color w:val="000000"/>
          <w:sz w:val="20"/>
        </w:rPr>
        <w:t>proceeding</w:t>
      </w:r>
      <w:r>
        <w:rPr>
          <w:rFonts w:ascii="Times New Roman;sans-serif" w:hAnsi="Times New Roman;sans-serif"/>
          <w:b w:val="false"/>
          <w:color w:val="000000"/>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sans-serif" w:hAnsi="Times New Roman;sans-serif"/>
          <w:b/>
          <w:color w:val="000000"/>
          <w:sz w:val="20"/>
        </w:rPr>
        <w:t>Indemnitee</w:t>
      </w:r>
      <w:r>
        <w:rPr>
          <w:rFonts w:ascii="Times New Roman;sans-serif" w:hAnsi="Times New Roman;sans-serif"/>
          <w:b w:val="false"/>
          <w:color w:val="000000"/>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except as provided in </w:t>
      </w:r>
      <w:r>
        <w:rPr>
          <w:rFonts w:ascii="Times New Roman;sans-serif" w:hAnsi="Times New Roman;sans-serif"/>
          <w:b w:val="false"/>
          <w:color w:val="000000"/>
          <w:sz w:val="20"/>
          <w:u w:val="single"/>
        </w:rPr>
        <w:t>Section 8.3</w:t>
      </w:r>
      <w:r>
        <w:rPr>
          <w:color w:val="000000"/>
        </w:rPr>
        <w:t xml:space="preserve"> </w:t>
      </w:r>
      <w:r>
        <w:rPr>
          <w:rFonts w:ascii="Times New Roman;sans-serif" w:hAnsi="Times New Roman;sans-serif"/>
          <w:b w:val="false"/>
          <w:color w:val="000000"/>
          <w:sz w:val="20"/>
        </w:rPr>
        <w:t>with respect to proceedings to enforce rights to indemnification, the Corporation shall indemnify an Indemnitee in connection with a proceeding (or part thereof) initiated by such Indemnitee only if such proceeding (or part thereof) was authorized by the Board.</w:t>
      </w:r>
    </w:p>
    <w:p>
      <w:pPr>
        <w:pStyle w:val="TextBody"/>
        <w:spacing w:before="0" w:after="0"/>
        <w:rPr/>
      </w:pPr>
      <w:r>
        <w:rPr/>
      </w:r>
    </w:p>
    <w:p>
      <w:pPr>
        <w:pStyle w:val="TextBody"/>
        <w:spacing w:lineRule="auto" w:line="268"/>
        <w:ind w:left="0" w:right="0" w:firstLine="608"/>
        <w:jc w:val="both"/>
        <w:rPr/>
      </w:pPr>
      <w:r>
        <w:rPr>
          <w:rFonts w:ascii="Times New Roman;sans-serif" w:hAnsi="Times New Roman;sans-serif"/>
          <w:b w:val="false"/>
          <w:color w:val="000000"/>
          <w:sz w:val="20"/>
        </w:rPr>
        <w:t xml:space="preserve">Section 8.2. </w:t>
      </w:r>
      <w:r>
        <w:rPr>
          <w:rFonts w:ascii="Times New Roman;sans-serif" w:hAnsi="Times New Roman;sans-serif"/>
          <w:b/>
          <w:color w:val="000000"/>
          <w:sz w:val="20"/>
        </w:rPr>
        <w:t>Right to Advancement of Expenses</w:t>
      </w:r>
      <w:r>
        <w:rPr>
          <w:rFonts w:ascii="Times New Roman;sans-serif" w:hAnsi="Times New Roman;sans-serif"/>
          <w:b w:val="false"/>
          <w:color w:val="000000"/>
          <w:sz w:val="20"/>
        </w:rPr>
        <w:t xml:space="preserve">. In addition to the right to indemnification conferred in </w:t>
      </w:r>
      <w:r>
        <w:rPr>
          <w:rFonts w:ascii="Times New Roman;sans-serif" w:hAnsi="Times New Roman;sans-serif"/>
          <w:b w:val="false"/>
          <w:color w:val="000000"/>
          <w:sz w:val="20"/>
          <w:u w:val="single"/>
        </w:rPr>
        <w:t>Section 8.1</w:t>
      </w:r>
      <w:r>
        <w:rPr>
          <w:rFonts w:ascii="Times New Roman;sans-serif" w:hAnsi="Times New Roman;sans-serif"/>
          <w:b w:val="false"/>
          <w:color w:val="000000"/>
          <w:sz w:val="20"/>
        </w:rPr>
        <w:t xml:space="preserve">,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"advancement of expenses");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sans-serif" w:hAnsi="Times New Roman;sans-serif"/>
          <w:b/>
          <w:color w:val="000000"/>
          <w:sz w:val="20"/>
        </w:rPr>
        <w:t>undertaking</w:t>
      </w:r>
      <w:r>
        <w:rPr>
          <w:rFonts w:ascii="Times New Roman;sans-serif" w:hAnsi="Times New Roman;sans-serif"/>
          <w:b w:val="false"/>
          <w:color w:val="000000"/>
          <w:sz w:val="20"/>
        </w:rPr>
        <w:t xml:space="preserve">"), by or on behalf of such Indemnitee, to repay </w:t>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0"/>
        </w:rPr>
        <w:t xml:space="preserve">all amounts so advanced if it shall ultimately be determined that such Indemnitee is not entitled to be indemnified under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or otherwise.</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8.3. </w:t>
      </w:r>
      <w:r>
        <w:rPr>
          <w:rFonts w:ascii="Times New Roman;sans-serif" w:hAnsi="Times New Roman;sans-serif"/>
          <w:b/>
          <w:color w:val="000000"/>
          <w:sz w:val="20"/>
        </w:rPr>
        <w:t>Right of Indemnitee to Bring Suit</w:t>
      </w:r>
      <w:r>
        <w:rPr>
          <w:rFonts w:ascii="Times New Roman;sans-serif" w:hAnsi="Times New Roman;sans-serif"/>
          <w:b w:val="false"/>
          <w:color w:val="000000"/>
          <w:sz w:val="20"/>
        </w:rPr>
        <w:t xml:space="preserve">. If a claim under </w:t>
      </w:r>
      <w:r>
        <w:rPr>
          <w:rFonts w:ascii="Times New Roman;sans-serif" w:hAnsi="Times New Roman;sans-serif"/>
          <w:b w:val="false"/>
          <w:color w:val="000000"/>
          <w:sz w:val="20"/>
          <w:u w:val="single"/>
        </w:rPr>
        <w:t>Section 8.1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8.2</w:t>
      </w:r>
      <w:r>
        <w:rPr>
          <w:color w:val="000000"/>
        </w:rPr>
        <w:t xml:space="preserve"> </w:t>
      </w:r>
      <w:r>
        <w:rPr>
          <w:rFonts w:ascii="Times New Roman;sans-serif" w:hAnsi="Times New Roman;sans-serif"/>
          <w:b w:val="false"/>
          <w:color w:val="000000"/>
          <w:sz w:val="20"/>
        </w:rPr>
        <w:t>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sans-serif" w:hAnsi="Times New Roman;sans-serif"/>
          <w:b/>
          <w:color w:val="000000"/>
          <w:sz w:val="20"/>
        </w:rPr>
        <w:t>final adjudication</w:t>
      </w:r>
      <w:r>
        <w:rPr>
          <w:rFonts w:ascii="Times New Roman;sans-serif" w:hAnsi="Times New Roman;sans-serif"/>
          <w:b w:val="false"/>
          <w:color w:val="000000"/>
          <w:sz w:val="20"/>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or otherwise shall be on the Corporation.</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8.4. </w:t>
      </w:r>
      <w:r>
        <w:rPr>
          <w:rFonts w:ascii="Times New Roman;sans-serif" w:hAnsi="Times New Roman;sans-serif"/>
          <w:b/>
          <w:color w:val="000000"/>
          <w:sz w:val="20"/>
        </w:rPr>
        <w:t>Non-Exclusivity of Rights</w:t>
      </w:r>
      <w:r>
        <w:rPr>
          <w:rFonts w:ascii="Times New Roman;sans-serif" w:hAnsi="Times New Roman;sans-serif"/>
          <w:b w:val="false"/>
          <w:color w:val="000000"/>
          <w:sz w:val="20"/>
        </w:rPr>
        <w:t xml:space="preserve">. The rights provided to any Indemnitee pursuant to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shall not be exclusive of any other right, which such Indemnitee may have or hereafter acquire under applicable law, the Certificate of Incorporation, these Bylaws, an agreement, a vote of stockholders or disinterested directors, or otherwise.</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8.5. </w:t>
      </w:r>
      <w:r>
        <w:rPr>
          <w:rFonts w:ascii="Times New Roman;sans-serif" w:hAnsi="Times New Roman;sans-serif"/>
          <w:b/>
          <w:color w:val="000000"/>
          <w:sz w:val="20"/>
        </w:rPr>
        <w:t>Insurance</w:t>
      </w:r>
      <w:r>
        <w:rPr>
          <w:rFonts w:ascii="Times New Roman;sans-serif" w:hAnsi="Times New Roman;sans-serif"/>
          <w:b w:val="false"/>
          <w:color w:val="000000"/>
          <w:sz w:val="20"/>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8.6. </w:t>
      </w:r>
      <w:r>
        <w:rPr>
          <w:rFonts w:ascii="Times New Roman;sans-serif" w:hAnsi="Times New Roman;sans-serif"/>
          <w:b/>
          <w:color w:val="000000"/>
          <w:sz w:val="20"/>
        </w:rPr>
        <w:t>Indemnification of Other Persons</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with respect to the indemnification and advancement of expenses of Indemnitees under this </w:t>
      </w:r>
      <w:r>
        <w:rPr>
          <w:rFonts w:ascii="Times New Roman;sans-serif" w:hAnsi="Times New Roman;sans-serif"/>
          <w:b w:val="false"/>
          <w:color w:val="000000"/>
          <w:sz w:val="20"/>
          <w:u w:val="single"/>
        </w:rPr>
        <w:t>Article VIII</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8.7. </w:t>
      </w:r>
      <w:r>
        <w:rPr>
          <w:rFonts w:ascii="Times New Roman;sans-serif" w:hAnsi="Times New Roman;sans-serif"/>
          <w:b/>
          <w:color w:val="000000"/>
          <w:sz w:val="20"/>
        </w:rPr>
        <w:t>Amendments</w:t>
      </w:r>
      <w:r>
        <w:rPr>
          <w:rFonts w:ascii="Times New Roman;sans-serif" w:hAnsi="Times New Roman;sans-serif"/>
          <w:b w:val="false"/>
          <w:color w:val="000000"/>
          <w:sz w:val="20"/>
        </w:rPr>
        <w:t xml:space="preserve">. Any repeal or amendment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by the Board or the stockholders of the Corporation or by changes in applicable law, or the adoption of any other provision of these Bylaws inconsistent with this </w:t>
      </w:r>
      <w:r>
        <w:rPr>
          <w:rFonts w:ascii="Times New Roman;sans-serif" w:hAnsi="Times New Roman;sans-serif"/>
          <w:b w:val="false"/>
          <w:color w:val="000000"/>
          <w:sz w:val="20"/>
          <w:u w:val="single"/>
        </w:rPr>
        <w:t>Article VIII</w:t>
      </w:r>
      <w:r>
        <w:rPr>
          <w:rFonts w:ascii="Times New Roman;sans-serif" w:hAnsi="Times New Roman;sans-serif"/>
          <w:b w:val="false"/>
          <w:color w:val="000000"/>
          <w:sz w:val="20"/>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w:t>
      </w:r>
      <w:r>
        <w:rPr>
          <w:rFonts w:ascii="Times New Roman;sans-serif" w:hAnsi="Times New Roman;sans-serif"/>
          <w:b w:val="false"/>
          <w:color w:val="000000"/>
          <w:sz w:val="20"/>
          <w:u w:val="single"/>
        </w:rPr>
        <w:t>provided however</w:t>
      </w:r>
      <w:r>
        <w:rPr>
          <w:rFonts w:ascii="Times New Roman;sans-serif" w:hAnsi="Times New Roman;sans-serif"/>
          <w:b w:val="false"/>
          <w:color w:val="000000"/>
          <w:sz w:val="20"/>
        </w:rPr>
        <w:t xml:space="preserve">, that amendments or repeals of this </w:t>
      </w:r>
      <w:r>
        <w:rPr>
          <w:rFonts w:ascii="Times New Roman;sans-serif" w:hAnsi="Times New Roman;sans-serif"/>
          <w:b w:val="false"/>
          <w:color w:val="000000"/>
          <w:sz w:val="20"/>
          <w:u w:val="single"/>
        </w:rPr>
        <w:t>Article</w:t>
      </w:r>
      <w:r>
        <w:rPr>
          <w:color w:val="000000"/>
        </w:rPr>
        <w:t xml:space="preserve"> </w:t>
      </w:r>
      <w:r>
        <w:rPr>
          <w:rFonts w:ascii="Times New Roman;sans-serif" w:hAnsi="Times New Roman;sans-serif"/>
          <w:b w:val="false"/>
          <w:color w:val="000000"/>
          <w:sz w:val="20"/>
          <w:u w:val="single"/>
        </w:rPr>
        <w:t>VIII</w:t>
      </w:r>
      <w:r>
        <w:rPr>
          <w:color w:val="000000"/>
        </w:rPr>
        <w:t xml:space="preserve"> </w:t>
      </w:r>
      <w:r>
        <w:rPr>
          <w:rFonts w:ascii="Times New Roman;sans-serif" w:hAnsi="Times New Roman;sans-serif"/>
          <w:b w:val="false"/>
          <w:color w:val="000000"/>
          <w:sz w:val="20"/>
        </w:rPr>
        <w:t>shall require the affirmative vote of the stockholders holding at least 66.7% of the voting power of all outstanding shares of capital stock of the Corporation.</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8.8. </w:t>
      </w:r>
      <w:r>
        <w:rPr>
          <w:rFonts w:ascii="Times New Roman;sans-serif" w:hAnsi="Times New Roman;sans-serif"/>
          <w:b/>
          <w:color w:val="000000"/>
          <w:sz w:val="20"/>
        </w:rPr>
        <w:t>Certain Definitions</w:t>
      </w:r>
      <w:r>
        <w:rPr>
          <w:rFonts w:ascii="Times New Roman;sans-serif" w:hAnsi="Times New Roman;sans-serif"/>
          <w:b w:val="false"/>
          <w:color w:val="000000"/>
          <w:sz w:val="20"/>
        </w:rPr>
        <w:t xml:space="preserve">. For purposes of this </w:t>
      </w:r>
      <w:r>
        <w:rPr>
          <w:rFonts w:ascii="Times New Roman;sans-serif" w:hAnsi="Times New Roman;sans-serif"/>
          <w:b w:val="false"/>
          <w:color w:val="000000"/>
          <w:sz w:val="20"/>
          <w:u w:val="single"/>
        </w:rPr>
        <w:t>Article VIII</w:t>
      </w:r>
      <w:r>
        <w:rPr>
          <w:rFonts w:ascii="Times New Roman;sans-serif" w:hAnsi="Times New Roman;sans-serif"/>
          <w:b w:val="false"/>
          <w:color w:val="000000"/>
          <w:sz w:val="20"/>
        </w:rPr>
        <w:t>, (a) references to "other enterprise" shall include any employee benefit 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8.9. </w:t>
      </w:r>
      <w:r>
        <w:rPr>
          <w:rFonts w:ascii="Times New Roman;sans-serif" w:hAnsi="Times New Roman;sans-serif"/>
          <w:b/>
          <w:color w:val="000000"/>
          <w:sz w:val="20"/>
        </w:rPr>
        <w:t>Contract Rights</w:t>
      </w:r>
      <w:r>
        <w:rPr>
          <w:rFonts w:ascii="Times New Roman;sans-serif" w:hAnsi="Times New Roman;sans-serif"/>
          <w:b w:val="false"/>
          <w:color w:val="000000"/>
          <w:sz w:val="20"/>
        </w:rPr>
        <w:t xml:space="preserve">. The rights provided to Indemnitees pursuant to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shall be contract rights and such rights shall continue as to an Indemnitee who has ceased to be a director, officer, agent or employee and shall inure to the benefit of the Indemnitee's heirs, executors and administrators.</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8.10. </w:t>
      </w:r>
      <w:r>
        <w:rPr>
          <w:rFonts w:ascii="Times New Roman;sans-serif" w:hAnsi="Times New Roman;sans-serif"/>
          <w:b/>
          <w:color w:val="000000"/>
          <w:sz w:val="20"/>
        </w:rPr>
        <w:t>Severability</w:t>
      </w:r>
      <w:r>
        <w:rPr>
          <w:rFonts w:ascii="Times New Roman;sans-serif" w:hAnsi="Times New Roman;sans-serif"/>
          <w:b w:val="false"/>
          <w:color w:val="000000"/>
          <w:sz w:val="20"/>
        </w:rPr>
        <w:t xml:space="preserve">. If any provision or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shall be held to be invalid, illegal or unenforceable for any reason whatsoever: (a) the validity, legality and enforceability of the remaining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shall not in any way be affected or impaired thereby; and (b) to the fullest extent possible, the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(including, without limitation, each such portion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containing any such provision held to be invalid, illegal or unenforceable) shall be construed so as to give effect to the intent manifested by the provision held invalid, illegal or unenforceable.</w:t>
      </w:r>
    </w:p>
    <w:p>
      <w:pPr>
        <w:pStyle w:val="TextBody"/>
        <w:spacing w:before="0" w:after="0"/>
        <w:rPr/>
      </w:pPr>
      <w:r>
        <w:rPr/>
      </w:r>
    </w:p>
    <w:p>
      <w:pPr>
        <w:pStyle w:val="TextBody"/>
        <w:spacing w:lineRule="auto" w:line="362" w:before="0" w:after="0"/>
        <w:ind w:left="0" w:right="0" w:firstLine="3920"/>
        <w:jc w:val="center"/>
        <w:rPr>
          <w:rFonts w:ascii="Times New Roman;sans-serif" w:hAnsi="Times New Roman;sans-serif"/>
          <w:b/>
          <w:color w:val="000000"/>
          <w:sz w:val="20"/>
        </w:rPr>
      </w:pPr>
      <w:r>
        <w:rPr>
          <w:rFonts w:ascii="Times New Roman;sans-serif" w:hAnsi="Times New Roman;sans-serif"/>
          <w:b/>
          <w:color w:val="000000"/>
          <w:sz w:val="20"/>
        </w:rPr>
        <w:t xml:space="preserve">ARTICLE IX </w:t>
      </w:r>
    </w:p>
    <w:p>
      <w:pPr>
        <w:pStyle w:val="TextBody"/>
        <w:spacing w:lineRule="auto" w:line="362" w:before="0" w:after="0"/>
        <w:ind w:left="0" w:right="0" w:firstLine="3920"/>
        <w:jc w:val="center"/>
        <w:rPr>
          <w:rFonts w:ascii="Times New Roman;sans-serif" w:hAnsi="Times New Roman;sans-serif"/>
          <w:b/>
          <w:color w:val="000000"/>
          <w:sz w:val="20"/>
        </w:rPr>
      </w:pPr>
      <w:r>
        <w:rPr>
          <w:rFonts w:ascii="Times New Roman;sans-serif" w:hAnsi="Times New Roman;sans-serif"/>
          <w:b/>
          <w:color w:val="000000"/>
          <w:sz w:val="20"/>
        </w:rPr>
        <w:t>MISCELLANEOUS</w:t>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9.1. </w:t>
      </w:r>
      <w:r>
        <w:rPr>
          <w:rFonts w:ascii="Times New Roman;sans-serif" w:hAnsi="Times New Roman;sans-serif"/>
          <w:b/>
          <w:color w:val="000000"/>
          <w:sz w:val="20"/>
        </w:rPr>
        <w:t>Place of Meetings</w:t>
      </w:r>
      <w:r>
        <w:rPr>
          <w:rFonts w:ascii="Times New Roman;sans-serif" w:hAnsi="Times New Roman;sans-serif"/>
          <w:b w:val="false"/>
          <w:color w:val="000000"/>
          <w:sz w:val="20"/>
        </w:rPr>
        <w:t xml:space="preserve">. If the place of any meeting of stockholders, the Board or committee of the Board for which notice is required under these Bylaws is not designated in the notice of such meeting, such meeting shall be held at the principal business office of the Corporation;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if the Board has, in its sole discretion, determined that a meeting shall not be held at any place, but instead shall be held by means of remote communication pursuant to </w:t>
      </w:r>
      <w:r>
        <w:rPr>
          <w:rFonts w:ascii="Times New Roman;sans-serif" w:hAnsi="Times New Roman;sans-serif"/>
          <w:b w:val="false"/>
          <w:color w:val="000000"/>
          <w:sz w:val="20"/>
          <w:u w:val="single"/>
        </w:rPr>
        <w:t>Section 9.5</w:t>
      </w:r>
      <w:r>
        <w:rPr>
          <w:color w:val="000000"/>
        </w:rPr>
        <w:t xml:space="preserve"> </w:t>
      </w:r>
      <w:r>
        <w:rPr>
          <w:rFonts w:ascii="Times New Roman;sans-serif" w:hAnsi="Times New Roman;sans-serif"/>
          <w:b w:val="false"/>
          <w:color w:val="000000"/>
          <w:sz w:val="20"/>
        </w:rPr>
        <w:t>hereof, then such meeting shall not be held at any place.</w: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9.2. </w:t>
      </w:r>
      <w:r>
        <w:rPr>
          <w:rFonts w:ascii="Times New Roman;sans-serif" w:hAnsi="Times New Roman;sans-serif"/>
          <w:b/>
          <w:color w:val="000000"/>
          <w:sz w:val="20"/>
        </w:rPr>
        <w:t>Fixing Record Dates</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 xml:space="preserve">a.In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sans-serif" w:hAnsi="Times New Roman;sans-serif"/>
          <w:b w:val="false"/>
          <w:color w:val="000000"/>
          <w:sz w:val="20"/>
          <w:u w:val="single"/>
        </w:rPr>
        <w:t>Section 9.2(a)</w:t>
      </w:r>
      <w:r>
        <w:rPr>
          <w:color w:val="000000"/>
        </w:rPr>
        <w:t xml:space="preserve"> </w:t>
      </w:r>
      <w:r>
        <w:rPr>
          <w:rFonts w:ascii="Times New Roman;sans-serif" w:hAnsi="Times New Roman;sans-serif"/>
          <w:b w:val="false"/>
          <w:color w:val="000000"/>
          <w:sz w:val="20"/>
        </w:rPr>
        <w:t>at the adjourned meeting.</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9.3. </w:t>
      </w:r>
      <w:r>
        <w:rPr>
          <w:rFonts w:ascii="Times New Roman;sans-serif" w:hAnsi="Times New Roman;sans-serif"/>
          <w:b/>
          <w:color w:val="000000"/>
          <w:sz w:val="20"/>
        </w:rPr>
        <w:t>Means of Giving Notice</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Notice to Directors</w:t>
      </w:r>
      <w:r>
        <w:rPr>
          <w:rFonts w:ascii="Times New Roman;sans-serif" w:hAnsi="Times New Roman;sans-serif"/>
          <w:b w:val="false"/>
          <w:color w:val="000000"/>
          <w:sz w:val="20"/>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(A) if given by hand delivery, orally, or by telephone, when actually received by the director, (B) if sent through the United States mail, when deposited in the United States mail, with postage and fees thereon prepaid, addressed to the director at the director's address appearing on the records of the Corporation, (C) if sent for next day delivery by a nationally recognized overnight delivery service, when deposited with such service, with fees thereon prepaid, addressed to the director at the director's address appearing on the records of the Corporation, (D) if sent by facsimile telecommunication, when sent to the facsimile transmission number for such director appearing on the records of the Corporation, (E) if sent by electronic mail, when sent to the electronic mail address for such director appearing on the records of the Corporation, or (F) if sent by any other form of electronic transmission, when sent to the address, location or number (as applicable) for such director appearing on the records of the Corporation.</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Notice to Stockholders</w:t>
      </w:r>
      <w:r>
        <w:rPr>
          <w:rFonts w:ascii="Times New Roman;sans-serif" w:hAnsi="Times New Roman;sans-serif"/>
          <w:b w:val="false"/>
          <w:color w:val="000000"/>
          <w:sz w:val="20"/>
        </w:rPr>
        <w:t xml:space="preserve">.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(A) if given by hand delivery, when actually received by the stockholder, (B) if sent through the United States mail, when deposited in the United States mail, with postage and fees thereon prepaid, addressed to the stockholder at the stockholder's address appearing on the stock ledger of the Corporation, (C) if sent for next day delivery by a nationally recognized overnight delivery service, when deposited with such service, with fees thereon prepaid, addressed to the stockholder at the stockholder's address appearing on the stock ledger of the Corporation, and (D) if given by a form of electronic transmission consented to by the stockholder to whom the notice is given and otherwise meeting the requirements set forth above, (1) if by facsimile transmission,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specified posting, upon the later of (x) such posting and (y) the giving of such separate notice, and (z)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the inadvertent failure to treat such inability as a revocation shall not invalidate any meeting or other action.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Electronic Transmission</w:t>
      </w:r>
      <w:r>
        <w:rPr>
          <w:rFonts w:ascii="Times New Roman;sans-serif" w:hAnsi="Times New Roman;sans-serif"/>
          <w:b w:val="false"/>
          <w:color w:val="000000"/>
          <w:sz w:val="20"/>
        </w:rPr>
        <w:t>. "</w:t>
      </w:r>
      <w:r>
        <w:rPr>
          <w:rFonts w:ascii="Times New Roman;sans-serif" w:hAnsi="Times New Roman;sans-serif"/>
          <w:b/>
          <w:color w:val="000000"/>
          <w:sz w:val="20"/>
        </w:rPr>
        <w:t>Electronic transmission</w:t>
      </w:r>
      <w:r>
        <w:rPr>
          <w:rFonts w:ascii="Times New Roman;sans-serif" w:hAnsi="Times New Roman;sans-serif"/>
          <w:b w:val="false"/>
          <w:color w:val="000000"/>
          <w:sz w:val="20"/>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Notice to Stockholders Sharing Same Address</w:t>
      </w:r>
      <w:r>
        <w:rPr>
          <w:rFonts w:ascii="Times New Roman;sans-serif" w:hAnsi="Times New Roman;sans-serif"/>
          <w:b w:val="false"/>
          <w:color w:val="000000"/>
          <w:sz w:val="20"/>
        </w:rPr>
        <w:t xml:space="preserve">.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w:t>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Exceptions to Notice Requirement</w:t>
      </w:r>
      <w:r>
        <w:rPr>
          <w:rFonts w:ascii="Times New Roman;sans-serif" w:hAnsi="Times New Roman;sans-serif"/>
          <w:b w:val="false"/>
          <w:color w:val="000000"/>
          <w:sz w:val="20"/>
        </w:rPr>
        <w:t>s.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 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9.4. </w:t>
      </w:r>
      <w:r>
        <w:rPr>
          <w:rFonts w:ascii="Times New Roman;sans-serif" w:hAnsi="Times New Roman;sans-serif"/>
          <w:b/>
          <w:color w:val="000000"/>
          <w:sz w:val="20"/>
        </w:rPr>
        <w:t>Waiver of Notice</w:t>
      </w:r>
      <w:r>
        <w:rPr>
          <w:rFonts w:ascii="Times New Roman;sans-serif" w:hAnsi="Times New Roman;sans-serif"/>
          <w:b w:val="false"/>
          <w:color w:val="000000"/>
          <w:sz w:val="20"/>
        </w:rPr>
        <w:t>. Whenever any notice is required to be given under applicable law, the Certificate of Incorporation, or these 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9.5. </w:t>
      </w:r>
      <w:r>
        <w:rPr>
          <w:rFonts w:ascii="Times New Roman;sans-serif" w:hAnsi="Times New Roman;sans-serif"/>
          <w:b/>
          <w:color w:val="000000"/>
          <w:sz w:val="20"/>
        </w:rPr>
        <w:t>Meeting Attendance via Remote Communication Equipment</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Stockholder Meetings</w:t>
      </w:r>
      <w:r>
        <w:rPr>
          <w:rFonts w:ascii="Times New Roman;sans-serif" w:hAnsi="Times New Roman;sans-serif"/>
          <w:b w:val="false"/>
          <w:color w:val="000000"/>
          <w:sz w:val="20"/>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pStyle w:val="TextBody"/>
        <w:spacing w:before="0" w:after="0"/>
        <w:rPr/>
      </w:pPr>
      <w:r>
        <w:rPr/>
      </w:r>
    </w:p>
    <w:p>
      <w:pPr>
        <w:pStyle w:val="TextBody"/>
        <w:spacing w:lineRule="auto" w:line="268" w:before="0" w:after="0"/>
        <w:ind w:left="0" w:right="0" w:hanging="465"/>
        <w:rPr>
          <w:rFonts w:ascii="Times New Roman;sans-serif" w:hAnsi="Times New Roman;sans-serif"/>
          <w:b w:val="false"/>
          <w:color w:val="000000"/>
          <w:sz w:val="20"/>
        </w:rPr>
      </w:pPr>
      <w:r>
        <w:rPr>
          <w:rFonts w:ascii="Times New Roman;sans-serif" w:hAnsi="Times New Roman;sans-serif"/>
          <w:b w:val="false"/>
          <w:color w:val="000000"/>
          <w:sz w:val="20"/>
        </w:rPr>
        <w:t>i.participate in a meeting of stockholders; and</w:t>
      </w:r>
    </w:p>
    <w:p>
      <w:pPr>
        <w:pStyle w:val="TextBody"/>
        <w:spacing w:before="0" w:after="0"/>
        <w:rPr/>
      </w:pPr>
      <w:r>
        <w:rPr/>
      </w:r>
    </w:p>
    <w:p>
      <w:pPr>
        <w:pStyle w:val="TextBody"/>
        <w:spacing w:lineRule="auto" w:line="268"/>
        <w:ind w:left="0" w:right="0" w:hanging="521"/>
        <w:jc w:val="both"/>
        <w:rPr/>
      </w:pPr>
      <w:r>
        <w:rPr>
          <w:rFonts w:ascii="Times New Roman;sans-serif" w:hAnsi="Times New Roman;sans-serif"/>
          <w:b w:val="false"/>
          <w:color w:val="000000"/>
          <w:sz w:val="20"/>
        </w:rPr>
        <w:t xml:space="preserve">ii.be deemed present in person and vote at a meeting of stockholders, whether such meeting is to be held at a designated place or solely by means of remote communication,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 xml:space="preserve">(A) the Corporation shall implement reasonable measures to verify that each person deemed present and permitted to vote at the meeting by means of remote communication is a stockholder or proxy holder, (B) the Corporation shall implement reasonable </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Board Meetings</w:t>
      </w:r>
      <w:r>
        <w:rPr>
          <w:rFonts w:ascii="Times New Roman;sans-serif" w:hAnsi="Times New Roman;sans-serif"/>
          <w:b w:val="false"/>
          <w:color w:val="000000"/>
          <w:sz w:val="20"/>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9.6. </w:t>
      </w:r>
      <w:r>
        <w:rPr>
          <w:rFonts w:ascii="Times New Roman;sans-serif" w:hAnsi="Times New Roman;sans-serif"/>
          <w:b/>
          <w:color w:val="000000"/>
          <w:sz w:val="20"/>
        </w:rPr>
        <w:t>Dividends</w:t>
      </w:r>
      <w:r>
        <w:rPr>
          <w:rFonts w:ascii="Times New Roman;sans-serif" w:hAnsi="Times New Roman;sans-serif"/>
          <w:b w:val="false"/>
          <w:color w:val="000000"/>
          <w:sz w:val="20"/>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9.7. </w:t>
      </w:r>
      <w:r>
        <w:rPr>
          <w:rFonts w:ascii="Times New Roman;sans-serif" w:hAnsi="Times New Roman;sans-serif"/>
          <w:b/>
          <w:color w:val="000000"/>
          <w:sz w:val="20"/>
        </w:rPr>
        <w:t>Reserves</w:t>
      </w:r>
      <w:r>
        <w:rPr>
          <w:rFonts w:ascii="Times New Roman;sans-serif" w:hAnsi="Times New Roman;sans-serif"/>
          <w:b w:val="false"/>
          <w:color w:val="000000"/>
          <w:sz w:val="20"/>
        </w:rPr>
        <w:t>. The Board may set apart out of the funds of the Corporation available for dividends a reserve or reserves for any proper purpose and may abolish any such reserve.</w:t>
      </w:r>
    </w:p>
    <w:p>
      <w:pPr>
        <w:pStyle w:val="TextBody"/>
        <w:spacing w:before="0" w:after="0"/>
        <w:rPr/>
      </w:pPr>
      <w:r>
        <w:rPr/>
      </w:r>
    </w:p>
    <w:p>
      <w:pPr>
        <w:pStyle w:val="TextBody"/>
        <w:spacing w:lineRule="auto" w:line="268" w:before="0" w:after="0"/>
        <w:ind w:left="0" w:right="0" w:firstLine="609"/>
        <w:jc w:val="both"/>
        <w:rPr/>
      </w:pPr>
      <w:r>
        <w:rPr>
          <w:rFonts w:ascii="Times New Roman;sans-serif" w:hAnsi="Times New Roman;sans-serif"/>
          <w:b w:val="false"/>
          <w:color w:val="000000"/>
          <w:sz w:val="20"/>
        </w:rPr>
        <w:t xml:space="preserve">Section 9.8. </w:t>
      </w:r>
      <w:r>
        <w:rPr>
          <w:rFonts w:ascii="Times New Roman;sans-serif" w:hAnsi="Times New Roman;sans-serif"/>
          <w:b/>
          <w:color w:val="000000"/>
          <w:sz w:val="20"/>
        </w:rPr>
        <w:t>Contracts and Negotiable Instruments</w:t>
      </w:r>
      <w:r>
        <w:rPr>
          <w:rFonts w:ascii="Times New Roman;sans-serif" w:hAnsi="Times New Roman;sans-serif"/>
          <w:b w:val="false"/>
          <w:color w:val="000000"/>
          <w:sz w:val="20"/>
        </w:rPr>
        <w:t>.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w:t>
      </w:r>
    </w:p>
    <w:p>
      <w:pPr>
        <w:pStyle w:val="TextBody"/>
        <w:spacing w:before="0" w:after="0"/>
        <w:rPr/>
      </w:pPr>
      <w:r>
        <w:rPr/>
      </w:r>
    </w:p>
    <w:p>
      <w:pPr>
        <w:pStyle w:val="TextBody"/>
        <w:spacing w:lineRule="auto" w:line="268" w:before="0" w:after="0"/>
        <w:ind w:left="0" w:right="0" w:firstLine="120"/>
        <w:rPr>
          <w:rFonts w:ascii="Times New Roman;sans-serif" w:hAnsi="Times New Roman;sans-serif"/>
          <w:b w:val="false"/>
          <w:color w:val="000000"/>
          <w:sz w:val="20"/>
        </w:rPr>
      </w:pPr>
      <w:r>
        <w:rPr>
          <w:rFonts w:ascii="Times New Roman;sans-serif" w:hAnsi="Times New Roman;sans-serif"/>
          <w:b w:val="false"/>
          <w:color w:val="000000"/>
          <w:sz w:val="20"/>
        </w:rPr>
        <w:t>such delegation of power shall not relieve such officer of responsibility with respect to the exercise of such delegated power.</w:t>
      </w:r>
    </w:p>
    <w:p>
      <w:pPr>
        <w:pStyle w:val="TextBody"/>
        <w:spacing w:before="0" w:after="0"/>
        <w:rPr/>
      </w:pPr>
      <w:r>
        <w:rPr/>
      </w:r>
    </w:p>
    <w:p>
      <w:pPr>
        <w:pStyle w:val="TextBody"/>
        <w:spacing w:lineRule="auto" w:line="268" w:before="0" w:after="0"/>
        <w:ind w:left="0" w:right="0" w:firstLine="609"/>
        <w:rPr/>
      </w:pPr>
      <w:r>
        <w:rPr>
          <w:rFonts w:ascii="Times New Roman;sans-serif" w:hAnsi="Times New Roman;sans-serif"/>
          <w:b w:val="false"/>
          <w:color w:val="000000"/>
          <w:sz w:val="20"/>
        </w:rPr>
        <w:t xml:space="preserve">Section 9.9. </w:t>
      </w:r>
      <w:r>
        <w:rPr>
          <w:rFonts w:ascii="Times New Roman;sans-serif" w:hAnsi="Times New Roman;sans-serif"/>
          <w:b/>
          <w:color w:val="000000"/>
          <w:sz w:val="20"/>
        </w:rPr>
        <w:t>Fiscal Year</w:t>
      </w:r>
      <w:r>
        <w:rPr>
          <w:rFonts w:ascii="Times New Roman;sans-serif" w:hAnsi="Times New Roman;sans-serif"/>
          <w:b w:val="false"/>
          <w:color w:val="000000"/>
          <w:sz w:val="20"/>
        </w:rPr>
        <w:t>. The fiscal year of the Corporation shall be fixed by the Board.</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9.10. </w:t>
      </w:r>
      <w:r>
        <w:rPr>
          <w:rFonts w:ascii="Times New Roman;sans-serif" w:hAnsi="Times New Roman;sans-serif"/>
          <w:b/>
          <w:color w:val="000000"/>
          <w:sz w:val="20"/>
        </w:rPr>
        <w:t>Seal</w:t>
      </w:r>
      <w:r>
        <w:rPr>
          <w:rFonts w:ascii="Times New Roman;sans-serif" w:hAnsi="Times New Roman;sans-serif"/>
          <w:b w:val="false"/>
          <w:color w:val="000000"/>
          <w:sz w:val="20"/>
        </w:rPr>
        <w:t>. The Board may adopt a corporate seal, which shall be in such form as the Board determines. The seal may be used by causing it or a facsimile thereof to be impressed, affixed or otherwise reproduced.</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9.11. </w:t>
      </w:r>
      <w:r>
        <w:rPr>
          <w:rFonts w:ascii="Times New Roman;sans-serif" w:hAnsi="Times New Roman;sans-serif"/>
          <w:b/>
          <w:color w:val="000000"/>
          <w:sz w:val="20"/>
        </w:rPr>
        <w:t>Books and Records</w:t>
      </w:r>
      <w:r>
        <w:rPr>
          <w:rFonts w:ascii="Times New Roman;sans-serif" w:hAnsi="Times New Roman;sans-serif"/>
          <w:b w:val="false"/>
          <w:color w:val="000000"/>
          <w:sz w:val="20"/>
        </w:rPr>
        <w:t>. The books and records of the Corporation may be kept within or outside the State of Delaware at such place or places as may from time to time be designated by the Board.</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9.12. </w:t>
      </w:r>
      <w:r>
        <w:rPr>
          <w:rFonts w:ascii="Times New Roman;sans-serif" w:hAnsi="Times New Roman;sans-serif"/>
          <w:b/>
          <w:color w:val="000000"/>
          <w:sz w:val="20"/>
        </w:rPr>
        <w:t>Resignation</w:t>
      </w:r>
      <w:r>
        <w:rPr>
          <w:rFonts w:ascii="Times New Roman;sans-serif" w:hAnsi="Times New Roman;sans-serif"/>
          <w:b w:val="false"/>
          <w:color w:val="000000"/>
          <w:sz w:val="20"/>
        </w:rPr>
        <w:t>. Any director, committee member or officer may resign by giving notice thereof in writing or by electronic 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pStyle w:val="TextBody"/>
        <w:spacing w:before="0" w:after="0"/>
        <w:rPr/>
      </w:pPr>
      <w:r>
        <w:rPr/>
      </w:r>
    </w:p>
    <w:p>
      <w:pPr>
        <w:pStyle w:val="TextBody"/>
        <w:spacing w:lineRule="auto" w:line="268"/>
        <w:ind w:left="0" w:right="0" w:firstLine="608"/>
        <w:jc w:val="both"/>
        <w:rPr/>
      </w:pPr>
      <w:r>
        <w:rPr>
          <w:rFonts w:ascii="Times New Roman;sans-serif" w:hAnsi="Times New Roman;sans-serif"/>
          <w:b w:val="false"/>
          <w:color w:val="000000"/>
          <w:sz w:val="20"/>
        </w:rPr>
        <w:t xml:space="preserve">Section 9.13. </w:t>
      </w:r>
      <w:r>
        <w:rPr>
          <w:rFonts w:ascii="Times New Roman;sans-serif" w:hAnsi="Times New Roman;sans-serif"/>
          <w:b/>
          <w:color w:val="000000"/>
          <w:sz w:val="20"/>
        </w:rPr>
        <w:t>Surety Bonds</w:t>
      </w:r>
      <w:r>
        <w:rPr>
          <w:rFonts w:ascii="Times New Roman;sans-serif" w:hAnsi="Times New Roman;sans-serif"/>
          <w:b w:val="false"/>
          <w:color w:val="000000"/>
          <w:sz w:val="20"/>
        </w:rPr>
        <w:t xml:space="preserve">. Such officers, employees and agents of the Corporation (if any) as the Chairman of the Board, Chief Executive 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w:t>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by such surety companies as the Chairman of the Board, Chief Executive Officer, President or the Board may determine. The premiums on such bonds shall be paid by the Corporation and the bonds so furnished shall be in the custody of the Secretary.</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9.14. </w:t>
      </w:r>
      <w:r>
        <w:rPr>
          <w:rFonts w:ascii="Times New Roman;sans-serif" w:hAnsi="Times New Roman;sans-serif"/>
          <w:b/>
          <w:color w:val="000000"/>
          <w:sz w:val="20"/>
        </w:rPr>
        <w:t>Securities of Other Corporations</w:t>
      </w:r>
      <w:r>
        <w:rPr>
          <w:rFonts w:ascii="Times New Roman;sans-serif" w:hAnsi="Times New Roman;sans-serif"/>
          <w:b w:val="false"/>
          <w:color w:val="000000"/>
          <w:sz w:val="20"/>
        </w:rPr>
        <w:t>. Powers of attorney, proxies, waivers of notice of meeting, consents in writing and other instruments relating to securities owned by the Corporation may be executed in the name of and on behalf of the Corporation by the Chairman of the Board, Chief Executive Officer, President, or any other officer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pStyle w:val="TextBody"/>
        <w:spacing w:before="0" w:after="0"/>
        <w:rPr/>
      </w:pPr>
      <w:r>
        <w:rPr/>
      </w:r>
    </w:p>
    <w:p>
      <w:pPr>
        <w:pStyle w:val="TextBody"/>
        <w:spacing w:lineRule="auto" w:line="268" w:before="0" w:after="0"/>
        <w:ind w:left="0" w:right="0" w:firstLine="608"/>
        <w:jc w:val="both"/>
        <w:rPr/>
      </w:pPr>
      <w:r>
        <w:rPr>
          <w:rFonts w:ascii="Times New Roman;sans-serif" w:hAnsi="Times New Roman;sans-serif"/>
          <w:b w:val="false"/>
          <w:color w:val="000000"/>
          <w:sz w:val="20"/>
        </w:rPr>
        <w:t xml:space="preserve">Section 9.15. </w:t>
      </w:r>
      <w:r>
        <w:rPr>
          <w:rFonts w:ascii="Times New Roman;sans-serif" w:hAnsi="Times New Roman;sans-serif"/>
          <w:b/>
          <w:color w:val="000000"/>
          <w:sz w:val="20"/>
        </w:rPr>
        <w:t>Amendments</w:t>
      </w:r>
      <w:r>
        <w:rPr>
          <w:rFonts w:ascii="Times New Roman;sans-serif" w:hAnsi="Times New Roman;sans-serif"/>
          <w:b w:val="false"/>
          <w:color w:val="000000"/>
          <w:sz w:val="20"/>
        </w:rPr>
        <w:t xml:space="preserve">. The Board shall have the power to adopt, amend, alter or repeal the Bylaws. The affirmative vote of a majority of the Board shall be required to adopt, amend, alter or repeal the Bylaws. The Bylaws also may be adopted, amended, altered or repealed by the stockholders;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in addition to any vote of the holders of any class or series of capital stock of the Corporation required by applicable law or the Certificate of Incorporation, the affirmative vote of the holders of at least a majority of the voting (except as otherwise provided in </w:t>
      </w:r>
      <w:r>
        <w:rPr>
          <w:rFonts w:ascii="Times New Roman;sans-serif" w:hAnsi="Times New Roman;sans-serif"/>
          <w:b w:val="false"/>
          <w:color w:val="000000"/>
          <w:sz w:val="20"/>
          <w:u w:val="single"/>
        </w:rPr>
        <w:t>Section 8.7</w:t>
      </w:r>
      <w:r>
        <w:rPr>
          <w:rFonts w:ascii="Times New Roman;sans-serif" w:hAnsi="Times New Roman;sans-serif"/>
          <w:b w:val="false"/>
          <w:color w:val="000000"/>
          <w:sz w:val="20"/>
        </w:rPr>
        <w:t>) power of all outstanding shares of capital stock of the Corporation entitled to vote generally in the election of directors, voting together as a single class, shall be required for the stockholders to adopt, amend, alter or repeal the Bylaws.</w:t>
      </w:r>
    </w:p>
    <w:p>
      <w:pPr>
        <w:pStyle w:val="TextBody"/>
        <w:spacing w:before="0" w:after="0"/>
        <w:rPr/>
      </w:pPr>
      <w:r>
        <w:rPr/>
      </w:r>
    </w:p>
    <w:p>
      <w:pPr>
        <w:pStyle w:val="TextBody"/>
        <w:spacing w:lineRule="auto" w:line="268"/>
        <w:ind w:left="0" w:right="0" w:firstLine="608"/>
        <w:jc w:val="both"/>
        <w:rPr/>
      </w:pPr>
      <w:r>
        <w:rPr>
          <w:rFonts w:ascii="Times New Roman;sans-serif" w:hAnsi="Times New Roman;sans-serif"/>
          <w:b w:val="false"/>
          <w:color w:val="000000"/>
          <w:sz w:val="20"/>
        </w:rPr>
        <w:t xml:space="preserve">Section 9.16. </w:t>
      </w:r>
      <w:r>
        <w:rPr>
          <w:rFonts w:ascii="Times New Roman;sans-serif" w:hAnsi="Times New Roman;sans-serif"/>
          <w:b/>
          <w:color w:val="000000"/>
          <w:sz w:val="20"/>
        </w:rPr>
        <w:t>Exclusive Forum; Exclusive Jurisdiction</w:t>
      </w:r>
      <w:r>
        <w:rPr>
          <w:rFonts w:ascii="Times New Roman;sans-serif" w:hAnsi="Times New Roman;sans-serif"/>
          <w:b w:val="false"/>
          <w:color w:val="000000"/>
          <w:sz w:val="20"/>
        </w:rPr>
        <w:t xml:space="preserve">. Unless the Corporation consents in writing to the selection of an alternative forum, the Court of Chancery in the State of Delaware shall be the sole and exclusive forum for any stockholder (including a beneficial owner) to bring: (a) any derivative action or proceeding brought on behalf of the Corporation; (b) any action asserting a claim of breach of fiduciary duty owed by any director, officer or other employee of the Corporation to the Corporation or the Corporation's stockholders; (c) any action asserting a claim against the Corporation, its directors, officers or employees arising pursuant to any provision of the DGCL or the Corporation's certificate of incorporation or bylaws; or (d) any action asserting a claim against the Corporation, its directors, officers or employees governed by the internal affairs doctrine, except for, as to each of (a) through (d)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Unless the Corporation consents in writing to the selection of an alternative forum, to the fullest extent permitted by law, the federal district courts of the United States will be the exclusive forum for resolving any complaint asserting a cause of action arising under the federal securities laws of the United States against the Corporation, its officers, directors, employees and/or underwriters. To the fullest extent permitted by law, any person or entity purchasing or otherwise acquiring or holding any interest in shares of capital stock of the Corporation shall be deemed to have notice of and consented to the provisions of this </w:t>
      </w:r>
      <w:r>
        <w:rPr>
          <w:rFonts w:ascii="Times New Roman;sans-serif" w:hAnsi="Times New Roman;sans-serif"/>
          <w:b w:val="false"/>
          <w:color w:val="000000"/>
          <w:sz w:val="20"/>
          <w:u w:val="single"/>
        </w:rPr>
        <w:t>Section 9.16</w:t>
      </w:r>
      <w:r>
        <w:rPr>
          <w:rFonts w:ascii="Times New Roman;sans-serif" w:hAnsi="Times New Roman;sans-serif"/>
          <w:b w:val="false"/>
          <w:color w:val="000000"/>
          <w:sz w:val="20"/>
        </w:rPr>
        <w:t xml:space="preserve">. If any provision or provisions of this </w:t>
      </w:r>
      <w:r>
        <w:rPr>
          <w:rFonts w:ascii="Times New Roman;sans-serif" w:hAnsi="Times New Roman;sans-serif"/>
          <w:b w:val="false"/>
          <w:color w:val="000000"/>
          <w:sz w:val="20"/>
          <w:u w:val="single"/>
        </w:rPr>
        <w:t>Section 9.16</w:t>
      </w:r>
      <w:r>
        <w:rPr>
          <w:color w:val="000000"/>
        </w:rPr>
        <w:t xml:space="preserve"> </w:t>
      </w:r>
      <w:r>
        <w:rPr>
          <w:rFonts w:ascii="Times New Roman;sans-serif" w:hAnsi="Times New Roman;sans-serif"/>
          <w:b w:val="false"/>
          <w:color w:val="000000"/>
          <w:sz w:val="20"/>
        </w:rPr>
        <w:t xml:space="preserve">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sans-serif" w:hAnsi="Times New Roman;sans-serif"/>
          <w:b w:val="false"/>
          <w:color w:val="000000"/>
          <w:sz w:val="20"/>
          <w:u w:val="single"/>
        </w:rPr>
        <w:t>Section 9.16</w:t>
      </w:r>
      <w:r>
        <w:rPr>
          <w:color w:val="000000"/>
        </w:rPr>
        <w:t xml:space="preserve"> </w:t>
      </w:r>
      <w:r>
        <w:rPr>
          <w:rFonts w:ascii="Times New Roman;sans-serif" w:hAnsi="Times New Roman;sans-serif"/>
          <w:b w:val="false"/>
          <w:color w:val="000000"/>
          <w:sz w:val="20"/>
        </w:rPr>
        <w:t xml:space="preserve">(including, without limitation, each portion of any sentence of this </w:t>
      </w:r>
      <w:r>
        <w:rPr>
          <w:rFonts w:ascii="Times New Roman;sans-serif" w:hAnsi="Times New Roman;sans-serif"/>
          <w:b w:val="false"/>
          <w:color w:val="000000"/>
          <w:sz w:val="20"/>
          <w:u w:val="single"/>
        </w:rPr>
        <w:t>Section 9.16</w:t>
      </w:r>
      <w:r>
        <w:rPr>
          <w:color w:val="000000"/>
        </w:rPr>
        <w:t xml:space="preserve"> </w:t>
      </w:r>
      <w:r>
        <w:rPr>
          <w:rFonts w:ascii="Times New Roman;sans-serif" w:hAnsi="Times New Roman;sans-serif"/>
          <w:b w:val="false"/>
          <w:color w:val="000000"/>
          <w:sz w:val="20"/>
        </w:rPr>
        <w:t>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EXHIBIT 4.4</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SECURITIES</w:t>
      </w:r>
    </w:p>
    <w:p>
      <w:pPr>
        <w:pStyle w:val="TextBody"/>
        <w:spacing w:before="0" w:after="0"/>
        <w:jc w:val="both"/>
        <w:rPr/>
      </w:pPr>
      <w:r>
        <w:rPr/>
      </w:r>
    </w:p>
    <w:p>
      <w:pPr>
        <w:pStyle w:val="TextBody"/>
        <w:spacing w:lineRule="auto" w:line="268" w:before="0" w:after="0"/>
        <w:ind w:left="0" w:right="0" w:firstLine="400"/>
        <w:jc w:val="both"/>
        <w:rPr/>
      </w:pPr>
      <w:r>
        <w:rPr>
          <w:rFonts w:ascii="Times New Roman;sans-serif" w:hAnsi="Times New Roman;sans-serif"/>
          <w:b w:val="false"/>
          <w:i/>
          <w:color w:val="000000"/>
          <w:sz w:val="20"/>
        </w:rPr>
        <w:t>The following summary of the material terms of our securities is not intended to be a complete summary of the rights and preferences of such securities, and is qualified by reference to our charter, our bylaws and the warrant-related documents described herein, which are exhibits to the Annual Report on Form 10-K of which this exhibit is a part. We urge to you read each of the charter and the bylaws (each as defined below), as well as the warrant-related documents, described herein in their entirety for a complete description of the rights and preferences of our securities.</w:t>
      </w:r>
      <w:r>
        <w:rPr>
          <w:color w:val="000000"/>
        </w:rPr>
        <w:t xml:space="preserve"> </w:t>
      </w:r>
      <w:r>
        <w:rPr>
          <w:rFonts w:ascii="Times New Roman;sans-serif" w:hAnsi="Times New Roman;sans-serif"/>
          <w:b w:val="false"/>
          <w:i/>
          <w:color w:val="000000"/>
          <w:sz w:val="20"/>
        </w:rPr>
        <w:t>Unless the context indicates otherwise, references in this exhibit to the “Company,” “SpringBig,” “we,” “us,” “our” and similar terms refer to SpringBig Holdings, Inc., a Delaware corporation, and its consolidated subsidiaries.</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corporation organized under the law of Delaware. On June 13, 2022, in anticipation of the consummation of the merger of Merger Sub within and into Legacy SpringBig (each as defined below) and the business combination of Tuatara (as defined below) and Legacy SpringBig, Tuatara changed its jurisdiction of incorporation by deregistering as a Cayman Islands exempted company and continuing and domesticating as a corporation incorporated under the laws of the State of Delaware (the “Domestication”). Subsequently, in connection with the Domestication, Tuatara changed its name to “SpringBig Holdings, Inc.” and adopted the Certificate of Incorporation (the “charter”) and Bylaws (the “bylaws”) under Delaware law. </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public takeover offers by third parties for our shares nor any public takeover offers by us for the shares of another company that have occurred during the last or current financial years. </w:t>
      </w:r>
    </w:p>
    <w:p>
      <w:pPr>
        <w:pStyle w:val="TextBody"/>
        <w:spacing w:before="0" w:after="0"/>
        <w:ind w:left="0" w:right="0" w:firstLine="400"/>
        <w:jc w:val="both"/>
        <w:rPr/>
      </w:pPr>
      <w:r>
        <w:rPr/>
      </w:r>
    </w:p>
    <w:p>
      <w:pPr>
        <w:pStyle w:val="TextBody"/>
        <w:spacing w:lineRule="auto" w:line="268" w:before="0" w:after="0"/>
        <w:ind w:left="0" w:right="0" w:firstLine="400"/>
        <w:jc w:val="both"/>
        <w:rPr>
          <w:color w:val="000000"/>
        </w:rPr>
      </w:pPr>
      <w:r>
        <w:rPr>
          <w:color w:val="000000"/>
        </w:rPr>
        <w:t>“</w:t>
      </w:r>
      <w:r>
        <w:rPr>
          <w:rFonts w:ascii="Times New Roman;sans-serif" w:hAnsi="Times New Roman;sans-serif"/>
          <w:b w:val="false"/>
          <w:color w:val="000000"/>
          <w:sz w:val="20"/>
        </w:rPr>
        <w:t xml:space="preserve">Legacy SpringBig” means SpringBig, Inc., a Delaware corporation, prior to the business combination, and a wholly-owned subsidiary of SpringBig following the business combination. “Tuatara” means Tuatara Capital Acquisition Corporation, an exempted company incorporated under the laws of the Cayman Islands, the predecessor entity to SpringBig. “Merger Sub” means HighJump Merger Sub, Inc., a Delaware corporation and a wholly owned direct subsidiary of Tuatara. </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Share Capital</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charter of SpringBig authorizes the issuance of an aggregate of 350,000,000 shares of capital stock, consisting of 300,000,000 shares of common stock, $0.0001 par value per share (“Common Shares” or “common stock”), and 50,000,000 shares of preferred stock, $0.0001 par value per share. Unless our Board of Directors determines otherwise, SpringBig will issue all shares of capital stock in uncertificated form.</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28, 2023, we had 26,940,841 Common Shares issued and outstanding. All of our issued Common Shares are duly authorized, validly issued, fully paid and non-assessable.</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Common Shares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Voting Rights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the shares of common stock is entitled to one vote for each share of common stock held of record by such holder on all matters on which shareholders generally are entitled to vote. The holders of the shares of common stock do not have cumulative voting rights in the election of directors. Generally, all matters to be voted on by shareholders must be approved by a majority (or, in the case of election of directors, by a plurality) of the votes entitled to be cast by all shareholders present in person or represented by proxy, voting together as a single class.</w:t>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Election of Directors</w:t>
      </w:r>
    </w:p>
    <w:p>
      <w:pPr>
        <w:pStyle w:val="TextBody"/>
        <w:spacing w:before="0" w:after="0"/>
        <w:jc w:val="both"/>
        <w:rPr/>
      </w:pPr>
      <w:r>
        <w:rPr/>
      </w:r>
    </w:p>
    <w:p>
      <w:pPr>
        <w:pStyle w:val="TextBody"/>
        <w:spacing w:lineRule="auto" w:line="268"/>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charter provides for a classified board of directors that is divided into three classes with staggered three-year terms. The election of directors shall be determined by a plurality of the votes cast by the stockholders present in person or represented by proxy at the meeting and entitled to vote thereon. The charter does not provide for cumulative voting for the election of directors.</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Rights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outstanding preferred stock, the holders of shares of common stock are entitled to receive ratably such dividends, if any, as may be declared from time to time by the Board of Directors of SpringBig out of funds legally available therefor.</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Rights upon Liquidation, Dissolution and Winding-Up</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SpringBig’s affairs, the holders of the shares of common stock are entitled to share ratably in all assets remaining after payment of SpringBig’s debts and other liabilities, subject to prior distribution rights of preferred stock or any class or series of stock having a preference over the shares of common stock, then outstanding, if any.</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Preemptive or Other Rights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have no preemptive or conversion rights or other subscription rights. There are no redemption or sinking fund provisions applicable to the shares of common stock. The rights, preferences and privileges of holders of shares of common stock will be subject to those of the holders of any shares of the preferred stock SpringBig may issue in the future.</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before="0" w:after="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No shares of preferred stock are currently issued or outstanding. Our charter authorizes the Board of Directors of SpringBig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the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issuance of preferred stock may have the effect of delaying, deferring or preventing a change in control of SpringBig without further action by the shareholders. Additionally, the issuance of preferred stock may adversely affect the holders of the common stock of SpringBig by restricting dividends on the shares of common stock, diluting the voting power of the shares of common stock or subordinating the liquidation rights of the shares of common stock. As a result of these or other factors, the issuance of preferred stock could have an adverse impact on the market price of the shares of common stock. At present, we have no plans to issue any preferred stock.</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Shareholders’ Warrants</w:t>
      </w:r>
    </w:p>
    <w:p>
      <w:pPr>
        <w:pStyle w:val="TextBody"/>
        <w:spacing w:before="0" w:after="0"/>
        <w:jc w:val="both"/>
        <w:rPr/>
      </w:pPr>
      <w:r>
        <w:rPr/>
      </w:r>
    </w:p>
    <w:p>
      <w:pPr>
        <w:pStyle w:val="TextBody"/>
        <w:spacing w:lineRule="auto" w:line="268"/>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whole public warrant originally issued in the initial public offering of Tuatara (the “public warrants”) entitles the registered holder to purchase one share of common stock at a price of $11.50 per share, subject to adjustment as discussed below, at any time commencing thirty (30) days after June 14, 2022 (the “Closing Date”), provided that we have an effective registration statement under the Securities Act of 1933, as amended (the “Securities Act”), covering the issuance of the shares of common stock issuable upon exercise of the public warrants and a current prospectus relating to them is available and such shares are registered, qualified or exempt from registration under the securities, or blue sky laws of the state of residence of the holder (or we permit holders to exercise their public warrants on a cashless basis under the circumstances specified in the Warrant Agreement, dated February 11, 2021, between the Company and Continental Stock Transfer &amp; Trust Company, as warrant agent (the “warrant agent”)). A warrant holder may exercise its public warrants only for a whole number of shares of common </w:t>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This means only a whole public warrant may be exercised at a given time by a public warrant holder. The public warrants will expire five years after the Closing Date, at 5:00 p.m., New York City time, or earlier upon redemption or liquidation.</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SpringBig will not be obligated to deliver any shares of common stock pursuant to the exercise of a public warrant and will have no obligation to settle such public warrant exercise unless a registration statement under the Securities Act covering the issuance of the shares of common stock issuable upon exercise is then effective and a prospectus relating thereto is current, subject to SpringBig satisfying its obligations described below with respect to registration, or a valid exemption from registration is available, including in connection with a cashless exercise permitted as a result of a notice of redemption. No public warrant will be exercisable for cash or on a cashless basis, and SpringBig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common stock underlying such unit.</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filed with the U.S. Securities and Exchange Commission (the “SEC”) and have an effective registration statement covering the issuance, under the Securities Act, of the shares of common stock issuable upon exercise of the public warrants, until the expiration of the public warrants. Notwithstanding the above, if the shares of common stock are, at the time of any exercise of a public warrant, not listed on a national securities exchange such that it satisfies the definition of a “covered security” under Section 18(b)(1) of the Securities Act, SpringBig may, at our option, require holders of public warrants who exercise their public warrants to do so on a “cashless basis” in accordance with Section 3(a)(9) of the Securities Act and, in the event SpringBig so elects, SpringBig will not be required to file or maintain in effect a registration statement, but will use our reasonable best efforts to qualify the shares under applicable blue sky laws to the extent an exemption is not available. In such event, each holder would pay the exercise price by surrendering each such warrant for that number of Common Shares equal to the lesser of (A) the quotient obtained by dividing (x) the product of the number of Common Shares underlying the warrants, multiplied by the excess of the “fair market value” less the exercise price of the warrants by (y) the fair market value and (B) 0.361 Class A shares per warrant. The “fair market value” as used in the preceding sentence shall mean the volume weighted average price of the Common Shares for the ten (10) trading days ending on the trading day prior to the date on which the notice of exercise is received by the warrant agent.</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may redeem the public warrants for redemption:</w:t>
      </w:r>
    </w:p>
    <w:p>
      <w:pPr>
        <w:pStyle w:val="TextBody"/>
        <w:spacing w:before="0" w:after="0"/>
        <w:ind w:left="0" w:right="0" w:firstLine="40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at a price of $0.01 per public warrant;</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upon not less than thirty (30) days’ prior written notice of redemption to each public warrant holder; and</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if, and only if, the reported last sales price of the shares of common stock equals or exceeds $18.00 per share (as adjusted for share splits, share dividends, rights issuances, subdivisions, reorganizations, recapitalizations and the like) for any 20 trading days within a 30-trading day period ending on the third trading day prior to the date SpringBig sends the notice of redemption to the public warrant holders (the “Reference Value”).</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redeem the warrants unless a registration statement under the Securities Act covering the issuance of the Common Shares issuable upon exercise of the warrants is then effective and a current prospectus relating to those Common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pStyle w:val="TextBody"/>
        <w:spacing w:before="0" w:after="0"/>
        <w:ind w:left="0" w:right="0" w:firstLine="400"/>
        <w:jc w:val="both"/>
        <w:rPr/>
      </w:pPr>
      <w:r>
        <w:rPr/>
      </w:r>
    </w:p>
    <w:p>
      <w:pPr>
        <w:pStyle w:val="TextBody"/>
        <w:spacing w:lineRule="auto" w:line="268"/>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foregoing conditions are satisfied and SpringBig issues a notice of redemption of the public warrants, each public warrant holder will be entitled to exercise his, her or its public warrant prior to the scheduled redemption </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However, the price of the shares of common stock may fall below the $18.00 redemption trigger price as well as the $11.50 public warrant exercise price after the redemption notice is issued.</w:t>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Once the warrants become exercisable, SpringBig may also redeem on the following conditions:</w:t>
      </w:r>
    </w:p>
    <w:p>
      <w:pPr>
        <w:pStyle w:val="TextBody"/>
        <w:spacing w:before="0" w:after="0"/>
        <w:jc w:val="both"/>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in whole and not in part;</w:t>
      </w:r>
    </w:p>
    <w:p>
      <w:pPr>
        <w:pStyle w:val="TextBody"/>
        <w:spacing w:before="0" w:after="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at $0.10 per warrant upon a minimum of 30 days’ prior written notice of redemption, provided that holders will be able to exercise their warrants on a cashless basis prior to redemption based on the redemption date and the “fair market value” of our Common Shares;</w:t>
      </w:r>
    </w:p>
    <w:p>
      <w:pPr>
        <w:pStyle w:val="TextBody"/>
        <w:spacing w:before="0" w:after="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if, and only if, the Reference Value equals or exceeds $10.00 per share (as adjusted for adjustments to the number of shares issuable upon exercise or the exercise price of a warrant); and</w:t>
      </w:r>
    </w:p>
    <w:p>
      <w:pPr>
        <w:pStyle w:val="TextBody"/>
        <w:spacing w:before="0" w:after="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if the Reference Value is less than $18.00 per share (as adjusted for adjustments to the number of shares issuable upon exercise or the exercise price of a warrant), the private placement warrants must also concurrently be called for redemption on the same terms as the outstanding public warrants.</w:t>
      </w:r>
    </w:p>
    <w:p>
      <w:pPr>
        <w:pStyle w:val="TextBody"/>
        <w:spacing w:before="0" w:after="0"/>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During the period beginning on the date the notice of redemption is given, holders may elect to exercise their warrants on a cashless basis. The numbers in the table below represent the number of shares of common stock that</w:t>
      </w:r>
      <w:r>
        <w:rPr>
          <w:color w:val="000000"/>
        </w:rPr>
        <w:t xml:space="preserve"> </w:t>
      </w:r>
      <w:r>
        <w:rPr>
          <w:rFonts w:ascii="Times New Roman;sans-serif" w:hAnsi="Times New Roman;sans-serif"/>
          <w:b w:val="false"/>
          <w:color w:val="000000"/>
          <w:sz w:val="20"/>
        </w:rPr>
        <w:t>a warrant holder will receive upon such cashless exercise in connection with a redemption by us pursuant to this redemption feature, based on the “fair market value” of our shares of common stock on the corresponding redemption date (assuming holders elect to exercise their warrants and such warrants are not redeemed for $0.10 per warrant), determined based on volume-weighted average price of our shares of common stock during the ten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share prices set forth in the column headings of the table below will be adjusted as of any date on which the number of shares issuable upon exercise of a warrant or the exercise price of the warrant is adjusted as set forth under the heading “—Anti-dilution Adjustments”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the warrant is adjusted as a result of raising capital in connection with the merger, the adjusted share prices in the column headings will by multiplied by a fraction, the numerator of which is the higher of the market value and the newly issued price as set forth under the heading “—Anti-dilution Adjustments” and the denominator of which is $10.00.</w:t>
      </w:r>
    </w:p>
    <w:p>
      <w:pPr>
        <w:pStyle w:val="TextBody"/>
        <w:spacing w:before="0" w:after="0"/>
        <w:ind w:left="0" w:right="0" w:firstLine="400"/>
        <w:jc w:val="both"/>
        <w:rPr/>
      </w:pPr>
      <w:r>
        <w:rPr/>
      </w:r>
    </w:p>
    <w:tbl>
      <w:tblPr>
        <w:tblW w:w="9737" w:type="dxa"/>
        <w:jc w:val="center"/>
        <w:tblInd w:w="0" w:type="dxa"/>
        <w:tblCellMar>
          <w:top w:w="28" w:type="dxa"/>
          <w:left w:w="28" w:type="dxa"/>
          <w:bottom w:w="28" w:type="dxa"/>
          <w:right w:w="28" w:type="dxa"/>
        </w:tblCellMar>
      </w:tblPr>
      <w:tblGrid>
        <w:gridCol w:w="1069"/>
        <w:gridCol w:w="940"/>
        <w:gridCol w:w="945"/>
        <w:gridCol w:w="109"/>
        <w:gridCol w:w="109"/>
        <w:gridCol w:w="109"/>
        <w:gridCol w:w="109"/>
        <w:gridCol w:w="109"/>
        <w:gridCol w:w="109"/>
        <w:gridCol w:w="225"/>
        <w:gridCol w:w="225"/>
        <w:gridCol w:w="226"/>
        <w:gridCol w:w="225"/>
        <w:gridCol w:w="225"/>
        <w:gridCol w:w="226"/>
        <w:gridCol w:w="225"/>
        <w:gridCol w:w="225"/>
        <w:gridCol w:w="226"/>
        <w:gridCol w:w="225"/>
        <w:gridCol w:w="225"/>
        <w:gridCol w:w="226"/>
        <w:gridCol w:w="225"/>
        <w:gridCol w:w="225"/>
        <w:gridCol w:w="226"/>
        <w:gridCol w:w="225"/>
        <w:gridCol w:w="225"/>
        <w:gridCol w:w="226"/>
        <w:gridCol w:w="225"/>
        <w:gridCol w:w="225"/>
        <w:gridCol w:w="226"/>
        <w:gridCol w:w="225"/>
        <w:gridCol w:w="225"/>
        <w:gridCol w:w="226"/>
        <w:gridCol w:w="211"/>
        <w:gridCol w:w="211"/>
        <w:gridCol w:w="299"/>
      </w:tblGrid>
      <w:tr>
        <w:trPr/>
        <w:tc>
          <w:tcPr>
            <w:tcW w:w="1069"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9" w:type="dxa"/>
            <w:gridSpan w:val="27"/>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Fair Market Value of Shares of Common Stock</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Redemption Date</w:t>
              <w:br/>
              <w:t>(period to expiration of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$10.00</w:t>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$11.00</w:t>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$12.00</w:t>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$13.00</w:t>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$14.00</w:t>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$15.00</w:t>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$16.00</w:t>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$17.00</w:t>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$18.00</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months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0.261</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0.281</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0.297</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0.311</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0.324</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0.337</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0.348</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0.358</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0.257</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0.277</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0.294</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0.324</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0.337</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0.348</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0.358</w:t>
            </w:r>
          </w:p>
        </w:tc>
        <w:tc>
          <w:tcPr>
            <w:tcW w:w="72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0.252</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0.272</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0.291</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0.307</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0.322</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0.335</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0.347</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0.357</w:t>
            </w:r>
          </w:p>
        </w:tc>
        <w:tc>
          <w:tcPr>
            <w:tcW w:w="72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0.246</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0.268</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0.287</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0.304</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0.333</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0.346</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0.357</w:t>
            </w:r>
          </w:p>
        </w:tc>
        <w:tc>
          <w:tcPr>
            <w:tcW w:w="72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0.241</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0.263</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0.283</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0.301</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0.332</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0.344</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0.356</w:t>
            </w:r>
          </w:p>
        </w:tc>
        <w:tc>
          <w:tcPr>
            <w:tcW w:w="72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0.235</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0.258</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0.279</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0.298</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0.315</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0.343</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0.356</w:t>
            </w:r>
          </w:p>
        </w:tc>
        <w:tc>
          <w:tcPr>
            <w:tcW w:w="72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0.228</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0.252</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0.274</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0.294</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0.312</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0.328</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0.342</w:t>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0.355</w:t>
            </w:r>
          </w:p>
        </w:tc>
        <w:tc>
          <w:tcPr>
            <w:tcW w:w="72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0.221</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0.246</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0.269</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0.309</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0.325</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0.354</w:t>
            </w:r>
          </w:p>
        </w:tc>
        <w:tc>
          <w:tcPr>
            <w:tcW w:w="72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6812" w:type="dxa"/>
        <w:jc w:val="center"/>
        <w:tblInd w:w="0" w:type="dxa"/>
        <w:tblCellMar>
          <w:top w:w="28" w:type="dxa"/>
          <w:left w:w="28" w:type="dxa"/>
          <w:bottom w:w="28" w:type="dxa"/>
          <w:right w:w="28" w:type="dxa"/>
        </w:tblCellMar>
      </w:tblPr>
      <w:tblGrid>
        <w:gridCol w:w="353"/>
        <w:gridCol w:w="309"/>
        <w:gridCol w:w="312"/>
        <w:gridCol w:w="109"/>
        <w:gridCol w:w="109"/>
        <w:gridCol w:w="109"/>
        <w:gridCol w:w="109"/>
        <w:gridCol w:w="109"/>
        <w:gridCol w:w="109"/>
        <w:gridCol w:w="190"/>
        <w:gridCol w:w="190"/>
        <w:gridCol w:w="191"/>
        <w:gridCol w:w="190"/>
        <w:gridCol w:w="190"/>
        <w:gridCol w:w="191"/>
        <w:gridCol w:w="190"/>
        <w:gridCol w:w="190"/>
        <w:gridCol w:w="191"/>
        <w:gridCol w:w="190"/>
        <w:gridCol w:w="190"/>
        <w:gridCol w:w="191"/>
        <w:gridCol w:w="190"/>
        <w:gridCol w:w="190"/>
        <w:gridCol w:w="191"/>
        <w:gridCol w:w="190"/>
        <w:gridCol w:w="190"/>
        <w:gridCol w:w="191"/>
        <w:gridCol w:w="190"/>
        <w:gridCol w:w="190"/>
        <w:gridCol w:w="191"/>
        <w:gridCol w:w="190"/>
        <w:gridCol w:w="190"/>
        <w:gridCol w:w="191"/>
        <w:gridCol w:w="180"/>
        <w:gridCol w:w="180"/>
        <w:gridCol w:w="256"/>
      </w:tblGrid>
      <w:tr>
        <w:trPr/>
        <w:tc>
          <w:tcPr>
            <w:tcW w:w="35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0.213</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0.239</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0.263</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0.285</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0.305</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0.323</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0.353</w:t>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0.205</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0.257</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0.301</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0.337</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0.352</w:t>
            </w:r>
          </w:p>
        </w:tc>
        <w:tc>
          <w:tcPr>
            <w:tcW w:w="61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0.196</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0.224</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0.274</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0.297</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0.316</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0.335</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0.351</w:t>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0.185</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0.214</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0.268</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0.291</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61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0.173</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0.204</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0.233</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0.285</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0.308</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0.329</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0.348</w:t>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0.161</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0.193</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0.223</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0.279</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0.304</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0.326</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0.347</w:t>
            </w:r>
          </w:p>
        </w:tc>
        <w:tc>
          <w:tcPr>
            <w:tcW w:w="61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0.146</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0.179</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0.211</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0.242</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0.271</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0.298</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0.322</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0.345</w:t>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0.164</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0.197</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0.291</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0.342</w:t>
            </w:r>
          </w:p>
        </w:tc>
        <w:tc>
          <w:tcPr>
            <w:tcW w:w="61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0.111</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0.146</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0.181</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0.216</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0.282</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0.312</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w:t>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0.125</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0.199</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0.237</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0.305</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0.336</w:t>
            </w:r>
          </w:p>
        </w:tc>
        <w:tc>
          <w:tcPr>
            <w:tcW w:w="61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0.065</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0.099</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0.137</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0.178</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0.219</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0.259</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0.296</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w:t>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0.034</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0.065</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0.104</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0.197</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0.243</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0.286</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0.326</w:t>
            </w:r>
          </w:p>
        </w:tc>
        <w:tc>
          <w:tcPr>
            <w:tcW w:w="616"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0.042</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0.115</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0.179</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0.233</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0.281</w:t>
            </w:r>
          </w:p>
        </w:tc>
        <w:tc>
          <w:tcPr>
            <w:tcW w:w="57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0.323</w:t>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bl>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shares of common stock during the ten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where the exact fair market value and redemption date are not as set forth in the table above, if the volume-weighted average price of our shares of common stock during the ten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in connection with this redemption feature for more than 0.361 shares of common stock per warrant (subject to adjustment).</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This redemption feature is structured to allow for all of the outstanding warrants to be redeemed when the shares of common stock are trading at or above $10.00 per share, which may be at a time when the trading price of our shares of common stock is below the exercise price of the warrants. We have established this redemption feature to provide us with the flexibility to redeem the warrants without the warrants having to reach the $18.00 per share threshold set forth above.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 As stated above, we can redeem the warrants when the shares of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common stock are trading at a price below the exercise price of the warrants, this could result in the warrant holders receiving fewer shares than they would have received if they had chosen to wait to exercise their warrants for shares of common stock if and when such shares were trading at a price higher than the exercise price of $11.50.</w:t>
      </w:r>
    </w:p>
    <w:p>
      <w:pPr>
        <w:pStyle w:val="TextBody"/>
        <w:ind w:left="0" w:right="0" w:firstLine="40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No fractional shares of common stock will be issued upon exercise. If, upon exercise, a holder would be entitled to receive a fractional interest in a share, we will round down to the nearest whole number of the number of shares of common stock to be issued to the holder.</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 holder of a public warrant may notify SpringBig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common stock issued and outstanding immediately after giving effect to such exercise.</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i/>
          <w:color w:val="000000"/>
          <w:sz w:val="20"/>
        </w:rPr>
        <w:t>Anti-dilution Adjustments.</w:t>
      </w:r>
      <w:r>
        <w:rPr>
          <w:color w:val="000000"/>
        </w:rPr>
        <w:t xml:space="preserve"> </w:t>
      </w:r>
      <w:r>
        <w:rPr>
          <w:rFonts w:ascii="Times New Roman;sans-serif" w:hAnsi="Times New Roman;sans-serif"/>
          <w:b w:val="false"/>
          <w:color w:val="000000"/>
          <w:sz w:val="20"/>
        </w:rPr>
        <w:t>If the number of issued and outstanding shares of common stock is increased by a capitalization or share dividend payable in shares of common stock, or by a split-up of shares of common stock or other similar event, then, on the effective date of such share dividend, split-up or similar event, the number of shares of common stock issuable on exercise of each public warrant will be increased in proportion to such increase in the issued and outstanding shares of common stock. A rights offering to holders of shares of common stock entitling holders to purchase shares of common stock at a price less than the fair market value will be deemed a share dividend of a number of shares of common stock equal to the product of  (1) the number of shares of common stock actually sold in such rights offering (or issuable under any other equity securities sold in such rights offering that are convertible into or exercisable for common stock) multiplied by (2) one minus the quotient of (x) the price per shares of common stock paid in such rights offering divided by (y) the fair market value. For these purposes, (1)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(2) fair market value means the volume weighted average price of shares of common stock as reported during the ten (10) trading day period ending on the trading day prior to the first date on which the shares of common stock trade on the applicable exchange or in the applicable market, regular way, without the right to receive such rights.</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Contingent and Earnout Shares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merger consideration to be paid to the Legacy SpringBig equity holders in connection with the business combination, holders of Legacy SpringBig’s common stock and preferred stock and Engaged Option Holders (as defined below) will also have the right to receive their pro rata portion of up to an aggregate of 10,500,000 shares of common stock (“Contingent Shares”) if any of the following stock price conditions are met: (i) 7,000,000 Contingent Shares (“First Tranche Shares”) if the closing price of the common stock equals or exceeds $12.00 per share (as adjusted for share splits, share dividends, reorganizations, and recapitalizations) on any twenty (20) trading days in a thirty (30)-trading-day period at any time after the closing date and on or before 60 months after the closing date; (ii) 2,250,000 Contingent Shares (“Second Tranche Shares”) if the closing price of the common stock equals or exceeds $15.00 per share (as adjusted for share splits, share dividends, reorganizations, and recapitalizations) on any twenty (20) trading days in a thirty (30)-trading-day period at any time after the closing date and on or before 60 months after the closing date; and (iii) 1,250,000 Contingent Shares (“Third Tranche Shares”) if the closing price of the common stock on any twenty (20) trading days in a thirty (30)-trading-day period at any time after the closing date and on or before 60 months after the closing date.</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An “Engaged Option Holder” is an employee or engaged consultant of Legacy SpringBig who held unexercised Legacy SpringBig options at the effective time of the merger and who remains employed or engaged by Legacy SpringBig at the time of such payment of Contingent Shares.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event of certain events during the 60 month period after the Closing Date, then any Contingent Shares not previously issued shall be issued in accordance with the following, based on the price per share of common stock immediately prior to the consummation of such Earnout Trigger Event or the price per share paid for each outstanding share of common stock in such Earnout Trigger Event (the “Earnout Trigger Price”):</w:t>
      </w:r>
    </w:p>
    <w:p>
      <w:pPr>
        <w:pStyle w:val="TextBody"/>
        <w:spacing w:before="0" w:after="0"/>
        <w:jc w:val="both"/>
        <w:rPr/>
      </w:pPr>
      <w:r>
        <w:rPr/>
      </w:r>
    </w:p>
    <w:p>
      <w:pPr>
        <w:pStyle w:val="TextBody"/>
        <w:spacing w:lineRule="auto" w:line="256"/>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i.If the Earnout Trigger Event occurs prior to the one-year anniversary of the Effective Time and results in an Earnout Trigger Price that is greater than $10.00, but less than $12.00, then only a portion of the First Tranche Shares shall be issued to the Legacy SpringBig shareholders and Engaged Option Holders equal to the First Tranche Shares multiplied by a fraction calculated as: (A) the numerator of which shall be the Earnout Trigger Price minus $10 and (B) the denominator of which is 2.</w:t>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ii.If the Earnout Trigger Event occurs after the one-year anniversary of the Closing Date and results in an Earnout Trigger Price that is less than $12.00, then none of the Contingent Shares shall be issued.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iii.If the Earnout Trigger Event occurs at any time during the 60 months following the effective time and results in an Earnout Trigger Price that is equal to or greater than $15.00, but less than $18.00, then only the First Tranche Shares and Second Tranche Shares shall be issued to the Legacy SpringBig shareholders and Engaged Option Holders</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iv.If the Earnout Trigger Event occurs at any time during the 60 months following the effective time and results in an Earnout Trigger Price equal to or greater than $18.00, then all of the Contingent Shares shall be issued to the Legacy SpringBig shareholders and Engaged Option Holders.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merger agreement, an “Earnout Trigger Event” is defined to mean (a) SpringBig engages in a “going private” transaction pursuant to Rule 13e-3 under the Securities Exchange Act of 1934, as amended (the “Exchange Act”), or otherwise ceases to be subject to reporting obligations under Sections 13 or 15(d) of the Exchange Act; (b) SpringBig shall cease to be listed on a national securities exchange, other than for the failure to satisfy: (i) any applicable minimum listing requirements, including minimum round lot holder requirements, of such national securities exchange; or (ii) a minimum price per share requirement of such national securities exchange; or (c) the occurrence in a single transaction or as a result of a series of related transactions, of one or more of the following events: (a) any person or any group of persons acting together which would constitute a “group” for purposes of Section 13(d) of the Exchange Act or any successor provisions thereto (excluding (i) sponsor and its respective affiliates, successors and assigns, or (ii) a corporation or other entity owned, directly or indirectly, by the shareholders of SpringBig in substantially the same proportions as their ownership of stock of SpringBig ) (x) is or becomes the beneficial owner, directly or indirectly, of securities of SpringBig representing more than fifty percent (50%) of the combined voting power of SpringBig’s then outstanding voting securities or (y) has or acquires control of SpringBig’s Board of Directors, (b) a merger, consolidation, reorganization or similar business combination transaction involving SpringBig and, immediately after the consummation of such transaction or series of transactions, either (x) the SpringBig Board of Directors immediately prior to the merger or consolidation does not constitute at least a majority of the board of directors of the company surviving the merger or, if the surviving company is a subsidiary, the ultimate parent thereof, or (y) the voting securities of SpringBig immediately prior to such merger or consolidation do not continue to represent or are not converted into more than 50% of the combined voting power of the then outstanding voting securities of the person resulting from such transaction or series of transactions or, if the surviving company is a subsidiary, the ultimate parent thereof, or (c) the sale, lease or other disposition, directly or indirectly, by SpringBig of all or substantially all of the assets of SpringBig and its subsidiaries, taken as a whole, other than such sale or other disposition by SpringBig of all or substantially all of the assets of SpringBig and its Subsidiaries, taken as a whole, to an entity at least a majority of the combined voting power of the voting securities of which are owned by shareholders of SpringBig.</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sponsor, Tuatara and certain independent members of the pre-business combination board of directors entered into an escrow agreement (“Sponsor Escrow Agreement”) at the closing of the business combination pursuant to which the sponsor and certain members of the pre-business combination board of directors deposited an aggregate of 1,000,000 shares of common stock (“Sponsor Earnout Shares”) into escrow. The Sponsor Escrow Agreement provides that such Sponsor Earnout Shares will either be released to the sponsor if the closing price of the common stock equals or exceeds $12.00 per share (as adjusted for share splits, share dividends, reorganizations, and recapitalizations) on any twenty (20) trading days in a thirty (30)-trading-day period at any time after the closing date and by the fifth anniversary of the Closing Date. The Sponsor Earnout Shares will be terminated and canceled by the Company if such condition is not met at any time after the Closing Date and by the fifth anniversary of the Closing Date.</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the Common Shares to date and does not intend to pay cash dividends prior to the completion of the business combination. The payment of cash dividends in the future will be dependent upon Tuatara’s revenues and earnings, if any, capital requirements and general financial condition subsequent to the completion of the business combination. The payment of any cash dividends is within the discretion of the Board of Directors.</w:t>
      </w:r>
    </w:p>
    <w:p>
      <w:pPr>
        <w:pStyle w:val="TextBody"/>
        <w:spacing w:before="0" w:after="0"/>
        <w:ind w:left="0" w:right="0" w:firstLine="400"/>
        <w:jc w:val="both"/>
        <w:rPr/>
      </w:pPr>
      <w:r>
        <w:rPr/>
      </w:r>
    </w:p>
    <w:p>
      <w:pPr>
        <w:pStyle w:val="TextBody"/>
        <w:spacing w:lineRule="auto" w:line="268"/>
        <w:jc w:val="both"/>
        <w:rPr>
          <w:rFonts w:ascii="Times New Roman;sans-serif" w:hAnsi="Times New Roman;sans-serif"/>
          <w:b/>
          <w:color w:val="000000"/>
          <w:sz w:val="20"/>
        </w:rPr>
      </w:pPr>
      <w:r>
        <w:rPr>
          <w:rFonts w:ascii="Times New Roman;sans-serif" w:hAnsi="Times New Roman;sans-serif"/>
          <w:b/>
          <w:color w:val="000000"/>
          <w:sz w:val="20"/>
        </w:rPr>
        <w:t>Transfer Agent and Warrant Agent</w:t>
      </w:r>
      <w:r>
        <w:br w:type="page"/>
      </w: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Common Shares and warrant agent for warrants is Continental Stock Transfer &amp; Trust Company.</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Certain Anti-Takeover Provisions of Delaware Law, the Proposed Charter and Proposed Bylaws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SpringBig, as a corporation incorporated under the laws of the State of Delaware, subject to the provisions of Section 203 of the Delaware General Corporation Law, as amended (the “DGCL”), which we refer to as “Section 203,” regulating corporate takeovers.</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Section 203 prevents certain Delaware corporations, under certain circumstances, from engaging in a “business combination” with:</w:t>
      </w:r>
    </w:p>
    <w:p>
      <w:pPr>
        <w:pStyle w:val="TextBody"/>
        <w:spacing w:before="0" w:after="0"/>
        <w:ind w:left="0" w:right="0" w:firstLine="400"/>
        <w:jc w:val="both"/>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 shareholder who owns fifteen percent or more of SpringBig’s outstanding voting stock (otherwise known as an “interested shareholder”);</w:t>
      </w:r>
    </w:p>
    <w:p>
      <w:pPr>
        <w:pStyle w:val="TextBody"/>
        <w:spacing w:before="0" w:after="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an affiliate of an interested shareholder; or</w:t>
      </w:r>
    </w:p>
    <w:p>
      <w:pPr>
        <w:pStyle w:val="TextBody"/>
        <w:spacing w:before="0" w:after="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an associate of an interested shareholder, for three (3) years following the date that the shareholder became an interested shareholder.</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“business combination” includes a merger or sale of more than ten percent of SpringBig’s assets.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the above provisions of Section 203 do not apply if:</w:t>
      </w:r>
    </w:p>
    <w:p>
      <w:pPr>
        <w:pStyle w:val="TextBody"/>
        <w:spacing w:before="0" w:after="0"/>
        <w:jc w:val="both"/>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SpringBig’s Board of Directors approves the transaction that made the shareholder an “interested shareholder,” prior to the date of the transaction;</w:t>
      </w:r>
    </w:p>
    <w:p>
      <w:pPr>
        <w:pStyle w:val="TextBody"/>
        <w:spacing w:before="0" w:after="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after the completion of the transaction that resulted in the shareholder becoming an interested shareholder, that shareholder owned at least 85% of SpringBig’s voting stock outstanding at the time the transaction commenced, other than statutorily excluded shares of common stock; or</w:t>
      </w:r>
    </w:p>
    <w:p>
      <w:pPr>
        <w:pStyle w:val="TextBody"/>
        <w:spacing w:before="0" w:after="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on or subsequent to the date of the transaction, the business combination is approved by SpringBig’s Board of Directors and authorized at a meeting of SpringBig’s shareholders, and not by written consent, by an affirmative vote of at least two-thirds of the outstanding voting stock not owned by the interested shareholder.</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organizational documents and the DGCL contain provisions that could have the effect of rendering more difficult, delaying, or preventing an acquisition deemed undesirable by SpringBig’s Board of Directors. These provisions could also make it difficult for shareholders to take certain actions, including electing directors who are not nominated by the members of SpringBig’s Board of Directors or taking other corporate actions, including effecting changes in our management. For instance, SpringBig’s charter does not provide for cumulative voting in the election of directors and provides for a classified Board of Directors with three (3)-year staggered terms, which could delay the ability of shareholders to change the membership of a majority of the SpringBig Board of Directors. SpringBig’s Board of Directors is empowered to elect a director to fill a vacancy created by the expansion of the Board of Directors or the resignation, death, or removal of a director in certain circumstances; and SpringBig’s advance notice provisions in the proposed bylaws will require that shareholders must comply with certain procedures in order to nominate candidates to SpringBig’s Board of Directors or to propose matters to be acted upon at a shareholders’ meeting.</w:t>
      </w:r>
    </w:p>
    <w:p>
      <w:pPr>
        <w:pStyle w:val="TextBody"/>
        <w:spacing w:before="0" w:after="0"/>
        <w:ind w:left="0" w:right="0" w:firstLine="40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SpringBig’s authorized but unissued common stock and preferred stock will be available for future issuances without shareholder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SpringBig by means of a proxy contest, tender offer, merger or otherwise.</w:t>
      </w:r>
    </w:p>
    <w:p>
      <w:pPr>
        <w:pStyle w:val="TextBody"/>
        <w:spacing w:before="0" w:after="0"/>
        <w:ind w:left="0" w:right="0" w:firstLine="400"/>
        <w:jc w:val="both"/>
        <w:rPr/>
      </w:pPr>
      <w:r>
        <w:rPr/>
      </w:r>
    </w:p>
    <w:p>
      <w:pPr>
        <w:pStyle w:val="TextBody"/>
        <w:spacing w:before="0" w:after="0"/>
        <w:ind w:left="0" w:right="0" w:firstLine="400"/>
        <w:jc w:val="both"/>
        <w:rPr/>
      </w:pPr>
      <w:r>
        <w:rPr/>
      </w:r>
    </w:p>
    <w:p>
      <w:pPr>
        <w:pStyle w:val="TextBody"/>
        <w:spacing w:before="0" w:after="0"/>
        <w:ind w:left="0" w:right="0" w:firstLine="400"/>
        <w:jc w:val="both"/>
        <w:rPr/>
      </w:pPr>
      <w:r>
        <w:rPr/>
      </w:r>
    </w:p>
    <w:p>
      <w:pPr>
        <w:pStyle w:val="TextBody"/>
        <w:ind w:left="0" w:right="0" w:firstLine="40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Stockholder Nominations and Proposals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 Meeting of Stockholders Notice Requirements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Nominations of persons for election to the Board of Directors or the proposal of other business to be transacted by shareholders may only be made at a meeting properly called for such purpose and only (i) by or at the direction of the board of directors or any committee thereof or (ii) by a shareholder who (A) was a shareholder of record of SpringBig when the notice is delivered to the secretary and at the time of the meeting and is entitled to vote for the election of directors or such business, as applicable, at the meeting and (B) complies with the notice and other provisions of the proposed bylaws. Persons nominated for election to the Board of Directors by shareholders in accordance with the applicable sections of the proposed bylaws are referred to as “Shareholder Nominees.” A shareholder nominating persons for election to the board of directors is referred to as the “Nominating Shareholder.”</w:t>
      </w:r>
    </w:p>
    <w:p>
      <w:pPr>
        <w:pStyle w:val="TextBody"/>
        <w:spacing w:before="0" w:after="0"/>
        <w:ind w:left="0" w:right="0" w:firstLine="400"/>
        <w:jc w:val="both"/>
        <w:rPr/>
      </w:pPr>
      <w:r>
        <w:rPr/>
      </w:r>
    </w:p>
    <w:p>
      <w:pPr>
        <w:pStyle w:val="TextBody"/>
        <w:spacing w:lineRule="auto" w:line="268" w:before="0" w:after="0"/>
        <w:ind w:left="0" w:right="0" w:firstLine="400"/>
        <w:jc w:val="both"/>
        <w:rPr/>
      </w:pPr>
      <w:r>
        <w:rPr>
          <w:rFonts w:ascii="Times New Roman;sans-serif" w:hAnsi="Times New Roman;sans-serif"/>
          <w:b w:val="false"/>
          <w:color w:val="000000"/>
          <w:sz w:val="20"/>
        </w:rPr>
        <w:t xml:space="preserve">SpringBig’s bylaws provide that, for nominations or business to be properly brought before an annual meeting by a shareholder, the shareholder must give timely notice thereof in writing to the secretary of SpringBig and, in the case of proposed business, any such proposed business must constitute a proper for shareholder action. To be timely, the notice must be delivered personally or mailed to, and received at, the principal executive offices of SpringBig, addressed to the secretary, by no earlier than one hundred and twenty (120) days and no later than ninety (90) days before the first anniversary of the date of the prior year’s annual meeting of shareholders; </w:t>
      </w: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that if the annual meeting of shareholders is not within 45 days before or after such anniversary date, the notice by the shareholder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will an adjournment, postponement or deferral of any annual meeting of shareholders, or announcement thereof, commence a new time period (or extend any time period) for the giving of a shareholder’s notice as described above.</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Special Meeting of Stockholders Notice Requirements</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If the election of directors is included as business to be brought before a special meeting in SpringBig’s notice of meeting, then nominations of persons for election to the board of directors at a special meeting of shareholders may be made by any shareholder who is a shareholder of record at the time of giving notice of such nomination and at the time of the special meeting (who will be entitled to vote at the meeting). For nominations to be properly brought by a shareholder before a special meeting of shareholders, the shareholder must have given timely notice not later than the close of business on the tenth day following the day on which public announcement of the date of the special meeting is first made by SpringBig.</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Additional Stockholder Notice Requirements</w:t>
      </w:r>
    </w:p>
    <w:p>
      <w:pPr>
        <w:pStyle w:val="TextBody"/>
        <w:spacing w:before="0" w:after="0"/>
        <w:jc w:val="both"/>
        <w:rPr/>
      </w:pPr>
      <w:r>
        <w:rPr/>
      </w:r>
    </w:p>
    <w:p>
      <w:pPr>
        <w:pStyle w:val="TextBody"/>
        <w:spacing w:lineRule="auto" w:line="268"/>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shareholder’s notice to the secretary must set forth (i) as to each person whom the shareholder proposes to nominate for election as a director (A) the name, age, business address and residence address of the person, (B) the principal occupation or employment of the person, (C) the class or series and number of shares of capital stock of SpringBig, if any,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without regard to the application of the Exchange Act to either the nomination or SpringBig; and (ii) as to the shareholder giving the notice (A) the name and record address of such shareholder as they appear on SpringBig’s books and the name and address of the beneficial owner, if any, on whose behalf the nomination is made, (B) the class or series and number of shares of capital stock of SpringBig that are owned beneficially and of record by such shareholder and the beneficial owner, if any, on whose behalf the nomination is made, (C) a description of all arrangements or understandings relating to the nomination to be made by such shareholder among such shareholder, the beneficial owner, if any, on whose behalf the nomination is made, each proposed nominee and any other person or persons (including their names), (D) a representation that such shareholder (or a qualified representative of such shareholder) intends to appear in person or by proxy at the meeting to nominate the persons named in its notice and (E) any other information relating to such shareholder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w:t>
      </w:r>
      <w:r>
        <w:br w:type="page"/>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 accompanied by a written consent of each proposed nominee to being named as a nominee and to serve as a director if elected.</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person presiding over the meeting shall, if the facts warrant, determine and declare to the meeting, that business was not properly brought or a nomination was not made, as the case may be, in accordance with the foregoing procedures prescribed by the proposed bylaws, and, if he or she should so determine, he or she shall so declare to the meeting and any such business not properly brought before the meeting shall not be transacted and the defective nomination shall be disregarded, as the case may be. If the shareholder (or a qualified representative of the shareholder) does not appear at the applicable shareholder meeting to present a nomination or other proposed business, such nomination will be disregarded or such proposed business will not be transacted, as the case may be, notwithstanding that proxies in respect of such vote may have been received by SpringBig.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meeting of shareholders.</w:t>
      </w:r>
    </w:p>
    <w:p>
      <w:pPr>
        <w:pStyle w:val="TextBody"/>
        <w:spacing w:before="0" w:after="0"/>
        <w:ind w:left="0" w:right="0" w:firstLine="40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Listing of Common Stock</w:t>
      </w:r>
    </w:p>
    <w:p>
      <w:pPr>
        <w:pStyle w:val="TextBody"/>
        <w:spacing w:before="0" w:after="0"/>
        <w:jc w:val="both"/>
        <w:rPr/>
      </w:pPr>
      <w:r>
        <w:rPr/>
      </w:r>
    </w:p>
    <w:p>
      <w:pPr>
        <w:pStyle w:val="TextBody"/>
        <w:spacing w:lineRule="auto" w:line="26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Common Shares are listed on The Nasdaq Global Market under the symbol “SBIG.” The SpringBig public warrants are listed on the Nasdaq Global Market under the symbol “SBIGW.”</w:t>
      </w:r>
    </w:p>
    <w:p>
      <w:pPr>
        <w:pStyle w:val="TextBody"/>
        <w:spacing w:before="0" w:after="0"/>
        <w:jc w:val="both"/>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Exhibit 21.1</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Subsidiaries of SpringBig Holdings, Inc.</w:t>
      </w:r>
    </w:p>
    <w:p>
      <w:pPr>
        <w:pStyle w:val="TextBody"/>
        <w:spacing w:before="0" w:after="0"/>
        <w:jc w:val="center"/>
        <w:rPr/>
      </w:pPr>
      <w:r>
        <w:rPr/>
      </w:r>
    </w:p>
    <w:tbl>
      <w:tblPr>
        <w:tblW w:w="5999" w:type="dxa"/>
        <w:jc w:val="center"/>
        <w:tblInd w:w="0" w:type="dxa"/>
        <w:tblCellMar>
          <w:top w:w="28" w:type="dxa"/>
          <w:left w:w="28" w:type="dxa"/>
          <w:bottom w:w="28" w:type="dxa"/>
          <w:right w:w="28" w:type="dxa"/>
        </w:tblCellMar>
      </w:tblPr>
      <w:tblGrid>
        <w:gridCol w:w="1055"/>
        <w:gridCol w:w="924"/>
        <w:gridCol w:w="930"/>
        <w:gridCol w:w="904"/>
        <w:gridCol w:w="904"/>
        <w:gridCol w:w="1282"/>
      </w:tblGrid>
      <w:tr>
        <w:trPr/>
        <w:tc>
          <w:tcPr>
            <w:tcW w:w="1055"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Legal Name</w:t>
            </w:r>
          </w:p>
        </w:tc>
        <w:tc>
          <w:tcPr>
            <w:tcW w:w="309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Jurisdiction of Incorporation</w:t>
            </w:r>
          </w:p>
        </w:tc>
      </w:tr>
      <w:tr>
        <w:trPr/>
        <w:tc>
          <w:tcPr>
            <w:tcW w:w="29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SpringBig, Inc.</w:t>
            </w:r>
          </w:p>
        </w:tc>
        <w:tc>
          <w:tcPr>
            <w:tcW w:w="309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r>
      <w:tr>
        <w:trPr/>
        <w:tc>
          <w:tcPr>
            <w:tcW w:w="29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Medici Canada, LLC</w:t>
            </w:r>
          </w:p>
        </w:tc>
        <w:tc>
          <w:tcPr>
            <w:tcW w:w="309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United States</w:t>
            </w:r>
          </w:p>
        </w:tc>
      </w:tr>
      <w:tr>
        <w:trPr/>
        <w:tc>
          <w:tcPr>
            <w:tcW w:w="290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SpringBig Canada Inc.</w:t>
            </w:r>
          </w:p>
        </w:tc>
        <w:tc>
          <w:tcPr>
            <w:tcW w:w="309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Quebec, Canada</w:t>
            </w:r>
          </w:p>
        </w:tc>
      </w:tr>
      <w:tr>
        <w:trPr/>
        <w:tc>
          <w:tcPr>
            <w:tcW w:w="290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Beaches Development Group LTD</w:t>
            </w:r>
          </w:p>
        </w:tc>
        <w:tc>
          <w:tcPr>
            <w:tcW w:w="309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 Canada</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INDEPENDENT REGISTERED PUBLIC ACCOUNTING FIRM’S CONSENT</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We consent to the incorporation by reference in the Registration Statement of SpringBig Holdings, Inc. on Form S-8 [FILE NO. 333-267011] of our report dated March 28, 2023, which includes an explanatory paragraph as to the Company’s ability to continue as a going concern, with respect to our audits of the consolidated financial statements of SpringBig Holdings, Inc. as of</w:t>
      </w:r>
      <w:r>
        <w:rPr>
          <w:color w:val="000000"/>
        </w:rPr>
        <w:t xml:space="preserve"> </w:t>
      </w:r>
      <w:r>
        <w:rPr>
          <w:rFonts w:ascii="Times New Roman;sans-serif" w:hAnsi="Times New Roman;sans-serif"/>
          <w:b w:val="false"/>
          <w:color w:val="000000"/>
          <w:sz w:val="20"/>
        </w:rPr>
        <w:t>December 31, 2022 and 2021 and for the years ended December 31, 2022 and 2021, which report is included in this Annual Report on Form 10-K of SpringBig Holdings, Inc.</w:t>
      </w:r>
      <w:r>
        <w:rPr>
          <w:color w:val="000000"/>
        </w:rPr>
        <w:t xml:space="preserve"> </w:t>
      </w:r>
      <w:r>
        <w:rPr>
          <w:rFonts w:ascii="Times New Roman;sans-serif" w:hAnsi="Times New Roman;sans-serif"/>
          <w:b w:val="false"/>
          <w:color w:val="000000"/>
          <w:sz w:val="20"/>
        </w:rPr>
        <w:t>for the year ended December 31, 2022.</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report on the consolidated financial statements refers to a change in the method of accounting for leases effective January 1, 2022 as a result of the adoption of ASU No. 2016-02, Leases (Topic 842).</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 Marcum LLP</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Marcum LLP</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Fort Lauderdale, Florida</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56" w:before="0" w:after="0"/>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w:t>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I, Jeffrey Harris, certify that: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2022 of SpringBig Holdings, Inc.;</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Jeffrey Harris____________</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Jeffrey Harris</w:t>
      </w:r>
    </w:p>
    <w:p>
      <w:pPr>
        <w:pStyle w:val="TextBody"/>
        <w:spacing w:lineRule="auto" w:line="256"/>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56" w:before="0" w:after="0"/>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w:t>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I, Paul Sykes, certify that: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2022 of SpringBig Holdings, Inc.;</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5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before="0" w:after="0"/>
        <w:rPr/>
      </w:pPr>
      <w:r>
        <w:rPr/>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Date: March 28, 2023</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Paul Sykes____________</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Paul Sykes</w:t>
      </w:r>
    </w:p>
    <w:p>
      <w:pPr>
        <w:pStyle w:val="TextBody"/>
        <w:spacing w:lineRule="auto" w:line="256"/>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 Pursuant to 18 U. S. C. Section 1350, as</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Adopted Pursuant to Section 906 of the Sarbanes-Oxley Act of 2002</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I, Jeffrey Harris, hereby certify that, to the best of my knowledge, SpringBig Holdings, Inc’s Annual Report on Form 10-K for the year ended December 31, 2022 (the Report), as filed with the Securities and Exchange Commission on March 28, 2023,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tbl>
      <w:tblPr>
        <w:tblW w:w="2069" w:type="dxa"/>
        <w:jc w:val="left"/>
        <w:tblInd w:w="0" w:type="dxa"/>
        <w:tblCellMar>
          <w:top w:w="28" w:type="dxa"/>
          <w:left w:w="28" w:type="dxa"/>
          <w:bottom w:w="28" w:type="dxa"/>
          <w:right w:w="28" w:type="dxa"/>
        </w:tblCellMar>
      </w:tblPr>
      <w:tblGrid>
        <w:gridCol w:w="660"/>
        <w:gridCol w:w="580"/>
        <w:gridCol w:w="829"/>
      </w:tblGrid>
      <w:tr>
        <w:trPr/>
        <w:tc>
          <w:tcPr>
            <w:tcW w:w="66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Jeffrey Harris</w:t>
            </w:r>
          </w:p>
        </w:tc>
      </w:tr>
      <w:tr>
        <w:trPr/>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 Pursuant to 18 U. S. C. Section 1350, as</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Adopted Pursuant to Section 906 of the Sarbanes-Oxley Act of 2002</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I, Paul Sykes, hereby certify that, to the best of my knowledge, SpringBig Holdings, Inc’s Annual Report on Form 10-K for the year ended December 31, 2022 (the Report), as filed with the Securities and Exchange Commission on March 28, 2023,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tbl>
      <w:tblPr>
        <w:tblW w:w="2085" w:type="dxa"/>
        <w:jc w:val="left"/>
        <w:tblInd w:w="0" w:type="dxa"/>
        <w:tblCellMar>
          <w:top w:w="28" w:type="dxa"/>
          <w:left w:w="28" w:type="dxa"/>
          <w:bottom w:w="28" w:type="dxa"/>
          <w:right w:w="28" w:type="dxa"/>
        </w:tblCellMar>
      </w:tblPr>
      <w:tblGrid>
        <w:gridCol w:w="665"/>
        <w:gridCol w:w="584"/>
        <w:gridCol w:w="836"/>
      </w:tblGrid>
      <w:tr>
        <w:trPr/>
        <w:tc>
          <w:tcPr>
            <w:tcW w:w="66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Paul Sykes</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Sykes</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0001801602/000114036122019634/ny20001241x31_424b3.htm" TargetMode="External"/><Relationship Id="rId6" Type="http://schemas.openxmlformats.org/officeDocument/2006/relationships/hyperlink" Target="https://www.sec.gov/ix?doc=/Archives/edgar/data/0001801602/000114036122023538/brhc10038924_8k.htm" TargetMode="External"/><Relationship Id="rId7" Type="http://schemas.openxmlformats.org/officeDocument/2006/relationships/hyperlink" Target="https://www.sec.gov/ix?doc=/Archives/edgar/data/0001801602/000114036122023538/brhc10038924_8k.htm" TargetMode="External"/><Relationship Id="rId8" Type="http://schemas.openxmlformats.org/officeDocument/2006/relationships/hyperlink" Target="https://www.sec.gov/Archives/edgar/data/1801602/000180160222000048/form8-kaxl1restructure.htm" TargetMode="External"/><Relationship Id="rId9" Type="http://schemas.openxmlformats.org/officeDocument/2006/relationships/hyperlink" Target="https://www.sec.gov/Archives/edgar/data/1801602/000095010321002403/dp146234_8k.htm" TargetMode="External"/><Relationship Id="rId10" Type="http://schemas.openxmlformats.org/officeDocument/2006/relationships/hyperlink" Target="https://www.sec.gov/ix?doc=/Archives/edgar/data/0001801602/000114036122023538/brhc10038924_8k.htm" TargetMode="External"/><Relationship Id="rId11" Type="http://schemas.openxmlformats.org/officeDocument/2006/relationships/hyperlink" Target="https://www.sec.gov/ix?doc=/Archives/edgar/data/0001801602/000114036122023538/brhc10038924_8k.htm" TargetMode="External"/><Relationship Id="rId12" Type="http://schemas.openxmlformats.org/officeDocument/2006/relationships/hyperlink" Target="https://www.sec.gov/ix?doc=/Archives/edgar/data/0001801602/000114036121037117/ny20001241x1_8k.htm" TargetMode="External"/><Relationship Id="rId13" Type="http://schemas.openxmlformats.org/officeDocument/2006/relationships/hyperlink" Target="https://www.sec.gov/ix?doc=/Archives/edgar/data/0001801602/000114036122017112/ny20001241x18_8k.htm" TargetMode="External"/><Relationship Id="rId14" Type="http://schemas.openxmlformats.org/officeDocument/2006/relationships/hyperlink" Target="https://www.sec.gov/ix?doc=/Archives/edgar/data/0001801602/000114036122023538/brhc10038924_8k.htm" TargetMode="External"/><Relationship Id="rId15" Type="http://schemas.openxmlformats.org/officeDocument/2006/relationships/hyperlink" Target="https://www.sec.gov/ix?doc=/Archives/edgar/data/0001801602/000114036122023538/brhc10038924_8k.htm" TargetMode="External"/><Relationship Id="rId16" Type="http://schemas.openxmlformats.org/officeDocument/2006/relationships/hyperlink" Target="https://www.sec.gov/ix?doc=/Archives/edgar/data/0001801602/000114036122023538/brhc10038924_8k.htm" TargetMode="External"/><Relationship Id="rId17" Type="http://schemas.openxmlformats.org/officeDocument/2006/relationships/hyperlink" Target="https://www.sec.gov/ix?doc=/Archives/edgar/data/0001801602/000114036122023538/brhc10038924_8k.htm" TargetMode="External"/><Relationship Id="rId18" Type="http://schemas.openxmlformats.org/officeDocument/2006/relationships/hyperlink" Target="https://www.sec.gov/ix?doc=/Archives/edgar/data/0001801602/000114036122017112/ny20001241x18_8k.htm" TargetMode="External"/><Relationship Id="rId19" Type="http://schemas.openxmlformats.org/officeDocument/2006/relationships/hyperlink" Target="https://www.sec.gov/ix?doc=/Archives/edgar/data/0001801602/000114036122017112/ny20001241x18_8k.htm" TargetMode="External"/><Relationship Id="rId20" Type="http://schemas.openxmlformats.org/officeDocument/2006/relationships/hyperlink" Target="https://www.sec.gov/ix?doc=/Archives/edgar/data/0001801602/000114036122026731/ny20004755x1_s1.htm" TargetMode="External"/><Relationship Id="rId21" Type="http://schemas.openxmlformats.org/officeDocument/2006/relationships/hyperlink" Target="https://www.sec.gov/Archives/edgar/data/1801602/000180160222000048/form8-kaxl1restructure.htm" TargetMode="External"/><Relationship Id="rId22" Type="http://schemas.openxmlformats.org/officeDocument/2006/relationships/hyperlink" Target="https://www.sec.gov/Archives/edgar/data/1801602/000180160222000058/form8-kxl12ndamendment.htm" TargetMode="External"/><Relationship Id="rId23" Type="http://schemas.openxmlformats.org/officeDocument/2006/relationships/hyperlink" Target="https://www.sec.gov/ix?doc=/Archives/edgar/data/0001801602/000114036122023538/brhc10038924_8k.htm" TargetMode="External"/><Relationship Id="rId24" Type="http://schemas.openxmlformats.org/officeDocument/2006/relationships/hyperlink" Target="https://www.sec.gov/Archives/edgar/data/1801602/000114036122030522/brhc10040996_s8.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51</Pages>
  <Words>87170</Words>
  <CharactersWithSpaces>558957</CharactersWithSpaces>
  <Paragraphs>3486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