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160" w:right="940" w:hanging="3212"/>
        <w:spacing w:after="0" w:line="476" w:lineRule="auto"/>
        <w:tabs>
          <w:tab w:leader="none" w:pos="116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 ended March 31, 2022</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19"/>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TUATARA CAPITAL ACQUISITION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34"/>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655 Third Avenue, 8th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(917) 460-7522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(Issuer’s telephone number)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2"/>
        </w:trPr>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TCAC</w:t>
            </w:r>
          </w:p>
        </w:tc>
        <w:tc>
          <w:tcPr>
            <w:tcW w:w="20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share</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TCACW</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exercisable for one Class A ordinary share at an</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exercise price of $11.50</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rPr>
              <w:t>Units, each consisting of one Class A ordinary</w:t>
            </w:r>
          </w:p>
        </w:tc>
        <w:tc>
          <w:tcPr>
            <w:tcW w:w="3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TCACU</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share and one-half of one redeemable warrant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16, 2022, there were 20,000,000 Class A ordinary shares, $0.0001 par value and 5,000,000 Class B ordinary shares,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TUATARA CAPITAL ACQUISITION CORPORATION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40" w:type="dxa"/>
            <w:vAlign w:val="bottom"/>
            <w:gridSpan w:val="9"/>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FORM 10-Q FOR THE THREE MONTHS ENDED MARCH 31, 2022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8"/>
        </w:trPr>
        <w:tc>
          <w:tcPr>
            <w:tcW w:w="10440" w:type="dxa"/>
            <w:vAlign w:val="bottom"/>
            <w:gridSpan w:val="19"/>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40" w:type="dxa"/>
            <w:vAlign w:val="bottom"/>
            <w:gridSpan w:val="19"/>
          </w:tcPr>
          <w:p>
            <w:pPr>
              <w:ind w:left="380"/>
              <w:spacing w:after="0"/>
              <w:rPr>
                <w:sz w:val="20"/>
                <w:szCs w:val="20"/>
                <w:color w:val="auto"/>
              </w:rPr>
            </w:pPr>
            <w:r>
              <w:rPr>
                <w:rFonts w:ascii="Times New Roman" w:cs="Times New Roman" w:eastAsia="Times New Roman" w:hAnsi="Times New Roman"/>
                <w:sz w:val="18"/>
                <w:szCs w:val="18"/>
                <w:color w:val="auto"/>
              </w:rPr>
              <w:t>Item 1. Interim 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80" w:type="dxa"/>
            <w:vAlign w:val="bottom"/>
            <w:shd w:val="clear" w:color="auto" w:fill="CCEEFF"/>
          </w:tcPr>
          <w:p>
            <w:pPr>
              <w:spacing w:after="0"/>
              <w:rPr>
                <w:sz w:val="15"/>
                <w:szCs w:val="15"/>
                <w:color w:val="auto"/>
              </w:rPr>
            </w:pPr>
          </w:p>
        </w:tc>
        <w:tc>
          <w:tcPr>
            <w:tcW w:w="100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(unaudited) and December 31, 2021</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100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2022 and 2021 (unaudited)</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5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Shareholders’ (Deficit) Equity for three months ended March 31, 2022 and 2021</w:t>
            </w:r>
          </w:p>
        </w:tc>
        <w:tc>
          <w:tcPr>
            <w:tcW w:w="4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10060" w:type="dxa"/>
            <w:vAlign w:val="bottom"/>
            <w:gridSpan w:val="18"/>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2022 and 2021 (unaudited)</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40" w:type="dxa"/>
            <w:vAlign w:val="bottom"/>
            <w:gridSpan w:val="19"/>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40" w:type="dxa"/>
            <w:vAlign w:val="bottom"/>
            <w:gridSpan w:val="19"/>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40" w:type="dxa"/>
            <w:vAlign w:val="bottom"/>
            <w:gridSpan w:val="19"/>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4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40" w:type="dxa"/>
            <w:vAlign w:val="bottom"/>
            <w:gridSpan w:val="19"/>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40" w:type="dxa"/>
            <w:vAlign w:val="bottom"/>
            <w:gridSpan w:val="19"/>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40" w:type="dxa"/>
            <w:vAlign w:val="bottom"/>
            <w:gridSpan w:val="19"/>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40" w:type="dxa"/>
            <w:vAlign w:val="bottom"/>
            <w:gridSpan w:val="19"/>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40" w:type="dxa"/>
            <w:vAlign w:val="bottom"/>
            <w:gridSpan w:val="19"/>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40" w:type="dxa"/>
            <w:vAlign w:val="bottom"/>
            <w:gridSpan w:val="19"/>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40" w:type="dxa"/>
            <w:vAlign w:val="bottom"/>
            <w:gridSpan w:val="19"/>
          </w:tcPr>
          <w:p>
            <w:pPr>
              <w:ind w:left="380"/>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398"/>
        </w:trPr>
        <w:tc>
          <w:tcPr>
            <w:tcW w:w="3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0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Interim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TUATARA CAPITAL ACQUISITION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621,472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259,939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666,282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200,038,604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200,035,810</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200,704,886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200,917,221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1,555,405</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offering costs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2,360,110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5,278,400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9,440,000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14,638,510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18,103,405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20,000,000 shares at $10.00 per share at March 31, 2022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shares authorized; none issued or outstanding at March 31, 2022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12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-0- shares issued and outstanding at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2022 and December 31, 2021 (excluding 20,000,000 Class A ordinary shares subject to possible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5,000,000 shares issued and outstanding at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2022 and December 31, 2021</w:t>
            </w:r>
          </w:p>
        </w:tc>
        <w:tc>
          <w:tcPr>
            <w:tcW w:w="100" w:type="dxa"/>
            <w:vAlign w:val="bottom"/>
          </w:tcPr>
          <w:p>
            <w:pPr>
              <w:spacing w:after="0"/>
              <w:rPr>
                <w:sz w:val="20"/>
                <w:szCs w:val="20"/>
                <w:color w:val="auto"/>
              </w:rPr>
            </w:pPr>
          </w:p>
        </w:tc>
        <w:tc>
          <w:tcPr>
            <w:tcW w:w="12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(13,934,124)</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(17,186,684)</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(13,933,624</w:t>
            </w:r>
          </w:p>
        </w:tc>
        <w:tc>
          <w:tcPr>
            <w:tcW w:w="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(17,186,184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200,704,886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200,917,221</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TUATARA CAPITAL ACQUISITION CORPORATION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911,834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(911,834)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(95,578)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4,161,600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1,280,000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costs allocated to warrant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(853,386)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securities held in Trust Account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5,788</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4,164,394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(1,967,598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3,252,560</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(2,063,176)</w:t>
            </w: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 Class A ordinary shares</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20,000,000</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9,333,333</w:t>
            </w: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 Class A ordinary shares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 Class B ordinary shares</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4,666,667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 Class B ordinary shares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left="340" w:right="1300"/>
        <w:spacing w:after="0" w:line="27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CONDENSED CONSOLIDATED STATEMENTS OF CHANGES IN SHAREHOLDERS’ EQUITY (DEFICIT) (UNAUDITED)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(17,186,684)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(17,186,184)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3,252,560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3,252,560</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(13,934,124)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(13,933,624)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5"/>
        </w:trPr>
        <w:tc>
          <w:tcPr>
            <w:tcW w:w="8700" w:type="dxa"/>
            <w:vAlign w:val="bottom"/>
            <w:gridSpan w:val="9"/>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620" w:type="dxa"/>
            <w:vAlign w:val="bottom"/>
          </w:tcPr>
          <w:p>
            <w:pPr>
              <w:spacing w:after="0"/>
              <w:rPr>
                <w:sz w:val="24"/>
                <w:szCs w:val="24"/>
                <w:color w:val="auto"/>
              </w:rPr>
            </w:pPr>
          </w:p>
        </w:tc>
        <w:tc>
          <w:tcPr>
            <w:tcW w:w="27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5,031,250</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(31,250)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Class A ordinary shares to redemption amount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(24,888,973)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(24,913,470)</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(2,063,176)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(2,063,176)</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(26,957,210)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(26,956,710)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TUATARA CAPITAL ACQUISITION CORPORATION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3,252,560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(2,063,176)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securities held in Trust Account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(4,161,600)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allocated to warrants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853,386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(495,423)</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696,705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(204,884)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(547,037)</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(200,000,000)</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(200,000,000)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196,000,000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Private Placements Warrants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(574,672)</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201,175,328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(204,884)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628,291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621,472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416,588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814,043</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Tuatara Capital Acquisition Corporation (the “Company”) was incorporated in the Cayman Islands on January 24, 2020. The Company was formed for the purpose of effecting a merger, amalgamation, share exchange, asset acquisition, share purchase, reorganization or similar business combination with one or more businesses (the “Business Combination”).</w:t>
      </w:r>
    </w:p>
    <w:p>
      <w:pPr>
        <w:spacing w:after="0" w:line="176"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While the Company is not limited to a particular industry or geographic region for purposes of consummating a Business Combination, the Company intends to focus its search for businesses in the cannabis industry that are compliant with all applicable laws and regulations within the jurisdictions in which they are located or operate. The Company is an early stage and emerging growth company and, as such, the Company is subject to all of the risks associated with early stage and emerging growth companies.</w:t>
      </w:r>
    </w:p>
    <w:p>
      <w:pPr>
        <w:spacing w:after="0" w:line="180"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not commenced any operations. All activity through March 31, 2022 relates to the Company’s formation, initial public offering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February 11, 2021. On February 17, 2021, the Company consummated the Initial Public Offering of 20,000,000 units (the “Units” and, with respect to the Class A ordinary shares included in the Units sold, the “Public Shares”), which includes the partial exercise by the underwriter of its over-allotment option in the amount of 2,500,000 Units, at $10.00 per Unit, generating gross proceeds of $200,000,000 which is described in Note 3.</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8, 2021, we entered into an Agreement and Plan of Merger (as it may be amended, supplemented or otherwise modified from time to time, the “Merger Agreement”), by and among us, HighJump Merger Sub, Inc., a Delaware corporation (“Merger Sub”) wholly owned by the Company, and SpringBig. The Merger Agreement and the transactions contemplated thereby were approved by the boards of directors of each of TCAC and SpringBig.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w:t>
      </w:r>
    </w:p>
    <w:p>
      <w:pPr>
        <w:spacing w:after="0" w:line="22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6,000,000 warrants (the “Private Placement Warrants”) at a price of $1.00 per Private Placement Warrant in a private placement to TCAC Sponsor, LLC (the “Sponsor”), generating gross proceeds of $6,000,000, which is described in Note 4.</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 costs amounted to $11,766,856, consisting of $4,000,000 in cash underwriting fees, $7,000,000 of deferred underwriting fees and $766,856 of other offering costs.</w:t>
      </w:r>
    </w:p>
    <w:p>
      <w:pPr>
        <w:spacing w:after="0" w:line="162" w:lineRule="exact"/>
        <w:rPr>
          <w:sz w:val="20"/>
          <w:szCs w:val="20"/>
          <w:color w:val="auto"/>
        </w:rPr>
      </w:pPr>
    </w:p>
    <w:p>
      <w:pPr>
        <w:jc w:val="both"/>
        <w:ind w:right="40" w:firstLine="324"/>
        <w:spacing w:after="0" w:line="274" w:lineRule="auto"/>
        <w:rPr>
          <w:sz w:val="20"/>
          <w:szCs w:val="20"/>
          <w:color w:val="auto"/>
        </w:rPr>
      </w:pPr>
      <w:r>
        <w:rPr>
          <w:rFonts w:ascii="Times New Roman" w:cs="Times New Roman" w:eastAsia="Times New Roman" w:hAnsi="Times New Roman"/>
          <w:sz w:val="17"/>
          <w:szCs w:val="17"/>
          <w:color w:val="auto"/>
        </w:rPr>
        <w:t>Following the closing of the Initial Public Offering on February 17, 2021, an amount of $200,000,000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funds held in the Trust Account, as described below.</w:t>
      </w:r>
    </w:p>
    <w:p>
      <w:pPr>
        <w:spacing w:after="0" w:line="173"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 rules of the stock exchange that the Company will list its securities on will require that the Company’s initial Business Combination must be with one or more target businesses that together have an aggregate fair market value of at least 80% of the assets held in the Trust Account (as defined below) (excluding the deferred underwriting commissions and taxes payable on the income earned on the Trust Account) at the time of the agreement to enter into the initial Business Combination. The Company will only complete a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complete a Business Combination successfully.</w:t>
      </w:r>
    </w:p>
    <w:p>
      <w:pPr>
        <w:spacing w:after="0" w:line="188"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will provide the holders of its issued and outstanding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public shareholders will be entitled to redeem their Public Shares for a pro rata portion of the amount then in the Trust Account (initially $10.00 per Public Share, plus any pro rata interest earned on the funds held in the Trust Account and not previously released to the Company to its tax obligations), calculated as of two business days prior to the completion of the Business Combination. The per-share amount to be distributed to Public Shareholders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of at least $5,000,001 upon such consummation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applicable by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applicable law or stock exchange listing requirements,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officers and directors (the “initial shareholders”) have agreed to vote any Founder Shares (as defined in Note 5) and Public Shares held by them in favor of approving a Business Combination. Additionally, each public shareholder may elect to redeem their Public Shares, without voting, and if they do vote, irrespective of whether they vote for or against a Business Combination.</w:t>
      </w:r>
    </w:p>
    <w:p>
      <w:pPr>
        <w:spacing w:after="0" w:line="190"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 Business Combination and it does not conduct redemptions pursuant to the tender offer rules,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spacing w:after="0" w:line="183"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to waive: (i) their redemption rights with respect to any Founder Shares and Public Shares held by them in connection with the completion of the Company’s initial Business Combination (and not seek to sell its shares to the Company in any tender offer the Company undertakes in connection with its initial Business Combination) and (ii) their redemption rights with respect to their Founder Shares and any Public Shares held by them in connection with a shareholder vote to approve an amendment to the Company’s Amended and Restated Memorandum and Articles of Association (A) to modify the substance or timing of the Company’s obligation to allow redemption in connection with its initial Business Combination or to redeem 100% of the Public Shares if the Company does not complete its initial Business Combination within 24 months from the closing of the Initial Public Offering or (B) with respect to any other provision relating to shareholders’ rights or pre-initial business combination activity.</w:t>
      </w:r>
    </w:p>
    <w:p>
      <w:pPr>
        <w:spacing w:after="0" w:line="189" w:lineRule="exact"/>
        <w:rPr>
          <w:sz w:val="20"/>
          <w:szCs w:val="20"/>
          <w:color w:val="auto"/>
        </w:rPr>
      </w:pPr>
    </w:p>
    <w:p>
      <w:pPr>
        <w:jc w:val="both"/>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will have until February 17, 2023 to complete a Business Combination (the “Combination Period”). 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per-share value of the assets remaining available for distribution will be less than the Initial Public Offering price per Unit ($10.00).</w:t>
      </w:r>
    </w:p>
    <w:p>
      <w:pPr>
        <w:spacing w:after="0" w:line="189" w:lineRule="exact"/>
        <w:rPr>
          <w:sz w:val="20"/>
          <w:szCs w:val="20"/>
          <w:color w:val="auto"/>
        </w:rPr>
      </w:pPr>
    </w:p>
    <w:p>
      <w:pPr>
        <w:jc w:val="both"/>
        <w:ind w:right="40" w:firstLine="324"/>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(except for the Company’s the independent registered public accounting firm) for services rendered or products sold to the Company, or a prospective target business with which the Company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ectPr>
          <w:pgSz w:w="11900" w:h="16838" w:orient="portrait"/>
          <w:cols w:equalWidth="0" w:num="1">
            <w:col w:w="11240"/>
          </w:cols>
          <w:pgMar w:left="320" w:top="115"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$416,588 in its operating bank account and a working capital deficit of $1,693,828. In order to finance transaction costs in connection with a Business Combination, the Sponsor or an affiliate of the Sponsor, or certain of the Company’s officers and directors may, but are not obligated to, provide the Company Working Capital Loans (as defined below) (see Note 5). As of March 31, 2022 and December 31, 2021, there were no amounts outstanding under any Working Capital Loans.</w:t>
      </w:r>
    </w:p>
    <w:p>
      <w:pPr>
        <w:spacing w:after="0" w:line="180"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The Company intends to complete a Business Combination by February 17, 2023.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0"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February 17,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intends to complete the Business Combination prior to the termination date. No adjustments have been made to the carrying amounts of assets or liabilities should the Company be required to liquidate after February 17,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accordance with the instructions to Form 10-Q and Article 8 of Regulation S-X of the Security and Exchange Commission (“SEC”).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Company’s Annual Report on Form 10-K as filed with the SEC on March 9, 2022. The interim results for the three months ended March 31, 2022 are not necessarily indicative of the results to be expected for the year ending December 31, 2022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unaudited condensed consolidated financial statements is the determination of the fair value of the warrant liability. Accordingly, the actual results could differ significantly from those estimates.</w:t>
      </w:r>
    </w:p>
    <w:p>
      <w:pPr>
        <w:sectPr>
          <w:pgSz w:w="11900" w:h="16838" w:orient="portrait"/>
          <w:cols w:equalWidth="0" w:num="1">
            <w:col w:w="11240"/>
          </w:cols>
          <w:pgMar w:left="320" w:top="115" w:right="339"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March 31,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Offering costs consist of legal, accounting, underwriting fees and other costs incurred through the condensed consolidated balance sheet date that are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Class A ordinary shares issued were initially charged to temporary equity and then accreted to ordinary shares subject to redemption upon the completion of the Initial Public Offering. Offering costs amounted to $11,766,856, of which $10,913,470 were charged to temporary equity upon the completion of the Initial Public Offering and $853,386 were expensed to the condensed consolidated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229"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Accounting Standards Codification (“ASC”) Topic 480, “Distinguishing Liabilities from Equity.” Shares of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the Company’s control) is classified as temporary equity. At all other times, ordinary shares is classified as shareholders’ equity. The Company’s Class A ordinary shares features certain redemption rights that are considered to be outside of the Company’s control and subject to occurrence of uncertain future events. Accordingly, at March 31, 2022 and December 31, 2021 there were 20,000,000, Class A ordinary shares subject to possible redemption are presented as temporary equity, outside of the shareholders’ equity (deficit) section of the Company’s condensed consolidated balance sheets.</w:t>
      </w:r>
    </w:p>
    <w:p>
      <w:pPr>
        <w:spacing w:after="0" w:line="19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80"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Class A ordinary shares reflected in the condensed consolidated balance sheets are reconciled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(14,000,000)</w:t>
            </w: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(10,913,470)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24,913,470</w:t>
            </w:r>
          </w:p>
        </w:tc>
        <w:tc>
          <w:tcPr>
            <w:tcW w:w="100" w:type="dxa"/>
            <w:vAlign w:val="bottom"/>
          </w:tcPr>
          <w:p>
            <w:pPr>
              <w:spacing w:after="0"/>
              <w:rPr>
                <w:sz w:val="19"/>
                <w:szCs w:val="19"/>
                <w:color w:val="auto"/>
              </w:rPr>
            </w:pPr>
          </w:p>
        </w:tc>
      </w:tr>
      <w:tr>
        <w:trPr>
          <w:trHeight w:val="257"/>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2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The Company accounts for the Warrants in accordance with the guidance contained in ASC 815-40 under which the Warrants do not meet the criteria for equity treatment and must be recorded as liabilities. Accordingly, the Company classifies the Warrants as liabilities at their fair value and adjust the Warrants to fair value at each reporting period. This liability is subject to re-measurement at each balance sheet date until exercised, and any change in fair value is recognized in our statement of operations. The Private Warrants and Public Warrants for periods where no observable traded price was available are valued using a Monte Carlo simulation model, specifically a binomial lattice. For periods subsequent to the detachment of the Public Warrants from the Units, the Public Warrant quoted market price was used as the fair value as of each relevant date for both Public Warrants and Private Placement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March 31, 2022 and December 31, 2021,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sectPr>
          <w:pgSz w:w="11900" w:h="16838" w:orient="portrait"/>
          <w:cols w:equalWidth="0" w:num="1">
            <w:col w:w="11240"/>
          </w:cols>
          <w:pgMar w:left="320" w:top="115" w:right="339" w:bottom="714"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14"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Financial Accounting Standards Board Accounting Standards Codification Topic 260, “Earnings Per Share”. Net income (loss) per ordinary share is computed by dividing net income (loss) by the weighted average number of ordinary shares outstanding for the period. We have two classes of shares, which are referred to as Class A ordinary shares and Class B ordinary shares. Income and losses are shared pro rata between the two classes of shares. This presentation assumes a business combination as the most likely outcome. Accretion associated with the redeemable shares of Class A ordinary shares is excluded from earnings per share as the redemption value approximates fair value.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16,000,000 Class A ordinary shares in the aggregate. As of March 31, 2022 and 2021, the Company did not have any dilutive securities or other contracts that could, potentially, be exercised or converted into ordinary shares and then share in the earnings of the Company. As a result, diluted net loss per ordinary share and basic net loss per ordinary share for the periods presented are not the same and are separately stated.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ordinary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9"/>
                <w:szCs w:val="19"/>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Basic net income (loss) per ordinary share</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 of net income (loss), as adjusted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2,602,048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650,512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(1,375,451)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(687,725)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9,333,333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4,666,667</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ordinary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The Company has not experienced losses on these accounts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warrant liability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Accounting Standards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are currently assessing the impact, if any, that ASU 2020-06 would have on our financial position, results of operations or cash flows.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unaudited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20,000,000 Units, which includes a partial exercise by the underwriters of their overallotment option in the amount of 2,500,000 Units, at a price of $10.00 per Unit. Each Unit consists of one Class A ordinary share and one-half of one redeemable warrant (“Public Warrant”). Each whole Public Warrant entitles the holder to purchase one Class A ordinary share at a price of $11.50 per share, subject to adjustment (see Note 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6,000,000 Private Placement Warrants at a price of $1.00 per Private Placement Warrant, for an aggregate purchase price of $6,000,000, in a private placement.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of the sale of the Private Placement Warrants will be used to fund the redemption of the Public Shares (subject to the requirements of applicable law), and the Private Placement Warrants will expire worthless. Due to the excess of the fair value of the Private Placement warrants in excess of the purchase price, the Company recorded an expense of $2,400,000 for the three months ended March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10, 2020, the Company issued 5,750,000 Class B ordinary shares to the Sponsor for an aggregate purchase price of $25,000 (the “Founder Shares”). On January 26, 2021, the Sponsor returned 1,437,500 Founder Shares to the Company, which were canceled, resulting in an aggregate of 4,312,500 Founder Shares outstanding. On February 3, 2021, the Sponsor transferred 50,000 Founder Shares to Mr. Taney, 40,000 Founder Shares to Mr. Bornstein and 40,000 Founder Shares to Mr. Kekedjian for the same per share purchase price paid by the Sponsor. On February 11, 2021, the Company effected a share capitalization pursuant to which an additional 718,750 Founder Shares were issued, resulting in an aggregate of 5,031,250 Founder Shares outstanding. On August 27, 2021 the Sponsor transferred 40,000 Founders Shares to Mr. Finkelman. The Founder Shares included an aggregate of up to 656,250 shares that were subject to forfeiture to the extent that the underwriters’ over-allotment option was not exercised in full or in part, so that the number of Founder Shares would equal 20% of the Company’s issued and outstanding ordinary shares after the Initial Public Offering. As a result of the underwriters’ election to partially exercise their over-allotment option and the expiration of the remaining over-allotment option, a total of 625,000 shares is no longer subject to forfeiture and 31,250 shares were forfeited, resulting in an aggregate of 5,000,000 Founder Shares issued and outstanding as of March 31, 2022 and December 31, 2021.</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on the first business day following the completion of a Business Combination on a one-for-one basis, subject to adjustments as described in Note 7.</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subject to limited exceptions, not to transfer, assign or sell any Founder Shares they hold until the earlier to occur of (i) one year after the completion of the Company’s Business Combination and (ii) subsequent to a Business Combination, (x) if the last reported sale price of the Company’s Class A ordinary shares equals or exceeds $12.00 per share (as adjusted for share splits, share dividends, rights issuances, subdivisions, reorganizations, recapitalizations and the like) for any 20 trading days within any 30-trading day period commencing at least 150 days after the Company’s Business Combination or (y) the date on which the Company completes a liquidation, merger, amalgamation, share exchange, reorganization or other similar transaction that results in all of the Company’s public shareholders having the right to exchange their Class A ordinary shares for cash, securities or other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commencing on February 11, 2021, pursuant to which it will pay the Sponsor up to $10,000 per month for office space, administrative and support services. Upon completion of a Business Combination or its liquidation, the Company will cease paying these monthly fees. For the three months ended March 31, 2022 and 2021, the Company incurred $30,000 and $20,000 in fees for these services, of which such amount is included in accounts payable and accrued expenses in the accompanying condensed consolidated balance sheets as of March 31, 2022 and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10, 2020, the Company issued the Promissory Note to the Sponsor, pursuant to which the Company may borrow up to an aggregate principal amount of $250,000, which was amended in January 2021. The Promissory Note is non-interest bearing and payable on the earlier of (i) June 30, 2021 or (ii) the completion of the Initial Public Offering. The Promissory Note balance of $250,000 was repaid on February 17, 2021.</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The Working Capital Loans would either be repaid upon consummation of a Business Combination or, at the lender’s discretion, up to $1,500,000 of such Working Capital Loans may be convertible into warrants of the post- Business Combination entity at a price of $1.00 per warrant. Such warrants would be identical to the Private Placement Warrants. Except for the foregoing, the terms of such Working Capital Loans, if any, have not been determined and no written agreements exist with respect to such loans. As of March 31, 2022 and December 31, 2021, there were no amounts outstanding under the Working Capital Loans.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condensed consolidated financial statements. The condensed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February 11, 2021, the holders of the Founder Shares, Private Placement Warrants and any warrants that may be issued upon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to be signed prior to or on the effective date of the Initial Public Offering requiring the Company to register such securities for resale.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granted the underwriters a 45-day option from the date of the Initial Public Offering to purchase up to 2,625,000 additional Units to cover over-allotments, if any, at the Initial Public Offering price less the underwriting discounts and commissions. As a result of the underwriters’ election to partially exercise the over-allotment option, the underwriters’ purchased an additional 2,500,000 Units and forfeited their option to purchase an additional 125,000 Units.</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$7,000,000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76"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On May 13, 2021, the Company received notification from J.P. Morgan Securities (“J.P. Morgan”), one the underwriters who participated in the Company’s Initial Public Offering, pursuant to which J.P. Morgan waived its right to the portion of the deferred underwriting fee owed to them in the amount of $4,200,000. Aside from general dialogue between representatives of Tuatara and J.P. Morgan (and other investment banking professionals) about sourcing targets and broader SPAC market conditions in the ordinary course, J.P. Morgan did not participate in any respect in the Company’s Business Combination process, and the Company has no contractual arrangement with J.P. Morgan in that regard.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8, 2021, Tuatara Capital Acquisition Corporation (“TCAC”) entered into an Agreement and Plan of Merger (as it may be amended, supplemented or otherwise modified from time to time, the “Merger Agreement”), by and among TCAC, HighJump Merger Sub, Inc., a Delaware corporation (“Merger Sub”) wholly owned by the Company, and SpringBig, Inc., a Delaware corporation (“SpringBig”). The Merger Agreement was subsequently amended and restated on April 14, 2022 and further amended on May 4, 2022. See Note 10 “Subsequent Events” for further details.</w:t>
      </w:r>
    </w:p>
    <w:p>
      <w:pPr>
        <w:spacing w:after="0" w:line="180"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7"/>
          <w:szCs w:val="17"/>
          <w:color w:val="auto"/>
        </w:rPr>
        <w:t>The Merger Agreement provides for, among other things, the following transactions on or prior to the closing date: (i) TCAC will become a Delaware corporation (the “Domestication”) and, in connection with the Domestication, (A) TCAC’s name will be changed as mutually agreed to between the parties,</w:t>
      </w:r>
    </w:p>
    <w:p>
      <w:pPr>
        <w:spacing w:after="0" w:line="1" w:lineRule="exact"/>
        <w:rPr>
          <w:sz w:val="20"/>
          <w:szCs w:val="20"/>
          <w:color w:val="auto"/>
        </w:rPr>
      </w:pPr>
    </w:p>
    <w:p>
      <w:pPr>
        <w:jc w:val="both"/>
        <w:ind w:firstLine="8"/>
        <w:spacing w:after="0" w:line="252" w:lineRule="auto"/>
        <w:tabs>
          <w:tab w:leader="none" w:pos="2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then-issued and outstanding TCAC Class A Ordinary Share will convert automatically, on a one-for-one basis, into one share of common stock of TCAC (the “New SpringBig Common Stock”), (C) each then-issued and outstanding TCAC Class B Ordinary Share will convert automatically, on a one-for-one basis, into one share of New SpringBig Common Stock, and (D) each then-issued and outstanding common warrant of TCAC will convert automatically, on a one-for-one basis, into a warrant to purchase one share of New SpringBig Common Stock; and (ii) following the Domestication, Merger Sub will merge with and into SpringBig, with SpringBig as the surviving company in the merger and, after giving effect to such merger, continuing as a wholly-owned subsidiary of TCAC (the “Merger”).</w:t>
      </w:r>
    </w:p>
    <w:p>
      <w:pPr>
        <w:spacing w:after="0" w:line="19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in mid-2022, following the receipt of the required approval by TCAC’s shareholders, required regulatory approvals and the fulfillment of other customary closing conditions.</w:t>
      </w:r>
    </w:p>
    <w:p>
      <w:pPr>
        <w:sectPr>
          <w:pgSz w:w="11900" w:h="16838" w:orient="portrait"/>
          <w:cols w:equalWidth="0" w:num="1">
            <w:col w:w="11240"/>
          </w:cols>
          <w:pgMar w:left="320" w:top="116" w:right="339" w:bottom="0" w:gutter="0" w:footer="0" w:header="0"/>
        </w:sectPr>
      </w:pPr>
    </w:p>
    <w:p>
      <w:pPr>
        <w:spacing w:after="0" w:line="3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3" w:name="page14"/>
    <w:bookmarkEnd w:id="13"/>
    <w:p>
      <w:pPr>
        <w:ind w:left="66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based on an implied equity value of $215 million, (i) each share of SpringBig common stock (other than dissenting shares) will be canceled and converted into the right to receive the applicable portion of the merger consideration comprised of New SpringBig Common Stock, as determined in the Merger Agreement (the “Share Conversion Ratio”), and (ii) vested and unvested options of SpringBig outstanding and unexercised immediately prior to the effective time of the Merger will convert into comparable options that are exercisable for shares of New SpringBig Common Stock, with a value determined in accordance with the Share Conversion Ratio.</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the aggregate consideration payable to the SpringBig’s securityholders pursuant to the Merger Agreement, holders of SpringBig’s common stock (including those holders of converted preferred stock of SpringBig) and holders of options of SpringBig’s common stock will also have the right to receive their pro rata portion of up to an aggregate of 10,500,000 shares of New SpringBig Common Stock (“Contingent Shares”) if any of the following stock price conditions are met: (i) 7,000,000 Contingent Shares if the closing price of New SpringBig Common Stock equals or exceeds $12.00 per share (as adjusted for share splits, share dividends, reorganizations, and recapitalizations) on any twenty (20) trading days in a thirty (30)-trading-day period at any time after the closing date and by the third anniversary of the closing date; (ii) 2,250,000 Contingent Shares if the closing price of New SpringBig Common Stock equals or exceeds $15.00 per share (as adjusted for share splits, share dividends, reorganizations, and recapitalizations) on any twenty (20) trading days in a thirty (30)-trading-day period at any time after the closing date and by the third anniversary of the closing date; and (iii) 1,250,000 Contingent Shares if the closing price of the New SpringBig Common Stock equals or exceeds $18.00 per share (as adjusted for share splits, share dividends, reorganizations, and recapitalizations) on any twenty (20) trading days in a thirty (30)-trading-day period at any time after the closing date and by the third anniversary of the closing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 (Private Placement)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signing of the Merger Agreement, TCAC entered into subscription agreements (the “Subscription Agreements”) with certain investors (the “PIPE Investors”). Pursuant to the Subscription Agreements, the PIPE Investors agreed to subscribe for and purchase, and TCAC agreed to issue and sell to such investors, on the closing date, an aggregate of 1,310,000 shares of New SpringBig Common Stock for a purchase price of $10.00 per share, for aggregate gross proceeds of $13,100,000 (the “PIPE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12, 2021 TCAC entered into an agreement (the “Agreement”) with Cantor Fitzgerald &amp; Co. (“CF&amp;CO) to act as a capital markets advisor in connection with the proposed business combination (the “Business Combination”) with SpringBig, Inc. CF&amp;CO acknowledges that the Company may engage additional advisors in the same capacity (together with CF&amp;CO, the “Capital Markets Advisors”), provided that CF&amp;CO will be the “lead” capital markets advisor and CF&amp;CO shall not be responsible for the actions or inactions of any other capital markets advisor. In consideration of our services pursuant to this Agreement, the Company agrees to pay CF&amp;CO a fee of $5,000,000 (the “Advisory Fee”) upon the consummation of the Business Combination (“Closing”). $2,000,000 of the Advisory Fee shall be payable in cash, and the remainder of the Advisory Fee (“Redemption Dependent Portion”) payable in cash and common stock of the Company (“Common Stock”), with the portions of each to depend on the final amount of redemptions from the Company’s trust account established for the benefit of the Company’s public stockholders (the “Trust Account”) in connection with the Business Combination.</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Subsequently to the Agreement, on February 1, 2022, TCAC entered into a second agreement (“Second Agreement”) with Cantor Fitzgerald &amp; Co. (“CF&amp;CO) to receive one or more financing(s) through the private placement, offering or other sale of equity instruments in any form, including, without limitation, (i) equity instruments in any form, including, without limitation, preferred or common equity, or instruments convertible into preferred or common equity or other related forms of interests or capital of the Company in one or a series of transactions (an “Equity Financing”) and (ii) debt in any form, including, but not limited to, bank debt, high yield debt or mezzanine debt, notes, bonds, debentures or other debt securities, of the Company in one transaction or a series of transactions (a “Debt Financing” and any Equity Financing or Debt Financing, (a “Financing”), in the cases of (i) and (ii), in connection with the business combination contemplated by the Agreement and Plan of Merger between the Company and SpringBig, Inc., dated as of November 8, 2021 (the “Business Combination,” and such agreement, the “Merger Agreement”). The Company hereby engages CF&amp;CO to act as the Company’s financial advisor, placement agent and arranger in connection with any Financing for the Business Combination. In consideration of our services pursuant to this Second Agreement, the Company agrees to pay CF&amp;CO the following compensation:</w:t>
      </w:r>
    </w:p>
    <w:p>
      <w:pPr>
        <w:spacing w:after="0" w:line="194"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Financing (which is contemplated to fund and close concurrently with the closing of the Business Combination), the Company shall pay to CF&amp;CO a non-refundable cash fee equal to 4% of the aggregate maximum gross proceeds received or receivable in connection with such Financing, including, without limitation, aggregate amounts committed by investors to purchase securities, whether or not all securities are issued on the closing date of the Equity Financing.</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aggregate amount of the fees payable to CF&amp;CO pursuant to this section 3 be less than $1,500,000.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payable pursuant to this section 3 shall be in addition to any other fees that the Company may be required to pay directly to any prospective investor to secure its financing commitment.</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the structure of a Financing contemplates multiple issuances, financing availability that is contingent upon the occurrence of some future event or any other delayed consideration structure, such Financing shall be considered a single Financing, and not multiple Financings, and all fees payable pursuant to this section 3 for such Financing shall be payable in full on the closing date of such Financing.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will be payable in U.S. dollars in immediately available funds to CF&amp;CO for its own account, or as directed by it, free and clear of and without deduction for any and all present or future applicable taxes, levies, imposts, deductions, charges or withholdings and all liabilities with respect thereto (with appropriate gross-up for withholding taxes) and will not be subject to reduction by way of setoff or counterclaim. Once paid, no fee will be refundable under any circumstances.</w:t>
      </w:r>
    </w:p>
    <w:p>
      <w:pPr>
        <w:sectPr>
          <w:pgSz w:w="11900" w:h="16838" w:orient="portrait"/>
          <w:cols w:equalWidth="0" w:num="1">
            <w:col w:w="11240"/>
          </w:cols>
          <w:pgMar w:left="320" w:top="116" w:right="339" w:bottom="795" w:gutter="0" w:footer="0" w:header="0"/>
        </w:sectPr>
      </w:pP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795" w:gutter="0" w:footer="0" w:header="0"/>
          <w:type w:val="continuous"/>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DEFICIT</w:t>
      </w:r>
    </w:p>
    <w:p>
      <w:pPr>
        <w:spacing w:after="0" w:line="225"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authorized to issue 1,000,000 preference shares with a par value of $0.0001 per share, with such designations,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and other rights and preferences as may be determined from time to time by the Company’s board of directors. At March 31, 2022 and December 31, 2021, there were no preference shares issued or outstanding.</w:t>
      </w:r>
    </w:p>
    <w:p>
      <w:pPr>
        <w:spacing w:after="0" w:line="171"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Class A ordinary shares are entitled to one vote for each share. At March 31, 2022 and December 31, 2021, there were no Class A ordinary shares issued and outstanding, excluding 20,000,000 Class A ordinary shares subject to possible redemption which are presented as temporary equity.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will vote together as a single class on all other matters submitted to a vote of shareholders, except as required by law; provided that only holders of Class B ordinary shares have the right to vote on the appointment of directors prior to the Company’s initial Business Combination and holders of a majority of the Company’s Class B ordinary shares may remove a member of the board of directors for any reason.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on the first business day following the completion of a Business Combination on a one-for-one basis, subject to adjustment. In the case that additional Class A ordinary shares, or equity-linked securities convertible or exercisable for Class A ordinary shares, are issued or deemed issued in excess of the amounts issued in the Initial Public Offering and related to the closing of a Business Combination, the ratio at which Class B ordinary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the initial Business Combination (net of redemptions), excluding any Class A ordinary shares or equity-linked securities issued, or to be issued, to any seller in a Business Combination and any private placement warrants issued to the Sponsor, an affiliate of the Sponsor or any of the Company’s officers or directors.</w:t>
      </w:r>
    </w:p>
    <w:p>
      <w:pPr>
        <w:spacing w:after="0" w:line="184"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authorized to issue 20,000,000 Class B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are entitled to one vote for each share. At March 31, 2022 and December 31, 2021, there were 5,000,000 Class B ordinary shares issued and outstanding.</w:t>
      </w:r>
    </w:p>
    <w:p>
      <w:pPr>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2022 and December 31, 2021 there were 10,000,000 Public Warrants outstanding.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underlying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the Company’s Business Combination, the Company will use its reasonable efforts to file with the SEC and have an effective registration statement covering the issuance, under the Securities Act, of the Class A ordinary shares issuable upon exercise of the warrants, and the Company will use its reasonable efforts to cause the same to become effective within 60 business days after the closing of a Business Combination and to maintain the effectiveness of such registration statement, and a current prospectus relating thereto, until the expiration of the warrants in accordance with the provisions of the warrant agreement.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 fair market value” less the exercise price of the warrants by (y) the fair market value and</w:t>
      </w:r>
    </w:p>
    <w:p>
      <w:pPr>
        <w:spacing w:after="0" w:line="2" w:lineRule="exact"/>
        <w:rPr>
          <w:sz w:val="20"/>
          <w:szCs w:val="20"/>
          <w:color w:val="auto"/>
        </w:rPr>
      </w:pPr>
    </w:p>
    <w:p>
      <w:pPr>
        <w:ind w:right="20" w:firstLine="8"/>
        <w:spacing w:after="0" w:line="260" w:lineRule="auto"/>
        <w:tabs>
          <w:tab w:leader="none" w:pos="2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0.361 Class A shares per warrant. The “fair market value” as used in the preceding sentence shall mean the volume weighted average price of the Class A ordinary shares for the 10 trading days ending on the trading day prior to the date on which the notice of exercise is received by the warrant agent.</w:t>
      </w:r>
    </w:p>
    <w:p>
      <w:pPr>
        <w:sectPr>
          <w:pgSz w:w="11900" w:h="16838" w:orient="portrait"/>
          <w:cols w:equalWidth="0" w:num="1">
            <w:col w:w="11240"/>
          </w:cols>
          <w:pgMar w:left="320" w:top="116"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ind w:left="600" w:right="2540"/>
        <w:spacing w:after="0" w:line="254"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4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$18.00—Once the warrants become exercisable, the Company may redeem the outstanding Public Warrants:</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but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warrant holder;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Class A ordinary shares for any 20 trading days within a 30 trading day period ending three business days before sending the notice of redemption to warrant holders (the “ Reference Value”) equals or exceeds $18.00 per share (as adjusted for adjustments to the number of shares issuable upon exercise or the exercise price of a warrant as described under the heading “Description of Securities—Warrants—Public Shareholders’ Redeemable Warrants—Anti-dilution Adjustments”).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but not in part;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 fair market value” of the Class A ordinary shares;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in the above adjacent to “Redemption of warrants when the price per Class A ordinary share equals or exceeds $18.00”) equals or exceeds $10.00 per share (as adjusted for adjustments to the number of shares issuable upon exercise or the exercise price of a warrant as described under the heading “Description of Securities—Warrants—Public Shareholders’ Redeemable Warrants—Anti-dilution Adjustments”);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adjustments to the number of shares issuable upon exercise or the exercise price of a warrant as described under the heading “Description of Securities—Warrants—Public Shareholders’ Redeemable Warrants—Anti-dilution Adjustments”) the private placement warrants must also be concurrently called for redemption on the same terms as the outstanding public warrants, as described above.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volume weighted average trading price of the Class A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above adjacent to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March 31, 2022 and December 31, 2021, there were 6,000,000 Private Placement Warrants outstanding. 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salable until 30 days after the completion of a Business Combination, subject to certain limited exceptions, (y) the Private Placement Warrants will be exercisable on a cashless basis and be non-redeemable (except as described above) so long as they are held by the initial purchasers or their permitted transferees and (z) the Private Placement Warrants and the Class A ordinary shares issuable upon the exercise of the Private Placement Warrants will be entitled to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ectPr>
          <w:pgSz w:w="11900" w:h="16838" w:orient="portrait"/>
          <w:cols w:equalWidth="0" w:num="1">
            <w:col w:w="11240"/>
          </w:cols>
          <w:pgMar w:left="320" w:top="116"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1140" w:hanging="80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1140" w:right="20" w:hanging="80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assets held in the Trust Account were comprised $200,038,604 and $200,035,810, respectively, in money market funds which are invested primarily in U.S. Treasury securities. During the three months ended March 31, 2022 and March 31, 2021, the Company did not withdraw any interest income from the Trust Account.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March 31, 2022 and December 31, 2021, and indicates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r>
      <w:tr>
        <w:trPr>
          <w:trHeight w:val="216"/>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 – U.S. Treasury Securities Money Market Fund</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200,038,604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200,035,810</w:t>
            </w:r>
          </w:p>
        </w:tc>
      </w:t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3,299,000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5,900,000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1,979,400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c>
          <w:tcPr>
            <w:tcW w:w="120" w:type="dxa"/>
            <w:vAlign w:val="bottom"/>
          </w:tcPr>
          <w:p>
            <w:pPr>
              <w:spacing w:after="0"/>
              <w:rPr>
                <w:sz w:val="18"/>
                <w:szCs w:val="18"/>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Warrants were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within change in fair value of warrant liabilities in the condensed consolidated statement of operations.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initially valued using a Monte Carlo simulation model, which is considered to be a Level 3 fair value measurement. The Monte Carlo simulation model’s primary unobservable input utilized in determining the fair value of the Private Placement Warrants is the expected volatility of the ordinary shares. The expected volatility as of the Initial Public Offering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Placement Warrants. For periods subsequent to the detachment of the Public Warrants from the Units, the close price of the Public Warrant price has been used as the fair value as of each relevant date for both the Public Warrants and Private Placement Warrants.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TUATARA CAPITAL ACQUISITION CORPORATION NOTES TO CONDENSED CONSOLIDATED FINANCIAL STATEMENTS (UNAUDITED)</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for the period from February 17, 2021 (initial measurement) through December 31, 2021 was $11,500,000. The estimated fair value of the Private Placement Warrants transferred from a Level 3 measurement to a Level 2 fair value measurement for the period from February 17, 2021 (initial measurement) through December 31, 2021 was $6,900,000. There were no transfers made during the three months ended March 31, 2022 and March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Placement</w:t>
            </w:r>
          </w:p>
        </w:tc>
        <w:tc>
          <w:tcPr>
            <w:tcW w:w="200" w:type="dxa"/>
            <w:vAlign w:val="bottom"/>
          </w:tcPr>
          <w:p>
            <w:pPr>
              <w:spacing w:after="0"/>
              <w:rPr>
                <w:sz w:val="21"/>
                <w:szCs w:val="21"/>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 on February 17, 2021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(1,280,000)</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March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7,920,000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21,120,000</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months ended March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firstLine="292"/>
        <w:spacing w:after="0" w:line="252" w:lineRule="auto"/>
        <w:rPr>
          <w:sz w:val="20"/>
          <w:szCs w:val="20"/>
          <w:color w:val="auto"/>
        </w:rPr>
      </w:pPr>
      <w:r>
        <w:rPr>
          <w:rFonts w:ascii="Times New Roman" w:cs="Times New Roman" w:eastAsia="Times New Roman" w:hAnsi="Times New Roman"/>
          <w:sz w:val="18"/>
          <w:szCs w:val="18"/>
          <w:color w:val="auto"/>
        </w:rPr>
        <w:t>On April 14, 2022, the Company entered into an agreement to amend and restate agreement and plan of merger, (the “Amended and Restated Merger Agreement”). Under the terms of the Amended and Restated Merger Agreement, the aggregate number of Contingent Shares to which holders of SpringBig’s common stock (including those holders of converted preferred stock of SpringBig) and holders of options of SpringBig’s common stock will have the right to receive their pro rata portion of increased from up to an aggregate of 9,000,000 to 10,500,000 Contingent shares, and if any of the following stock price conditions are met: (i) 7,000,000 Contingent Shares if the closing price of New SpringBig Common Stock equals or exceeds $12.00 per share (as adjusted for share splits, share dividends, reorganizations, and recapitalizations) on any twenty (20) trading days in a thirty (30)-trading-day period at any time after the closing date and by the third anniversary of the closing date; (ii) 2,250,000 Contingent Shares if the closing price of New SpringBig Common Stock equals or exceeds $15.00 per share (as adjusted for share splits, share dividends, reorganizations, and recapitalizations) on any twenty (20) trading days in a thirty (30)-trading-day period at any time after the closing date and by the third anniversary of the closing date; and</w:t>
      </w:r>
    </w:p>
    <w:p>
      <w:pPr>
        <w:spacing w:after="0" w:line="6" w:lineRule="exact"/>
        <w:rPr>
          <w:sz w:val="20"/>
          <w:szCs w:val="20"/>
          <w:color w:val="auto"/>
        </w:rPr>
      </w:pPr>
    </w:p>
    <w:p>
      <w:pPr>
        <w:jc w:val="both"/>
        <w:ind w:firstLine="8"/>
        <w:spacing w:after="0" w:line="253" w:lineRule="auto"/>
        <w:tabs>
          <w:tab w:leader="none" w:pos="3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New SpringBig Common Stock equals or exceeds $18.00 per share (as adjusted for share splits, share dividends, reorganizations, and recapitalizations) on any twenty (20) trading days in a thirty (30)-trading-day period at any time after the closing date and by the third anniversary of the closing date. The Amended and Restated Merger Agreement also lowered the enterprise value of SpringBig from $300 million to $275 million and increased the earnout period from thirty-six (36) months to sixty (60) months for each of the Contingent Shares and the Sponsor earnout shares.</w:t>
      </w:r>
    </w:p>
    <w:p>
      <w:pPr>
        <w:spacing w:after="0" w:line="187"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On April 14, 2022, the Company entered into an agreement to amened the Sponsor Letter Agreement, Section 3, whereas following the Domestication but prior to the Effective Time, Sponsor will forfeit 1,000,000 shares (the “Sponsor Forfeiture”) of its Surviving Pubco Common Stock that the Sponsor would otherwise hold following the Domestication in accordance with Section 2.03(b) of this Agreement pursuant to the Sponsor Letter Agreement.</w:t>
      </w: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Convertible Notes Financing</w:t>
      </w:r>
    </w:p>
    <w:p>
      <w:pPr>
        <w:spacing w:after="0" w:line="22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On April 29, 2022, the Company entered into a securities purchase agreement (the “Notes and Warrants Purchase Agreement”) to sell up to (i) a total of $22 million of 6% Senior Secured Original Issue Discount Convertible Notes due 2024 (the “Notes”) and (ii) a number of warrants equal to one-half of the principal of the Notes divided by the volume weighted average price (“VWAP”) on the trading day prior to the closing date of such sale (the “Warrants”) in a private placement with certain institutional investors (collectively, the “Investors”). The Notes will be convertible at the option of the holders beginning at the earlier of (i) the date of effectiveness of a resale registration statement covering the resales of the Company’s common stock underlying the Notes and Warrants or (ii) one year after the issuance of the closing dates of the first tranche of sales (as described below) at an initial conversion share price of $12.00 per share, bearing an interest rate of 6% per annum and commencing amortization after six months which may be settled in cash or shares of common stock, subject to certain conditions, at the option of the Company. Each Warrant will be exercisable for shares of the Company’s common stock at an exercise price of $12.00 per share.</w:t>
      </w:r>
    </w:p>
    <w:p>
      <w:pPr>
        <w:spacing w:after="0" w:line="188"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The Notes and Warrants will be sold in two tranches: the first tranche will be for a total of up to $17,000,000 (of which $11,000,000 is subscribed to as of the date hereof) of principal amount of Notes and the number of Warrants to be calculated pursuant to clause (ii) in the preceding paragraph in exchange for a total purchase price in cash of up to $15,454,545 (of which $10,000,000 is confirmed based on the subscriptions as of the date hereof); the second tranche will be for a total of $5,000,000 principal amount of Notes and the number of Warrants to be calculated pursuant to clause (ii) in the preceding paragraph in exchange for a total purchase price in cash of $4,545,454. The first tranche will close upon completion of the merger and satisfaction of the closing conditions in the Notes and Warrants Purchase Agreement and the second tranche shall close 60 days after the effective date of a resale registration statement covering the resale of all of the shares of the Company’s common stock underlying the Notes and the Warrants or at such as time as is agreed between the Company and the Investors.</w:t>
      </w:r>
    </w:p>
    <w:p>
      <w:pPr>
        <w:spacing w:after="0" w:line="192"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The Notes will be secured against substantially all the assets of the combined company (“New SpringBig”), and each material subsidiary will guarantee the Notes.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Cantor Equity Financing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229"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On April 29, 2022, the Company entered into a common stock purchase agreement (the “Common Stock Purchase Agreement”) with CF Principal Investments LLC related to a committed equity facility (the “Facility”). Pursuant to the Common Stock Purchase Agreement, New SpringBig has the right, after the closing of the merger, from time to time at its option to sell to CF Principal Investments LLC up to $50 million in aggregate gross purchase price of newly issued common stock after the closing of the business combination subject to certain conditions and limitations set forth in the Common Stock Purchase Agreement. While there are distinct differences, the Facility is structured similarly to a traditional at-the-market equity facility, insofar as it allows the Company to raise primary equity capital on a periodic basis outside the context of a traditional underwritten follow-on offering.</w:t>
      </w:r>
    </w:p>
    <w:p>
      <w:pPr>
        <w:spacing w:after="0" w:line="187"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Sales of shares of New SpringBig’s common stock to CF Principal Investments LLC under the Common Stock Purchase Agreement, and the timing of any sales, will be determined by New SpringBig from time to time in its sole discretion and will depend on a variety of factors, including, among other things, market conditions, the trading price of the common stock and determinations by New SpringBig regarding the use of proceeds of such common stock. The net proceeds from any sales under the Common Stock Purchase Agreement will depend on the frequency with, and prices at, which the shares of common stock are sold to CF Principal Investments LLC. New SpringBig expects to use the proceeds from any sales under the Common Stock Purchase Agreement for working capital and general corporate purposes.</w:t>
      </w:r>
    </w:p>
    <w:p>
      <w:pPr>
        <w:spacing w:after="0" w:line="187"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Upon the initial satisfaction of the conditions to CF Principal Investments LLC’s obligation to purchase common stock set forth in the Common Stock Purchase Agreement (the “Commencement”), including that a registration statement registering the resale by CF Principal Investments LLC of the common stock under the Securities Act, purchased pursuant to the Common Stock Purchase Agreement (the “Cantor Resale Registration Statement”) is declared effective by the SEC and a final prospectus relating thereto is filed with the SEC, New SpringBig will have the right, but not the obligation, from time to time at its sole discretion until no later than the first day of the month next following the 36-month period from and after the date that the Cantor Resale Registration Statement is declared effective, to direct CF Principal Investments LLC to purchase up to a specified maximum amount of common stock as set forth in the Common Stock Purchase Agreement by delivering written notice to CF Principal Investments LLC prior to the commencement of trading on any trading day. The purchase price of the common stock that New SpringBig elects to sell to CF Principal Investments LLC pursuant to the Common Stock Purchase Agreement will be 97% of the VWAP of the common stock during the applicable purchase date on which New SpringBig has timely delivered written notice to CF Principal Investments LLC directing it to purchase common stock under the Common Stock Purchase Agreement.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Common Stock Purchase Agreement, New SpringBig agreed to issue a number of shares of common stock equal to the quotient obtained by dividing (i) $1,500,000 and (ii) the VWAP over the five trading days immediately preceding the filing of the Cantor Resale Registration Statement to CF Principal Investments LLC as consideration for its irrevocable commitment to purchase the common stock upon the terms and subject to the satisfaction of the conditions set forth in the Common Stock Purchase Agreement. In addition, pursuant to the Common Stock Purchase Agreement, New SpringBig has agreed to reimburse CF Principal Investments LLC for certain expenses incurred in connection with the Facility. The Common Stock Purchase Agreement contains customary representations, warranties, conditions and indemnification obligations by each party. The representations, warranties and covenants contained in the Common Stock Purchase Agreement were made only for the purposes of the Common Stock Purchase Agreement and as of specific dates, were solely for benefit of the parties to such agreement and are subject to certain important limitations.</w:t>
      </w:r>
    </w:p>
    <w:p>
      <w:pPr>
        <w:spacing w:after="0" w:line="192"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New SpringBig has the right to terminate the Common Stock Purchase Agreement at any time after the Commencement, at no cost or penalty upon 10 trading days’ prior written notice.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On April 29, 2022, Tuatara entered into a registration rights agreement (the “Cantor Registration Rights Agreement”) with CF Principal Investments LLC related to the Facility. Pursuant to the Cantor Registration Rights Agreement, New SpringBig has agreed to provide CF Principal Investments LLC with certain registration rights with respect to the common stock issued in connection with the Common Stock Purchase Agreement and the Facility.</w:t>
      </w:r>
    </w:p>
    <w:p>
      <w:pPr>
        <w:spacing w:after="0" w:line="17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New SpringBig has agreed to file the Cantor Resale Registration Statement within 30 days after the closing of the merger and shall use its commercially reasonable efforts to cause Cantor Resale Registration Statement declared effective by the SEC as soon as reasonably practicable, but no later than the fifth business day after the date that New SpringBig received notice from the SEC and the Financial Industry Regulatory Authority, Inc., that they will not review the Cantor Resale Registration Statement.</w:t>
      </w:r>
    </w:p>
    <w:p>
      <w:pPr>
        <w:spacing w:after="0" w:line="180"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On May 4, 2022, the Company and SpringBig further amended the Amended and Restated Merger Agreement to permit SpringBig to unilaterally designate one of the independent board members, giving SpringBig the ability to designate a majority of the New SpringBig board.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13, 2021, the Company received notification from J.P. Morgan Securities (“J.P. Morgan”), one the underwriters who participated in the Company’s Initial Public Offering, pursuant to which J.P. Morgan waived its right to the portion of the deferred underwriting fee owed to them in the amount of $4,200,000. Aside from general dialogue between representatives of Tuatara and J.P. Morgan (and other investment banking professionals) about sourcing targets and broader SPAC market conditions in the ordinary course, J.P. Morgan did not participate in any respect in the Company’s Business Combination process, and the Company has no contractual arrangement with J.P. Morgan in that regard.</w:t>
      </w:r>
    </w:p>
    <w:p>
      <w:pPr>
        <w:spacing w:after="0" w:line="183"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other than as described above, the Company did not identify any subsequent events that would have required adjustment or disclosure in the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report (the “Quarterly Report”) to “we,” “us” or the “Company” refer to Tuatara Capital Acquisition Corporation References to our “management” or our “management team” refer to our officers and directors, and references to the “Sponsor” refer to TCAC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Annual Report on Form 10-K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in the Cayman Islands on January 24, 2020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and the sale of the Private Placement Warrants, our shares, debt or a combination of cash, shares and debt.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8, 2021, Tuatara Capital Acquisition Corporation, a Cayman Islands exempted company (“TCAC”), entered into an Agreement and Plan of Merger (as it may be amended, supplemented or otherwise modified from time to time, the “Merger Agreement”), by and among TCAC, HighJump Merger Sub, Inc., a Delaware corporation (“Merger Sub”), and SpringBig, Inc., a Delaware corporation (“SpringBig”).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and the transactions contemplated thereby were approved by the boards of directors of each of TCAC and SpringBig.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March 31, 2022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investments held in the Trust Account. We incur expenses as a result of being a public company (for legal, financial reporting, accounting and auditing compliance), as well as for due diligence expenses.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had a net income of $3,252,560, which consists of a change in the fair value of warrant liability of $4,161,600 and interest earned on investments held in the Trust Account of $2,794, offset by formation and operating cost of $911,834.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we had a net loss of $2,063,176, which consists of a formation and operating cost of $95,578, transaction costs allocated to warrant of $853,386 and compensation expense of $2,400,000, offset by change in the fair value of warrant liability of 1,280,000 and interest earned on investments held in Trust Account of $5,788.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February 17, 2021, we consummated the Initial Public Offering of 20,000,000 units, which includes a partial exercise by the underwriters of their overallotment option in the amount of 2,500,000 Units, at $10.00 per Unit, generating gross proceeds of $200,000,000. Simultaneously with the closing of the Initial Public Offering, we consummated the sale of 6,000,000 Private Placement Warrant at a price of $1.00 per Private Placement Warrant in a private placement to the Sponsor, generating gross proceeds of $6,000,000.</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Initial Public Offering, the partial exercise of the over-allotment option, and the sale of the Private Placement Warrants, a total of $200,000,000 was placed in the Trust Account. We incurred $11,766,856 in Initial Public Offering related costs, including $4,000,000 of underwriting fees, $7,000,000 of deferred underwriting fees and $766,856 of other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cash used in operating activities was $204,884. Net income of $3,252,560 was affected by interest earned on investments held in the Trust Account of $2,794 and a change in the fair value of warrant liability of $4,161,600,. Changes in operating assets and liabilities used $706,950 of cash for operating activities.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cash used in operating activities was $547,037. Net loss of $2,063,176 was affected by interest earned on investments held in the Trust Account of $5,788, a change in the fair value of warrant liability of $1,280,000, compensation expense of $2,400,000 and transaction costs allocable to warrants $853,386. Changes in operating assets and liabilities used $451,459 of cash for operating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2022, we had investments held in the Trust Account of $200,038,604 (including $38,604 of interest income) consisting of securities held in a money market fund that invests in U.S. Treasury securities. We may withdraw interest from the Trust Account to pay taxes, if any. We intend to use substantially all of the funds held in the Trust Account, including any amounts representing interest earned on the Trust Account (less income taxes payable), to complete our Business Combination. To the extent that our share capital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we had cash of $416,588.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the Sponsor, or certain of our officers and directors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February 17,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intends to complete the Business Combination prior to the termination date. No adjustments have been made to the carrying amounts of assets or liabilities should the Company be required to liquidate after February 17,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March 31,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the Sponsor up to $10,000 per month for office space, administrative and support services. Upon completion of a Business Combination or its liquidation, the Company will cease paying these monthly fees.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$7,000,000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2021, the Company received notification from J.P. Morgan Securities (“J.P. Morgan”), one the underwriters who participated in the Company’s Initial Public Offering, pursuant to which J.P. Morgan waived its right to the portion of the deferred underwriting fee owed to them in the amount of $4,200,000. Aside from general dialogue between representatives of Tuatara and J.P. Morgan (and other investment banking professionals) about sourcing targets and broader SPAC market conditions in the ordinary course, J.P. Morgan did not participate in any respect in the Company’s Business Combination process, and the Company has no contractual arrangement with J.P. Morgan in that regard.</w:t>
      </w:r>
    </w:p>
    <w:p>
      <w:pPr>
        <w:sectPr>
          <w:pgSz w:w="11900" w:h="16838" w:orient="portrait"/>
          <w:cols w:equalWidth="0" w:num="1">
            <w:col w:w="11240"/>
          </w:cols>
          <w:pgMar w:left="320" w:top="115" w:right="339" w:bottom="147"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7"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2021, Tuatara Capital Acquisition Corporation (“TCAC”) entered into an Agreement and Plan of Merger (as it may be amended, supplemented or otherwise modified from time to time, the “Merger Agreement”), by and among TCAC, HighJump Merger Sub, Inc., a Delaware corporation (“Merger Sub”), and SpringBig, Inc., a Delaware corporation (“SpringBig”). The Merger Agreement was subsequently amended and restated on April 14, 2022 and further amended on May 4, 2022. See Note 10 “Subsequent Events” for further details.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Merger Agreement provides for, among other things, the following transactions on or prior to the closing date: (i) TCAC will become a Delaware corporation (the “Domestication”) and, in connection with the Domestication, (A) TCAC’s name will be changed as mutually agreed to between the parties,</w:t>
      </w:r>
    </w:p>
    <w:p>
      <w:pPr>
        <w:spacing w:after="0" w:line="1" w:lineRule="exact"/>
        <w:rPr>
          <w:sz w:val="20"/>
          <w:szCs w:val="20"/>
          <w:color w:val="auto"/>
        </w:rPr>
      </w:pPr>
    </w:p>
    <w:p>
      <w:pPr>
        <w:jc w:val="both"/>
        <w:ind w:firstLine="8"/>
        <w:spacing w:after="0" w:line="252"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then-issued and outstanding TCAC Class A Ordinary Share will convert automatically, on a one-for-one basis, into one share of common stock of TCAC (the “New SpringBig Common Stock”), (C) each then-issued and outstanding TCAC Class B Ordinary Share will convert automatically, on a one-for-one basis, into one share of New SpringBig Common Stock, and (D) each then-issued and outstanding common warrant of TCAC will convert automatically, on a one-for-one basis, into a warrant to purchase one share of New SpringBig Common Stock; and (ii) following the Domestication, Merger Sub will merge with and into SpringBig, with SpringBig as the surviving company in the merger and, after giving effect to such merger, continuing as a wholly-owned subsidiary of TCAC (the “Merger”).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in mid-2022, following the receipt of the required approval by TCAC’s shareholders, required regulatory approvals and the fulfillment of other customary closing conditions.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based on an implied equity value of $215 million, (i) each share of SpringBig common stock (other than dissenting shares) will be canceled and converted into the right to receive the applicable portion of the merger consideration comprised of New SpringBig Common Stock, as determined in the Merger Agreement (the “Share Conversion Ratio”), and (ii) vested and unvested options of SpringBig outstanding and unexercised immediately prior to the effective time of the Merger will convert into comparable options that are exercisable for shares of New SpringBig Common Stock, with a value determined in accordance with the Share Conversion Ratio.</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aggregate consideration payable to the SpringBig’s securityholders pursuant to the Merger Agreement, holders of SpringBig’s common stock (including those holders of converted preferred stock of SpringBig) and holders of options of SpringBig’s common stock will also have the right to receive their pro rata portion of up to an aggregate of 10,500,000 shares of New SpringBig Common Stock (“Contingent Shares”) if any of the following stock price conditions are met: (i) 7,000,000 Contingent Shares if the closing price of New SpringBig Common Stock equals or exceeds $12.00 per share (as adjusted for share splits, share dividends, reorganizations, and recapitalizations) on any twenty (20) trading days in a thirty (30)-trading-day period at any time after the closing date and by the third anniversary of the closing date; (ii) 2,250,000 Contingent Shares if the closing price of New SpringBig Common Stock equals or exceeds $15.00 per share (as adjusted for share splits, share dividends, reorganizations, and recapitalizations) on any twenty (20) trading days in a thirty (30)-trading-day period at any time after the closing date and by the third anniversary of the closing date; and (iii) 1,250,000 Contingent Shares if the closing price of the New SpringBig Common Stock equals or exceeds $18.00 per share (as adjusted for share splits, share dividends, reorganizations, and recapitalizations) on any twenty (20) trading days in a thirty (30)-trading-day period at any time after the closing date and by the third anniversary of the closing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signing of the Merger Agreement, TCAC entered into subscription agreements (the “Subscription Agreements”) with certain investors (the “PIPE Investors”). Pursuant to the Subscription Agreements, the PIPE Investors agreed to subscribe for and purchase, and TCAC agreed to issue and sell to such investors, on the closing date, an aggregate of 1,310,000 shares of New SpringBig Common Stock for a purchase price of $10.00 per share, for aggregate gross proceeds of $13,100,000 (the “PIPE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12, 2021 TCAC entered into an agreement (the “Agreement”) with Cantor Fitzgerald &amp; Co. (“CF&amp;CO”) to act as a capital markets advisor in connection with the proposed business combination (the “Business Combination”) with SpringBig, Inc. CF&amp;CO acknowledges that the Company may engage additional advisors in the same capacity (together with CF&amp;CO, the “Capital Markets Advisors”), provided that CF&amp;CO will be the “lead” capital markets advisor and CF&amp;CO shall not be responsible for the actions or inactions of any other capital markets advisor. In consideration of our services pursuant to this Agreement, the Company agrees to pay CF&amp;CO a fee of $5,000,000 (the “Advisory Fee”) upon the consummation of the Business Combination (the “Closing”). $2,000,000 of the Advisory Fee shall be payable in cash, and the remainder of the Advisory Fee (the “Redemption Dependent Portion”) payable in cash and common stock of the Company (the “Common Stock”), with the portions of each to depend on the final amount of redemptions from the Company’s trust account established for the benefit of the Company’s public stockholders (the “Trust Account”) in connection with the Business Combination.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Subsequent to the Agreement, TCAC entered into a second agreement (“Second Agreement”) with CF&amp;CO to receive one or more financing(s) through the private placement, offering or other sale of equity instruments in any form, including, without limitation, (i) equity instruments in any form, including, without limitation, preferred or common equity, or instruments convertible into preferred or common equity or other related forms of interests or capital of the Company in one or a series of transactions (an “Equity Financing”) and (ii) debt in any form, including, but not limited to, bank debt, high yield debt or mezzanine debt, notes, bonds, debentures or other debt securities, of the Company in one transaction or a series of transactions (a “Debt Financing” and any Equity Financing or Debt Financing, (a “Financing”)), in the cases of (i) and (ii), in connection with the business combination contemplated by the Agreement and Plan of Merger between the Company and SpringBig, Inc., dated as of November 8, 2021 (the “Business Combination,” and such agreement, the “Merger Agreement”). The Company hereby engages CF&amp;CO to act as the Company’s financial advisor, placement agent and arranger in connection with any Financing for the Business Combination. In consideration of our services pursuant to this Second Agreement, the Company agrees to pay CF&amp;CO the following compensation:</w:t>
      </w:r>
    </w:p>
    <w:p>
      <w:pPr>
        <w:spacing w:after="0" w:line="194"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Financing (which is contemplated to fund and close concurrently with the closing of the Business Combination), the Company shall pay to CF&amp;CO a non-refundable cash fee equal to 4% of the aggregate maximum gross proceeds received or receivable in connection with such Financing, including, without limitation, aggregate amounts committed by investors to purchase securities, whether or not all securities are issued on the closing date of the Equity Financing.</w:t>
      </w:r>
    </w:p>
    <w:p>
      <w:pPr>
        <w:sectPr>
          <w:pgSz w:w="11900" w:h="16838" w:orient="portrait"/>
          <w:cols w:equalWidth="0" w:num="1">
            <w:col w:w="11240"/>
          </w:cols>
          <w:pgMar w:left="320" w:top="115" w:right="339" w:bottom="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aggregate amount of the fees payable to CF&amp;CO pursuant to this section 3 be less than $1,500,000.</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payable pursuant to this section 3 shall be in addition to any other fees that the Company may be required to pay directly to any prospective investor to secure its financing commitment.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the structure of a Financing contemplates multiple issuances, financing availability that is contingent upon the occurrence of some future event or any other delayed consideration structure, such Financing shall be considered a single Financing, and not multiple Financings, and all fees payable pursuant to this section 3 for such Financing shall be payable in full on the closing date of such Financing.</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will be payable in U.S. dollars in immediately available funds to CF&amp;CO for its own account, or as directed by it, free and clear of and without deduction for any and all present or future applicable taxes, levies, imposts, deductions, charges or withholdings and all liabilities with respect thereto (with appropriate gross-up for withholding taxes) and will not be subject to reduction by way of setoff or counterclaim. Once paid, no fee will be refundable under any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condensed consolidated balance sheets.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Ordinary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(loss) per ordinary share is computed by dividing net loss by the weighted average number of ordinary shares outstanding during the period. We have two classes of shares, which are referred to as Class A ordinary shares and Class B ordinary shares. Income and losses are shared pro rata between the two classes of shares. Accretion associated with the redeemable shares of Class A ordinary shares is excluded from earnings per share as the redemption value approximates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which simplifies accounting for convertible instruments by removing major separation models required under current U.S.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are currently assessing the impact, if any, that ASU 2020-06 would have on our financial position, results of operations or cash flows.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unaudited condensed consolidated financial statements.</w:t>
      </w:r>
    </w:p>
    <w:p>
      <w:pPr>
        <w:spacing w:after="0" w:line="15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2022. Based on this evaluation, our Chief Executive Officer and Chief Financial Officer have concluded that our disclosure controls and procedures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10-Q present fairly in all material respects our financial position, results of operations and cash flows for the period presented.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15d-15(f)of the Exchange Act) during the most recent fiscal quarter ended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report include the risk factors described in our Annual Report on Form 10-</w:t>
      </w:r>
    </w:p>
    <w:p>
      <w:pPr>
        <w:spacing w:after="0" w:line="27" w:lineRule="exact"/>
        <w:rPr>
          <w:sz w:val="20"/>
          <w:szCs w:val="20"/>
          <w:color w:val="auto"/>
        </w:rPr>
      </w:pPr>
    </w:p>
    <w:p>
      <w:pPr>
        <w:ind w:right="20" w:firstLine="8"/>
        <w:spacing w:after="0" w:line="260" w:lineRule="auto"/>
        <w:tabs>
          <w:tab w:leader="none" w:pos="2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of the date of this Report, there have been no material changes to the risk factors disclosed in our Annual Report on Form 10-K, filed with the SEC, except for the below.</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including our ability to negotiate and complete our Business Combination, investments and results of operations.</w:t>
      </w:r>
    </w:p>
    <w:p>
      <w:pPr>
        <w:spacing w:after="0" w:line="15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including our ability to negotiate and complete our Business Combination, and results of operations.</w:t>
      </w:r>
    </w:p>
    <w:p>
      <w:pPr>
        <w:spacing w:after="0" w:line="187"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March 30, 2022, the SEC issued proposed rules (the “2022 Proposed Rules”) relating to, among other items, enhancing disclosures in business combination transactions involving SPACs and private operating companies; amending the financial statement requirements applicable to transactions involving shell companies; effectively limiting the use of projections in SEC filings in connection with proposed business combination transactions; increasing the potential liability of certain participants in proposed business combination transactions; and the extent to which SPACs could become subject to regulation under the Investment Company Act of 1940. These 2022 Proposed Rules, if adopted, whether in the form proposed or in revised form, and certain positions and legal conclusions expressed by the SEC in connection with the 2022 Proposed Rules may materially adversely affect our ability to negotiate and complete our Business Combination and may increase the costs and time related thereto.</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2021, we consummated the Initial Public Offering of 20,000,000 Units. The Units were sold at an offering price of $10.00 per unit, generating total gross proceeds of $200,000,000. J.P. Morgan Securities LLC and BMO Capital Markets Corp. acted as joint book-running, of the Initial Public Offering. The securities in the offering were registered under the Securities Act on registration statements on Form S-1 (No. 333-252484 and 333-253009), filed with the Commission on February 16, 2021. The Securities and Exchange Commission declared the registration statements effective on February 11,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 with the consummation of the Initial Public Offering, the Sponsor consummated the private placement of an aggregate of 6,000,000 Warrants at a price of $1.00 per Private Placement Warrant, generating total proceeds of $6,000,000. Each whole Private Warrant is exercisable to purchase one share of ordinary shares at an exercise price of $11.50 per share. The issuance was made pursuant to the exemption from registration contained in Section 4(a)(2) of the Securities Act.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Private Warrants are identical to the warrants underlying the Units sold in the Initial Public Offering, except that the Private Warrants are not transferable, assignable or salable until after the completion of a Business Combination, subject to certain limited exceptions.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the exercise of the over-allotment option and the Private Placement Warrants, an aggregate of $200,000,000 was placed in the Trust Account.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a total of $4,000,000 in underwriting discounts and commissions and $766,856 for other costs and expenses related to the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Pr>
          <w:p>
            <w:pPr>
              <w:spacing w:after="0"/>
              <w:rPr>
                <w:sz w:val="21"/>
                <w:szCs w:val="21"/>
                <w:color w:val="auto"/>
              </w:rPr>
            </w:pPr>
          </w:p>
        </w:tc>
        <w:tc>
          <w:tcPr>
            <w:tcW w:w="9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120" w:type="dxa"/>
            <w:vAlign w:val="bottom"/>
            <w:tcBorders>
              <w:top w:val="single" w:sz="8" w:color="auto"/>
            </w:tcBorders>
            <w:gridSpan w:val="3"/>
            <w:shd w:val="clear" w:color="auto" w:fill="CCEEFF"/>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18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Securities Exchange Act Rules 13a-14(a), as adopted Pursuant to Section 302 of</w:t>
            </w: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176"/>
        </w:trPr>
        <w:tc>
          <w:tcPr>
            <w:tcW w:w="1120" w:type="dxa"/>
            <w:vAlign w:val="bottom"/>
            <w:gridSpan w:val="3"/>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180" w:type="dxa"/>
            <w:vAlign w:val="bottom"/>
          </w:tcPr>
          <w:p>
            <w:pPr>
              <w:spacing w:after="0"/>
              <w:rPr>
                <w:sz w:val="15"/>
                <w:szCs w:val="15"/>
                <w:color w:val="auto"/>
              </w:rPr>
            </w:pPr>
          </w:p>
        </w:tc>
        <w:tc>
          <w:tcPr>
            <w:tcW w:w="9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Securities Exchange Act Rules 13a-14(a), as adopted Pursuant to Section 302 of</w:t>
            </w:r>
          </w:p>
        </w:tc>
      </w:tr>
      <w:tr>
        <w:trPr>
          <w:trHeight w:val="237"/>
        </w:trPr>
        <w:tc>
          <w:tcPr>
            <w:tcW w:w="3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175"/>
        </w:trPr>
        <w:tc>
          <w:tcPr>
            <w:tcW w:w="1120" w:type="dxa"/>
            <w:vAlign w:val="bottom"/>
            <w:gridSpan w:val="3"/>
            <w:shd w:val="clear" w:color="auto" w:fill="CCEEFF"/>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1*</w:t>
            </w:r>
          </w:p>
        </w:tc>
        <w:tc>
          <w:tcPr>
            <w:tcW w:w="180" w:type="dxa"/>
            <w:vAlign w:val="bottom"/>
            <w:shd w:val="clear" w:color="auto" w:fill="CCEEFF"/>
          </w:tcPr>
          <w:p>
            <w:pPr>
              <w:spacing w:after="0"/>
              <w:rPr>
                <w:sz w:val="15"/>
                <w:szCs w:val="15"/>
                <w:color w:val="auto"/>
              </w:rPr>
            </w:pPr>
          </w:p>
        </w:tc>
        <w:tc>
          <w:tcPr>
            <w:tcW w:w="9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1120" w:type="dxa"/>
            <w:vAlign w:val="bottom"/>
            <w:gridSpan w:val="3"/>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2*</w:t>
            </w:r>
          </w:p>
        </w:tc>
        <w:tc>
          <w:tcPr>
            <w:tcW w:w="180" w:type="dxa"/>
            <w:vAlign w:val="bottom"/>
          </w:tcPr>
          <w:p>
            <w:pPr>
              <w:spacing w:after="0"/>
              <w:rPr>
                <w:sz w:val="15"/>
                <w:szCs w:val="15"/>
                <w:color w:val="auto"/>
              </w:rPr>
            </w:pPr>
          </w:p>
        </w:tc>
        <w:tc>
          <w:tcPr>
            <w:tcW w:w="9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6"/>
        </w:trPr>
        <w:tc>
          <w:tcPr>
            <w:tcW w:w="3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16"/>
        </w:trPr>
        <w:tc>
          <w:tcPr>
            <w:tcW w:w="130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0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101.CAL*</w:t>
            </w: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101.DEF*</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30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101.LAB*</w:t>
            </w: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7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firstLine="282"/>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TUATARA CAPITAL ACQUISITION CORPORATION</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Albert Foreman</w:t>
            </w:r>
          </w:p>
        </w:tc>
      </w:tr>
      <w:tr>
        <w:trPr>
          <w:trHeight w:val="198"/>
        </w:trPr>
        <w:tc>
          <w:tcPr>
            <w:tcW w:w="3500" w:type="dxa"/>
            <w:vAlign w:val="bottom"/>
          </w:tcPr>
          <w:p>
            <w:pPr>
              <w:spacing w:after="0"/>
              <w:rPr>
                <w:sz w:val="17"/>
                <w:szCs w:val="17"/>
                <w:color w:val="auto"/>
              </w:rPr>
            </w:pPr>
          </w:p>
        </w:tc>
        <w:tc>
          <w:tcPr>
            <w:tcW w:w="266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Albert Foreman</w:t>
            </w:r>
          </w:p>
        </w:tc>
      </w:tr>
      <w:tr>
        <w:trPr>
          <w:trHeight w:val="216"/>
        </w:trPr>
        <w:tc>
          <w:tcPr>
            <w:tcW w:w="3500" w:type="dxa"/>
            <w:vAlign w:val="bottom"/>
          </w:tcPr>
          <w:p>
            <w:pPr>
              <w:spacing w:after="0"/>
              <w:rPr>
                <w:sz w:val="18"/>
                <w:szCs w:val="18"/>
                <w:color w:val="auto"/>
              </w:rPr>
            </w:pP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Sergey Sherman</w:t>
            </w:r>
          </w:p>
        </w:tc>
      </w:tr>
      <w:tr>
        <w:trPr>
          <w:trHeight w:val="198"/>
        </w:trPr>
        <w:tc>
          <w:tcPr>
            <w:tcW w:w="3500" w:type="dxa"/>
            <w:vAlign w:val="bottom"/>
          </w:tcPr>
          <w:p>
            <w:pPr>
              <w:spacing w:after="0"/>
              <w:rPr>
                <w:sz w:val="17"/>
                <w:szCs w:val="17"/>
                <w:color w:val="auto"/>
              </w:rPr>
            </w:pPr>
          </w:p>
        </w:tc>
        <w:tc>
          <w:tcPr>
            <w:tcW w:w="266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Sergey Sherman</w:t>
            </w:r>
          </w:p>
        </w:tc>
      </w:tr>
      <w:tr>
        <w:trPr>
          <w:trHeight w:val="216"/>
        </w:trPr>
        <w:tc>
          <w:tcPr>
            <w:tcW w:w="3500" w:type="dxa"/>
            <w:vAlign w:val="bottom"/>
          </w:tcPr>
          <w:p>
            <w:pPr>
              <w:spacing w:after="0"/>
              <w:rPr>
                <w:sz w:val="18"/>
                <w:szCs w:val="18"/>
                <w:color w:val="auto"/>
              </w:rPr>
            </w:pP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98"/>
        </w:trPr>
        <w:tc>
          <w:tcPr>
            <w:tcW w:w="350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26</w:t>
            </w:r>
          </w:p>
        </w:tc>
        <w:tc>
          <w:tcPr>
            <w:tcW w:w="5080" w:type="dxa"/>
            <w:vAlign w:val="bottom"/>
          </w:tcPr>
          <w:p>
            <w:pPr>
              <w:spacing w:after="0"/>
              <w:rPr>
                <w:sz w:val="24"/>
                <w:szCs w:val="24"/>
                <w:color w:val="auto"/>
              </w:rPr>
            </w:pPr>
          </w:p>
        </w:tc>
      </w:tr>
      <w:tr>
        <w:trPr>
          <w:trHeight w:val="84"/>
        </w:trPr>
        <w:tc>
          <w:tcPr>
            <w:tcW w:w="350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CHIEF EXECUTIVE OFFICER</w:t>
      </w:r>
    </w:p>
    <w:p>
      <w:pPr>
        <w:spacing w:after="0" w:line="18" w:lineRule="exact"/>
        <w:rPr>
          <w:sz w:val="20"/>
          <w:szCs w:val="20"/>
          <w:color w:val="auto"/>
        </w:rPr>
      </w:pPr>
    </w:p>
    <w:p>
      <w:pPr>
        <w:ind w:left="1300" w:right="1300" w:firstLine="18"/>
        <w:spacing w:after="0" w:line="258" w:lineRule="auto"/>
        <w:rPr>
          <w:sz w:val="20"/>
          <w:szCs w:val="20"/>
          <w:color w:val="auto"/>
        </w:rPr>
      </w:pPr>
      <w:r>
        <w:rPr>
          <w:rFonts w:ascii="Times New Roman" w:cs="Times New Roman" w:eastAsia="Times New Roman" w:hAnsi="Times New Roman"/>
          <w:sz w:val="21"/>
          <w:szCs w:val="21"/>
          <w:b w:val="1"/>
          <w:bCs w:val="1"/>
          <w:color w:val="auto"/>
        </w:rPr>
        <w:t>PURSUANT TO RULE 13A-14(A)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Albert Foreman, certify that:</w:t>
      </w:r>
    </w:p>
    <w:p>
      <w:pPr>
        <w:spacing w:after="0" w:line="24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Tuatara Capital Acquisition Corporation;</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Exchange Act Rules 13a-14(a) and 15d-15(a);</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16, 2022</w:t>
      </w:r>
    </w:p>
    <w:p>
      <w:pPr>
        <w:spacing w:after="0" w:line="2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Albert Foreman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Albert Foreman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CHIEF FINANCIAL OFFICER</w:t>
      </w:r>
    </w:p>
    <w:p>
      <w:pPr>
        <w:spacing w:after="0" w:line="18" w:lineRule="exact"/>
        <w:rPr>
          <w:sz w:val="20"/>
          <w:szCs w:val="20"/>
          <w:color w:val="auto"/>
        </w:rPr>
      </w:pPr>
    </w:p>
    <w:p>
      <w:pPr>
        <w:ind w:left="1300" w:right="1300" w:firstLine="18"/>
        <w:spacing w:after="0" w:line="258" w:lineRule="auto"/>
        <w:rPr>
          <w:sz w:val="20"/>
          <w:szCs w:val="20"/>
          <w:color w:val="auto"/>
        </w:rPr>
      </w:pPr>
      <w:r>
        <w:rPr>
          <w:rFonts w:ascii="Times New Roman" w:cs="Times New Roman" w:eastAsia="Times New Roman" w:hAnsi="Times New Roman"/>
          <w:sz w:val="21"/>
          <w:szCs w:val="21"/>
          <w:b w:val="1"/>
          <w:bCs w:val="1"/>
          <w:color w:val="auto"/>
        </w:rPr>
        <w:t>PURSUANT TO RULE 13A-14(A)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Sergey Sherman, certify that:</w:t>
      </w:r>
    </w:p>
    <w:p>
      <w:pPr>
        <w:spacing w:after="0" w:line="242"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Tuatara Capital Acquisition Corporation;</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Exchange Act Rules 13a-14(a) and 15d-15(a);</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16, 2022</w:t>
      </w:r>
    </w:p>
    <w:p>
      <w:pPr>
        <w:spacing w:after="0" w:line="2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Sergey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Sergey Sherman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Tuatara Capital Acquisition Corporation (the “Company”) on Form 10-Q for the quarterly period ended March 31, 2022, as filed with the Securities and Exchange Commission (the “Report”), I, Albert Foreman, Chief Executive Officer of the Company, certify, pursuant to 18 U.S.C. §1350, as adopted pursuant to §906 of the Sarbanes-Oxley Act of 2002, that, to the best of my knowledge:</w:t>
      </w:r>
    </w:p>
    <w:p>
      <w:pPr>
        <w:spacing w:after="0" w:line="21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16, 2022</w:t>
      </w:r>
    </w:p>
    <w:p>
      <w:pPr>
        <w:spacing w:after="0" w:line="2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Albert Foreman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Albert Foreman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Tuatara Capital Acquisition Corporation (the “Company”) on Form 10-Q for the quarterly period ended March 31, 2022, as filed with the Securities and Exchange Commission (the “Report”), I, Sergey Sherman, Chief Financial Officer of the Company, certify, pursuant to 18 U.S.C. §1350, as adopted pursuant to §906 of the Sarbanes-Oxley Act of 2002, that, to the best of my knowledge:</w:t>
      </w:r>
    </w:p>
    <w:p>
      <w:pPr>
        <w:spacing w:after="0" w:line="21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16, 2022</w:t>
      </w:r>
    </w:p>
    <w:p>
      <w:pPr>
        <w:spacing w:after="0" w:line="2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Sergey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Sergey Sherman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upperLetter"/>
      <w:start w:val="2"/>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upperLetter"/>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3"/>
    </w:lvl>
  </w:abstractNum>
  <w:abstractNum w:abstractNumId="7">
    <w:nsid w:val="66EF438D"/>
    <w:multiLevelType w:val="hybridMultilevel"/>
    <w:lvl w:ilvl="0">
      <w:lvlJc w:val="left"/>
      <w:lvlText w:val="(%1)"/>
      <w:numFmt w:val="upperLetter"/>
      <w:start w:val="2"/>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K"/>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2022-05-16T17:37:28Z</dcterms:created>
  <dcterms:modified xsi:type="dcterms:W3CDTF">2022-05-16T17:37:28Z</dcterms:modified>
</cp:coreProperties>
</file>