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8475-10ka1_springbig.htm"/>
      <w:bookmarkStart w:id="1" w:name="ksea028847510ka1_springbig"/>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the fiscal year ended </w:t>
      </w:r>
      <w:r>
        <w:rPr>
          <w:rFonts w:ascii="Times New Roman;Times;Serif" w:hAnsi="Times New Roman;Times;Serif"/>
          <w:b w:val="false"/>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001-40049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28" w:type="dxa"/>
          <w:right w:w="0" w:type="dxa"/>
        </w:tblCellMar>
      </w:tblPr>
      <w:tblGrid>
        <w:gridCol w:w="2690"/>
        <w:gridCol w:w="90"/>
        <w:gridCol w:w="1625"/>
      </w:tblGrid>
      <w:tr>
        <w:trPr/>
        <w:tc>
          <w:tcPr>
            <w:tcW w:w="26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6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88-2789488</w:t>
            </w:r>
          </w:p>
        </w:tc>
      </w:tr>
      <w:tr>
        <w:trPr/>
        <w:tc>
          <w:tcPr>
            <w:tcW w:w="26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 NW 53rd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 340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Boca Raton, Florida 33487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772-9172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565"/>
        <w:gridCol w:w="90"/>
        <w:gridCol w:w="1640"/>
        <w:gridCol w:w="90"/>
        <w:gridCol w:w="3770"/>
      </w:tblGrid>
      <w:tr>
        <w:trPr/>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4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w:t>
      </w:r>
      <w:r>
        <w:rPr>
          <w:rFonts w:ascii="Times New Roman;Times;Serif" w:hAnsi="Times New Roman;Times;Serif"/>
          <w:b/>
          <w:i w:val="false"/>
          <w:caps w:val="false"/>
          <w:smallCaps w:val="false"/>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No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w:t>
      </w:r>
      <w:r>
        <w:rPr>
          <w:rFonts w:ascii="Times New Roman;Times;Serif" w:hAnsi="Times New Roman;Times;Serif"/>
          <w:b/>
          <w:i w:val="false"/>
          <w:caps w:val="false"/>
          <w:smallCaps w:val="false"/>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No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i w:val="false"/>
          <w:caps w:val="false"/>
          <w:smallCaps w:val="false"/>
          <w:sz w:val="20"/>
        </w:rPr>
        <w:t>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Times;Serif" w:hAnsi="Times New Roman;Times;Serif"/>
          <w:b/>
          <w:i w:val="false"/>
          <w:caps w:val="false"/>
          <w:smallCaps w:val="false"/>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2015"/>
        <w:gridCol w:w="260"/>
        <w:gridCol w:w="2405"/>
        <w:gridCol w:w="305"/>
      </w:tblGrid>
      <w:tr>
        <w:trPr/>
        <w:tc>
          <w:tcPr>
            <w:tcW w:w="20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Large accelerated filer</w:t>
            </w:r>
          </w:p>
        </w:tc>
        <w:tc>
          <w:tcPr>
            <w:tcW w:w="26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Accelerated filer</w:t>
            </w:r>
          </w:p>
        </w:tc>
        <w:tc>
          <w:tcPr>
            <w:tcW w:w="305" w:type="dxa"/>
            <w:tcBorders/>
            <w:vAlign w:val="center"/>
          </w:tcPr>
          <w:p>
            <w:pPr>
              <w:pStyle w:val="TableContents"/>
              <w:bidi w:val="0"/>
              <w:spacing w:before="0" w:after="283"/>
              <w:jc w:val="left"/>
              <w:rPr/>
            </w:pPr>
            <w:r>
              <w:rPr/>
              <w:t>☐</w:t>
            </w:r>
          </w:p>
        </w:tc>
      </w:tr>
      <w:tr>
        <w:trPr/>
        <w:tc>
          <w:tcPr>
            <w:tcW w:w="20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Non-accelerated filer</w:t>
            </w:r>
          </w:p>
        </w:tc>
        <w:tc>
          <w:tcPr>
            <w:tcW w:w="26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Smaller reporting company</w:t>
            </w:r>
          </w:p>
        </w:tc>
        <w:tc>
          <w:tcPr>
            <w:tcW w:w="305" w:type="dxa"/>
            <w:tcBorders/>
            <w:vAlign w:val="center"/>
          </w:tcPr>
          <w:p>
            <w:pPr>
              <w:pStyle w:val="TableContents"/>
              <w:bidi w:val="0"/>
              <w:spacing w:before="0" w:after="283"/>
              <w:jc w:val="left"/>
              <w:rPr/>
            </w:pPr>
            <w:r>
              <w:rPr/>
              <w:t>☒</w:t>
            </w:r>
          </w:p>
        </w:tc>
      </w:tr>
      <w:tr>
        <w:trPr/>
        <w:tc>
          <w:tcPr>
            <w:tcW w:w="201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w:t>
      </w:r>
      <w:r>
        <w:rPr>
          <w:rFonts w:ascii="Times New Roman;Times;Serif" w:hAnsi="Times New Roman;Times;Serif"/>
          <w:b/>
          <w:i w:val="false"/>
          <w:caps w:val="false"/>
          <w:smallCaps w:val="false"/>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No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based on the closing price of the shares of common stock on the OTCQB Venture Market on June 30, 2025, was $1.4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9, 2026, there were 48,584,437 shares of common stock, $0.0001 par value issued and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Holdings, Inc. (the “Company,” “we,” “us,” “our,” or “SpringBig”) previously filed its Annual Report on Form 10-K for the year ended December 31, 2025 (the “Original Form 10-K”) with the Securities and Exchange Commission (the “SEC”) on March 27, 2026. In accordance with General Instruction G(3) of Form 10-K, this Amendment No. 1 to the Original Form 10-K (this “Amendment”) is being filed solely for the purpose of filing the information required to be filed in Part III of Form 10-K, including the deletion of the reference on the cover of the Original Filing to the incorporation by reference of certain information from our proxy statement into Part III of the Original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12b-15 under the Securities Exchange Act of 1934, as amended (the “Exchange Act”), this Amendment also contains new certifications by the principal executive officer and the principal financial officer of the Company as required by Section 302 of the Sarbanes-Oxley Act of 2002. Accordingly, Item 15(a)(3) of Part IV of this Annual Report on Form 10-K is amended to include the currently dated certifications as exhibits. As no financial statements have been included in this Amendment and it does not contain or amend any disclosure with respect to Items 307 and 308 of Regulation S-K, paragraphs 3, 4 and 5 of the certifications have been omitted. The Company is not including certifications pursuant to Section 906 of the Sarbanes-Oxley Act of 2002 as no financial statements are being filed with this Amendment.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noted in this Amendment, this Amendment does not reflect events occurring after the filing of the Original Form 10-K or modify or update in any way any of the other disclosures contained in the Original Form 10-K including, without limitation, the financial statements. Accordingly, this Amendment should be read in conjunction with the Original Form 10-K and the Company’s other filings with the SEC. Capitalized terms used, but not defined herein, shall have the meanings ascribed to them in the Original Form 10-K.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725"/>
        <w:gridCol w:w="8180"/>
        <w:gridCol w:w="485"/>
      </w:tblGrid>
      <w:tr>
        <w:trPr/>
        <w:tc>
          <w:tcPr>
            <w:tcW w:w="725"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725" w:type="dxa"/>
            <w:tcBorders/>
            <w:shd w:fill="CCEEFF" w:val="clear"/>
            <w:vAlign w:val="center"/>
          </w:tcPr>
          <w:p>
            <w:pPr>
              <w:pStyle w:val="TableContents"/>
              <w:bidi w:val="0"/>
              <w:spacing w:before="0" w:after="283"/>
              <w:jc w:val="left"/>
              <w:rPr/>
            </w:pPr>
            <w:r>
              <w:rPr/>
              <w:t> </w:t>
            </w:r>
          </w:p>
        </w:tc>
        <w:tc>
          <w:tcPr>
            <w:tcW w:w="8180"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Part III</w:t>
              </w:r>
            </w:hyperlink>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10.</w:t>
            </w:r>
          </w:p>
        </w:tc>
        <w:tc>
          <w:tcPr>
            <w:tcW w:w="818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Directors, Executive Officers and Corporate Governance</w:t>
              </w:r>
            </w:hyperlink>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11.</w:t>
            </w:r>
          </w:p>
        </w:tc>
        <w:tc>
          <w:tcPr>
            <w:tcW w:w="81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Executive Compensation</w:t>
              </w:r>
            </w:hyperlink>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12.</w:t>
            </w:r>
          </w:p>
        </w:tc>
        <w:tc>
          <w:tcPr>
            <w:tcW w:w="8180"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Security Ownership of Certain Beneficial Owners and Management and Related Shareholder Matters</w:t>
              </w:r>
            </w:hyperlink>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13.</w:t>
            </w:r>
          </w:p>
        </w:tc>
        <w:tc>
          <w:tcPr>
            <w:tcW w:w="818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Certain Relationships and Related Transactions and Director Independence</w:t>
              </w:r>
            </w:hyperlink>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14.</w:t>
            </w:r>
          </w:p>
        </w:tc>
        <w:tc>
          <w:tcPr>
            <w:tcW w:w="8180"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Principal Accountant Fees and Services</w:t>
              </w:r>
            </w:hyperlink>
          </w:p>
        </w:tc>
        <w:tc>
          <w:tcPr>
            <w:tcW w:w="485" w:type="dxa"/>
            <w:tcBorders/>
            <w:vAlign w:val="center"/>
          </w:tcPr>
          <w:p>
            <w:pPr>
              <w:pStyle w:val="TableContents"/>
              <w:bidi w:val="0"/>
              <w:spacing w:before="0" w:after="283"/>
              <w:jc w:val="center"/>
              <w:rPr/>
            </w:pPr>
            <w:r>
              <w:rPr/>
              <w:t>20</w:t>
            </w:r>
          </w:p>
        </w:tc>
      </w:tr>
      <w:tr>
        <w:trPr/>
        <w:tc>
          <w:tcPr>
            <w:tcW w:w="725" w:type="dxa"/>
            <w:tcBorders/>
            <w:shd w:fill="CCEEFF" w:val="clear"/>
            <w:vAlign w:val="center"/>
          </w:tcPr>
          <w:p>
            <w:pPr>
              <w:pStyle w:val="TableContents"/>
              <w:bidi w:val="0"/>
              <w:spacing w:before="0" w:after="283"/>
              <w:jc w:val="left"/>
              <w:rPr/>
            </w:pPr>
            <w:r>
              <w:rPr/>
              <w:t> </w:t>
            </w:r>
          </w:p>
        </w:tc>
        <w:tc>
          <w:tcPr>
            <w:tcW w:w="8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center"/>
              <w:rPr/>
            </w:pPr>
            <w:hyperlink w:anchor="a_006">
              <w:r>
                <w:rPr>
                  <w:rStyle w:val="InternetLink"/>
                  <w:rFonts w:ascii="Times New Roman;Times;Serif" w:hAnsi="Times New Roman;Times;Serif"/>
                  <w:sz w:val="20"/>
                </w:rPr>
                <w:t>Part IV</w:t>
              </w:r>
            </w:hyperlink>
          </w:p>
        </w:tc>
        <w:tc>
          <w:tcPr>
            <w:tcW w:w="485" w:type="dxa"/>
            <w:tcBorders/>
            <w:vAlign w:val="center"/>
          </w:tcPr>
          <w:p>
            <w:pPr>
              <w:pStyle w:val="TableContents"/>
              <w:bidi w:val="0"/>
              <w:spacing w:before="0" w:after="283"/>
              <w:jc w:val="center"/>
              <w:rPr/>
            </w:pPr>
            <w:r>
              <w:rPr/>
              <w:t>21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15.</w:t>
            </w:r>
          </w:p>
        </w:tc>
        <w:tc>
          <w:tcPr>
            <w:tcW w:w="81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Exhibits, Financial Statement Schedules</w:t>
              </w:r>
            </w:hyperlink>
          </w:p>
        </w:tc>
        <w:tc>
          <w:tcPr>
            <w:tcW w:w="485" w:type="dxa"/>
            <w:tcBorders/>
            <w:shd w:fill="CCEEFF" w:val="clear"/>
            <w:vAlign w:val="center"/>
          </w:tcPr>
          <w:p>
            <w:pPr>
              <w:pStyle w:val="TableContents"/>
              <w:bidi w:val="0"/>
              <w:spacing w:before="0" w:after="283"/>
              <w:jc w:val="center"/>
              <w:rPr/>
            </w:pPr>
            <w:r>
              <w:rPr/>
              <w:t>21</w:t>
            </w:r>
          </w:p>
        </w:tc>
      </w:tr>
      <w:tr>
        <w:trPr/>
        <w:tc>
          <w:tcPr>
            <w:tcW w:w="725"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8905" w:type="dxa"/>
            <w:gridSpan w:val="2"/>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Signatures</w:t>
              </w:r>
            </w:hyperlink>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under the direction of our Board of Directors. Our Board of Directors consists of two members, with Jaret Christopher serving as Chairman, for a total of five board seats, three of which are vacant. Our Bylaws provide for a classified Board of Directors divided into three classes, with the classes to be as nearly equal in number as possible, serving staggered terms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 which consists of two vacant seats, and which terms would have expired at SpringBig’s fourth annual meeting following the effectiveness of its Certificate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 which consists of Jaret Christopher, whose term will expire at SpringBig’s fifth annual meeting following the effectiveness of its Certificate of Incorporation, and one vacant seat, which term would have expired at the same time;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III, which consists of Larry Ellis, whose term will expire at the third annual meeting following the effectiveness of its Certificate of Incorporation.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Our Certificate of Incorporation provides that the Board of Directors shall be fixed from time to time by the Board pursuant to a resolution adopted by a majority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Board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the Board increased its size from five to six members and appointed Mr. Christopher as a Class II director. Except for the Offer Letter, Mr. Christopher was not selected pursuant to any arrangement or understanding between him and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July 29, 2025, Jeffrey Harris informed the Company that he had resigned as a member of the Board, of which he served as Chairman. Mr. Harris’ resignation email did not state that his resignation was due to any disagreements with the Company or the Board. On August 11, 2025, the Company received a letter from Mr. Harris (the “Harris Letter”) indicating that disagreements with the Company led to his decision to resign from the Board. See “Item 11. Executive Compensation—Executive and Director Compensation—Executive Employment Arrangements—Mr. Harris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Board appointed Mr. Christopher, the Company’s Chief Executive Officer, as Chairman of the Board. Mr. Christopher was not selected pursuant to any arrangement or understanding between him and any other person. In addition, the Board reduced the size of the Board to five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Sergey Sherman notified the Board of his resignation as a member of the Board, including its Audit Committee, effective as of such date. Mr. Sherman’s resignation did not result from any disagreement with the Company on any matter relating to the Company’s operations, policies or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Board appointed Larry Ellis to the Board and to serve on the Audit Committee following the resignation of Sergey Sherman on September 4, 2025. The Board determined that Mr. Ellis is an independent director and an “audit committee financial expert.” Mr. Ellis serves as a Class III director with a term expiring at the Annual Meeting. Mr. Ellis was not selected pursuant to any arrangement or understanding between him and any other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2025, Marc Shiffman notified the Board of his resignation as a member of the Board, including its Audit Committee, effective as of such date. Mr. Shiffman’s resignation did not result from any disagreement with the Company on any matter relating to the Company’s operations, policies or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Matt Sacks and Mark Silver notified the Board of their resignations as members of the Board. The resignations of Mr. Sacks and Mr. Silver were not due to any disagreements with the Company or the Board on any matter relating to the Company’s operations, policies, or practices. Since that date, the Board has comprised of Jaret Christopher and Larry Ellis.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xml:space="preserve"> (ages listed herein are as of February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Jaret Christopher</w:t>
      </w:r>
      <w:r>
        <w:rPr>
          <w:rFonts w:ascii="Times New Roman;Times;Serif" w:hAnsi="Times New Roman;Times;Serif"/>
          <w:b w:val="false"/>
          <w:i w:val="false"/>
          <w:caps w:val="false"/>
          <w:smallCaps w:val="false"/>
          <w:sz w:val="20"/>
        </w:rPr>
        <w:t>, age 54, has served as the Company’s Chief Executive Officer since April 1, 2025, a member of the Board of Directors since April 23, 2025 and Chairman of the Board since August 4, 2025. He brings extensive leadership experience in Software as a Service (SaaS)-based businesses and knowledge of the cannabis market. Most recently, Mr. Christopher was General Manager and Vice President, CRM Software at WM Technologies, Inc., a position he held from 2021 until 2024 following the sale of Sprout, a customer relationship management (CRM) and marketing software company he founded, to WM Technologies, Inc. in 2021. Prior to starting Sprout in 2017, Mr. Christopher was founder and Chief Executive Officer of multiple SaaS-based technology start-up businesses that he led to successful exits.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Christopher is qualified to serve on the Board of Directors of SpringBig based on his service as the Company’s Chief Executive Officer, as well as his substantial business, leadership and management experience in the industry.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Larry Ellis, </w:t>
      </w:r>
      <w:r>
        <w:rPr>
          <w:rFonts w:ascii="Times New Roman;Times;Serif" w:hAnsi="Times New Roman;Times;Serif"/>
          <w:b w:val="false"/>
          <w:i w:val="false"/>
          <w:caps w:val="false"/>
          <w:smallCaps w:val="false"/>
          <w:sz w:val="20"/>
        </w:rPr>
        <w:t>age 49, has served as a member of the Board of Directors of SpringBig since September 24, 2025. Mr. Ellis brings over 20 years of experience advising boards of directors and executive leadership, with a deep focus on clients operating in technology and regulated industries. Mr. Ellis has been a partner at Miller Thomson LLP, a leading national Canadian law firm, since January 2020, and has continued to concentrate on special situations, governance, and operational transitions, including high-impact mandates involving tech companies in regulated verticals such as energy, healthcare, and fintech. Mr. Ellis has acted for dozens of public companies, advising on fiduciary duties, governance frameworks, strategic transactions, operational restructuring, capital markets activity, and litigation management. He is particularly well regarded for guiding companies through periods of uncertainty or industry disruption—especially where regulatory frameworks intersect with innovation. His experience includes supporting boards on risk oversight, compliance strategy, and corporate growth in environments requiring regulatory navigation and technological scaleup. In 2024, Mr. Ellis earned his Executive MBA from the Kellogg School of Management at Northwestern University, where he focused on strategy, finance, and leadership in emerging and regulated industries. Mr. Ellis brings a boardroom-tested perspective, cross-border experience, and a strong alignment with companies operating in complex or regulated sectors—particularly those undergoing rapid growth, technological transformation, or governance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Ellis’s experience on our Board of Directors, as well as his extensive management, legal, and advisory experience in the legal and technology space, make him well qualified to serve on SpringBig’s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Former 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Jeffrey Harris</w:t>
      </w:r>
      <w:r>
        <w:rPr>
          <w:rFonts w:ascii="Times New Roman;Times;Serif" w:hAnsi="Times New Roman;Times;Serif"/>
          <w:b w:val="false"/>
          <w:i w:val="false"/>
          <w:caps w:val="false"/>
          <w:smallCaps w:val="false"/>
          <w:sz w:val="20"/>
        </w:rPr>
        <w:t>, age 61, served as Chairman and a member of the Board of Directors of SpringBig since founding the Company until his resignation in July 2025 Mr. Harris served as Chief Executive Officer of SpringBig since founding the Company until his resignation in March 2025. Mr. Harris was the CEO of legacy SpringBig, Inc. since founding the company and became CEO of SpringBig in connection with the closing of the merger. Prior to founding SpringBig, Mr. Harris also founded InteQ (formally SHC Direct LLC) in 1997, a leading customer relationship marketing company offering specialized expertise in the planning, implementation and ongoing execution of strategic loyalty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Harris’ experience made him well qualified to serve on the Board of Directors of SpringBig at the time when he had that role.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Matt Sacks</w:t>
      </w:r>
      <w:r>
        <w:rPr>
          <w:rFonts w:ascii="Times New Roman;Times;Serif" w:hAnsi="Times New Roman;Times;Serif"/>
          <w:b w:val="false"/>
          <w:i w:val="false"/>
          <w:caps w:val="false"/>
          <w:smallCaps w:val="false"/>
          <w:sz w:val="20"/>
        </w:rPr>
        <w:t>, age 34, served as a member of the Board of Directors from his appointment by the Board on January 23, 2024 until his resignation on February 5, 2026. Mr. Sacks brought extensive experience of investing in technology businesses from his role as Co-Managing Partner of Lightbank, which he has served since 2020, and previously as a Principal at New Enterprise Associates. Since 2018, Mr. Sacks has served as Executive Chairman of Luminary Media, a podcasting company he founded. From 2018 to 2020, Mr. Sacks served as Chief Executive Officer of Luminary Media. In addition, Mr. Sacks has served on the board of directors of Sparkplug Corporation since December 2022. He started his career as a member of the Technology, Media and Telecom investment banking team at Goldman Sachs.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Sacks’s extensive experience investing in and managing technology businesses, made him well qualified to serve on SpringBig’s Board of Directors at the time when he had that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Sergey Sherman</w:t>
      </w:r>
      <w:r>
        <w:rPr>
          <w:rFonts w:ascii="Times New Roman;Times;Serif" w:hAnsi="Times New Roman;Times;Serif"/>
          <w:b w:val="false"/>
          <w:i w:val="false"/>
          <w:caps w:val="false"/>
          <w:smallCaps w:val="false"/>
          <w:sz w:val="20"/>
        </w:rPr>
        <w:t>, age 55, served as a member of the Board of Directors of SpringBig from June 14, 2022 until his resignation on September 4, 2025. He has served as Tuatara’s Chief Financial Officer since its inception until June 2022 and brought over 20 years of professional experience across investment banking and finance with expertise in private equity, mergers and acquisitions, leveraged finance and credit. Mr. Sherman joined Tuatara Capital in 2019 and as Managing Director - Investments is responsible for all aspects of the investment process including origination, transaction structuring, due diligence, financing and portfolio management. Prior to Tuatara Capital, Mr. Sherman was a Managing Director at Société Générale’s investment banking group in the U.S. and was previously in the financial sponsors groups at RBC Capital Markets and J.P. Morgan. Prior to investment banking, he was an executive in the business development/mergers and acquisitions group at GE Capital. Mr. Sherman started his career as a nuclear submarine officer in the U.S. Navy. Mr. Sherman has a B.S. in Electrical Engineering from Carnegie Mellon University and holds an MBA from The George Washington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Sherman’s experience in transaction execution, investment banking and the investing in the cannabis sector made him well qualified to serve on SpringBig’s Board of Directors at the time when he had that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Marc Shiffman</w:t>
      </w:r>
      <w:r>
        <w:rPr>
          <w:rFonts w:ascii="Times New Roman;Times;Serif" w:hAnsi="Times New Roman;Times;Serif"/>
          <w:b w:val="false"/>
          <w:i w:val="false"/>
          <w:caps w:val="false"/>
          <w:smallCaps w:val="false"/>
          <w:sz w:val="20"/>
        </w:rPr>
        <w:t>, age 58, served as a member of the Board of Directors, Lead Independent Director and member of the Audit Committee of SpringBig from September 23, 2024 until his resignation on September 29, 2025. Mr. Shiffman is the former President and Chief Executive Officer, and served on the board of directors, at SMS Assist, a technology platform serving the property services management industry, which was acquired by Lessen Inc. in January 2023. Before being named CEO in April 2019, Mr. Shiffman was President and Chief Financial Officer. Mr. Shiffman currently serves on the Chicago Innovation Board of Advisors. Mr. Shiffman earned his bachelor’s degree in economics from the Wharton School of the University of Pennsylvania and his M.B.A. from The University of Chicago Booth School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Shiffman’s experience on our Board of Directors, as well as his extensive management and financial experience in technology businesses, made him well qualified to serve on SpringBig’s Board of Directors at the time when he had that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 Silver</w:t>
      </w:r>
      <w:r>
        <w:rPr>
          <w:rFonts w:ascii="Times New Roman;Times;Serif" w:hAnsi="Times New Roman;Times;Serif"/>
          <w:b w:val="false"/>
          <w:i w:val="false"/>
          <w:caps w:val="false"/>
          <w:smallCaps w:val="false"/>
          <w:sz w:val="20"/>
        </w:rPr>
        <w:t>, age 66, served as a member of the Board of Directors from his appointment by the Board on May 10, 2024 until his resignation on February 5, 2026. Mr. Silver is President of Optus Capital Corporation. Mr. Silver has made significant real estate investments in both development stage and income producing properties in the residential, commercial and industrial sectors over his 36-year business career. Over the last 23 years, these investments have been made through his company, Optus Capital Corporation. Mr. Silver was a founding partner and Chief Executive Officer of Universal Energy, which was sold in 2009 to Just Energy Group Inc. He co-founded Direct Energy Marketing and grew the company to over $1.3 billion in revenues before selling to Centrica PLC (also known as British Gas) in 2000. Mr. Silver is Chairman and Chief Executive Officer of Eddy Smart Home Solutions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Silver’s experience on our Board of Directors, as well as his extensive management and investment experience, made him well qualified to serve on SpringBig’s Board of Directors at the time when he had that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the members of our Board of Directors and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SpringBig has determined that Mr. Ellis qualifies as an independent director, as defined under the listing rules of The Nasdaq Stock Market LLC (the “Nasdaq listing rules”), and that the Board of Directors of SpringBig consists of one “independent director”, as defined under the rules of the SEC and Nasdaq listing rules relating to director independence requirements, notwithstanding the fact that our Common Stock is no longer listed on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SpringBig maintains an audit committee. The Board of Directors of SpringBig has adopted a charter for this committee, which complies with the applicable requirements of current SEC rules. A copy of the charter for this committee is available on the investor relations portion of SpringBig’s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SpringBig’s audit committee consists of Larry Ellis and one vacancy. Mr. Ellis serves as chair of the audit committee. The Board of Directors has determined that the member of the audit committee satisfies the independence and other requirements of Nasdaq and Rule 10A-3 under the Exchange Act, including that each member of the audit committee can read and understand fundamental financial statements in accordance with Nasdaq audit committee requirements (even though our Common Stock is no longer listed on Nasdaq). In arriving at this determination, the Board of Directors of SpringBig examined the audit committee member’s scope of experience and the nature of their prior and/or current employment.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SpringBig has determined that the chair of the audit committee qualifies as an audit committee financial expert within the meaning of SEC regulations and meets the financial sophistication requirements of Nasdaq listing rules (even though our Common Stock is no longer listed on Nasdaq). In making this determination, the Board of Directors of SpringBig considered Mr. Ellis’s formal education and previous and extensive experience in management and advisory roles. Both SpringBig’s independent registered public accounting firm and management periodically meet privately with SpringBig’s audit committee.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this committee include, among other things:</w:t>
      </w:r>
    </w:p>
    <w:p>
      <w:pPr>
        <w:pStyle w:val="TextBody"/>
        <w:bidi w:val="0"/>
        <w:spacing w:before="0" w:after="0"/>
        <w:ind w:left="0" w:right="0" w:firstLine="36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68"/>
        <w:gridCol w:w="200"/>
        <w:gridCol w:w="72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approve the hiring, discharging and compensation of SpringBig’s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68"/>
        <w:gridCol w:w="200"/>
        <w:gridCol w:w="45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oversee the work of SpringBig’s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68"/>
        <w:gridCol w:w="200"/>
        <w:gridCol w:w="8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approve engagements of the independent auditors to render any audit or permissible non-audit services;</w:t>
            </w:r>
          </w:p>
        </w:tc>
      </w:tr>
    </w:tbl>
    <w:p>
      <w:pPr>
        <w:pStyle w:val="TextBody"/>
        <w:bidi w:val="0"/>
        <w:spacing w:before="0" w:after="0"/>
        <w:ind w:left="0" w:right="0" w:hanging="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68"/>
        <w:gridCol w:w="200"/>
        <w:gridCol w:w="70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the qualifications, independence and performance of the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SpringBig’s financial statements and review SpringBig’s critical accounting policies and estimates;</w:t>
            </w:r>
          </w:p>
        </w:tc>
      </w:tr>
    </w:tbl>
    <w:p>
      <w:pPr>
        <w:pStyle w:val="TextBody"/>
        <w:bidi w:val="0"/>
        <w:spacing w:before="0" w:after="0"/>
        <w:ind w:left="0" w:right="0" w:hanging="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68"/>
        <w:gridCol w:w="200"/>
        <w:gridCol w:w="6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the adequacy and effectiveness of SpringBig’s internal controls;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and discuss with management and the independent auditors the results of SpringBig’s annual audit, SpringBig’s quarterly financial statements and SpringBig’s publicly filed reports.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will consider director candidates recommended by stockholders. The Board does not intend to alter the manner in which it evaluates candidates, including the minimum criteria set forth above, based on whether or not the candidate was recommended by a stockholder. Stockholders who wish to recommend individuals for consideration by the Board to become nominees for election to the Board may do so by providing timely notice in writing to our Chief Financial Officer at c/o SpringBig Holdings, Inc., 621 NW 53rd Street, Suite 340, Boca Raton, Florida 33487. To be timely, we must receive the notice not less than 90 days nor more than 120 days prior to the anniversary of the prior year’s annual meeting of stockholders;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the date of the annual meeting is more than 30 days before or more than 30 days after such anniversary date, we must receive the stockholder’s notice (i) no earlier than the close of business on the 120th day prior to the proposed date of the annual meeting and (ii) no later than the close of business on the later of the 90th day prior to the annual meeting or the 10th day following the day on which we first make a public announcement of the date of the annual meeting. Submissions must include the specific information required in Article III of our Bylaws. For additional information about our director nomination requirements, please see our Bylaws.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and Its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met 7 times during the fiscal year ended December 31, 2024 and 4 times during the fiscal year ended December 31, 2025. The Audit Committee met 4 times during the fiscal year ended December 31, 2024 and 4 times during the fiscal year ended December 31, 2025. Each director attended 75% or more of the aggregate number of meetings of the Board and of the committees on which he or she served, held during the portion of the fiscal year ended December 31, 2024 and December 31, 2025 for which he or she was a director or committee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“Executive and Director Compensation” under Item 11. Executive Compensation above for information regarding compensation paid to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Executive Officers </w:t>
      </w:r>
      <w:r>
        <w:rPr>
          <w:rFonts w:ascii="Times New Roman;Times;Serif" w:hAnsi="Times New Roman;Times;Serif"/>
          <w:b w:val="false"/>
          <w:i w:val="false"/>
          <w:caps w:val="false"/>
          <w:smallCaps w:val="false"/>
          <w:sz w:val="20"/>
        </w:rPr>
        <w:t>(ages listed herein are as of February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Jaret Christopher</w:t>
      </w:r>
      <w:r>
        <w:rPr>
          <w:rFonts w:ascii="Times New Roman;Times;Serif" w:hAnsi="Times New Roman;Times;Serif"/>
          <w:b w:val="false"/>
          <w:i w:val="false"/>
          <w:caps w:val="false"/>
          <w:smallCaps w:val="false"/>
          <w:sz w:val="20"/>
        </w:rPr>
        <w:t xml:space="preserve"> also serves as a member and Chairman of the Board of Directors of SpringBig. See above under the heading “— Board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Jason Moos, age 46</w:t>
      </w:r>
      <w:r>
        <w:rPr>
          <w:rFonts w:ascii="Times New Roman;Times;Serif" w:hAnsi="Times New Roman;Times;Serif"/>
          <w:b w:val="false"/>
          <w:i w:val="false"/>
          <w:caps w:val="false"/>
          <w:smallCaps w:val="false"/>
          <w:sz w:val="20"/>
        </w:rPr>
        <w:t>, has served as the Chief Financial Officer of SpringBig since May 8, 2025. Mr. Moos brings over 20 years of financial and operational leadership. Mr. Moos previously served as the Chief Financial Officer at Fleetworthy Solutions from July 2024 through March 2025, where he led two major acquisitions and expanded the company’s market presence in the fleet software sector. Prior to that role, he held senior leadership roles over 12 years at SMS Assist, including as Chief Financial Officer from February 2022 to March 2024, Executive Vice President, Finance &amp; Accounting from February 2021 to February 2022 and Vice President Finance May 2016 to February 2021, where he was instrumental in scaling the company’s revenue and driving one of the largest private-to-private deals in proptech history. Mr. Moos is a C.P.A. and holds a Bachelor’s Degree from Miami University, with a deep background in mergers and acquisitions, financial strategy, and operational growth.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James Cabral, age 53</w:t>
      </w:r>
      <w:r>
        <w:rPr>
          <w:rFonts w:ascii="Times New Roman;Times;Serif" w:hAnsi="Times New Roman;Times;Serif"/>
          <w:b w:val="false"/>
          <w:i w:val="false"/>
          <w:caps w:val="false"/>
          <w:smallCaps w:val="false"/>
          <w:sz w:val="20"/>
        </w:rPr>
        <w:t>, has served as the Chief Operating Officer of SpringBig since May 8, 2025. Mr. Cabral brings a wealth of experience in leading high-performance go-to-market teams. With a track record of success at both early-stage startups and large public companies, Mr. Cabral most recently served at Warehouse Exchange as Chief Operating Officer from July 2024 to April 2025 and Chief Revenue Officer from March 2021 to July 2024. There, he oversaw sales, marketing, and operations for a platform dedicated to optimizing commercial real estate usage. Prior to that, he held key executive roles at Gordian—where he led the RSMeans division through its acquisition by Fortive—and OneSource, where he played a pivotal role in guiding the company through a successful acquisition.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knowledge, based solely on a review of the copies of such reports furnished to the Company and written representations that no other reports were required, during the year ended December 31, 2025, we believe that all of our officers, directors and greater than 10% beneficial owners timely filed all reports required by Section 16(a) of the Exchange Act except for one untimely report on Form 3 for James Cabral, Chief Operating Officer, and one untimely report on Form 3 for Larry Ellis, Director, in each case, due to an unanticipated delay in obtaining the reporting persons’ EDGAR filing codes.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9"/>
      <w:bookmarkEnd w:id="4"/>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“Executive and Director Compensation” section to “we,” “us,” “our,” “SpringBig,” or the “Company” refer to SpringBig, Inc. prior to the consummation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may contain forward-looking statements that are based on SpringBig’s current plans, considerations, expectations and determinations regarding future compensation programs. Actual compensation programs that it adopts following the completion of the business combination may differ materially from the currently planned programs summarized in this discussion.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SpringBig’s named executive officers, including its principal executive officer, as of December 31, 2025, were:</w:t>
      </w:r>
    </w:p>
    <w:p>
      <w:pPr>
        <w:pStyle w:val="TextBody"/>
        <w:bidi w:val="0"/>
        <w:spacing w:before="0" w:after="0"/>
        <w:ind w:left="0" w:right="0" w:firstLine="36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05"/>
        <w:gridCol w:w="200"/>
        <w:gridCol w:w="45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Jaret Christopher, SpringBig’s Chief Executive Officer;</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Moos, SpringBig’s Chief Financial Officer;</w:t>
            </w:r>
          </w:p>
        </w:tc>
      </w:tr>
    </w:tbl>
    <w:p>
      <w:pPr>
        <w:pStyle w:val="TextBody"/>
        <w:bidi w:val="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68"/>
        <w:gridCol w:w="200"/>
        <w:gridCol w:w="42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James Cabral, SpringBig’s Chief Operating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compensation earned by or paid to SpringBig’s named executive officers.</w:t>
      </w:r>
    </w:p>
    <w:p>
      <w:pPr>
        <w:pStyle w:val="TextBody"/>
        <w:bidi w:val="0"/>
        <w:spacing w:before="0" w:after="0"/>
        <w:ind w:left="0" w:right="0" w:firstLine="360"/>
        <w:jc w:val="both"/>
        <w:rPr>
          <w:caps w:val="false"/>
          <w:smallCaps w:val="false"/>
        </w:rPr>
      </w:pPr>
      <w:r>
        <w:rPr>
          <w:caps w:val="false"/>
          <w:smallCaps w:val="false"/>
        </w:rPr>
        <w:t> </w:t>
      </w:r>
    </w:p>
    <w:tbl>
      <w:tblPr>
        <w:tblW w:w="10735" w:type="dxa"/>
        <w:jc w:val="left"/>
        <w:tblInd w:w="0" w:type="dxa"/>
        <w:tblLayout w:type="fixed"/>
        <w:tblCellMar>
          <w:top w:w="0" w:type="dxa"/>
          <w:left w:w="0" w:type="dxa"/>
          <w:bottom w:w="28" w:type="dxa"/>
          <w:right w:w="0" w:type="dxa"/>
        </w:tblCellMar>
      </w:tblPr>
      <w:tblGrid>
        <w:gridCol w:w="1175"/>
        <w:gridCol w:w="90"/>
        <w:gridCol w:w="90"/>
        <w:gridCol w:w="530"/>
        <w:gridCol w:w="90"/>
        <w:gridCol w:w="90"/>
        <w:gridCol w:w="170"/>
        <w:gridCol w:w="830"/>
        <w:gridCol w:w="90"/>
        <w:gridCol w:w="90"/>
        <w:gridCol w:w="256"/>
        <w:gridCol w:w="439"/>
        <w:gridCol w:w="90"/>
        <w:gridCol w:w="90"/>
        <w:gridCol w:w="317"/>
        <w:gridCol w:w="543"/>
        <w:gridCol w:w="90"/>
        <w:gridCol w:w="90"/>
        <w:gridCol w:w="317"/>
        <w:gridCol w:w="543"/>
        <w:gridCol w:w="90"/>
        <w:gridCol w:w="90"/>
        <w:gridCol w:w="274"/>
        <w:gridCol w:w="1246"/>
        <w:gridCol w:w="90"/>
        <w:gridCol w:w="90"/>
        <w:gridCol w:w="258"/>
        <w:gridCol w:w="1262"/>
        <w:gridCol w:w="90"/>
        <w:gridCol w:w="90"/>
        <w:gridCol w:w="170"/>
        <w:gridCol w:w="830"/>
        <w:gridCol w:w="135"/>
      </w:tblGrid>
      <w:tr>
        <w:trPr/>
        <w:tc>
          <w:tcPr>
            <w:tcW w:w="1175" w:type="dxa"/>
            <w:tcBorders>
              <w:bottom w:val="single" w:sz="12" w:space="0" w:color="000000"/>
            </w:tcBorders>
            <w:vAlign w:val="center"/>
          </w:tcPr>
          <w:p>
            <w:pPr>
              <w:pStyle w:val="TableContents"/>
              <w:bidi w:val="0"/>
              <w:spacing w:before="0" w:after="283"/>
              <w:ind w:left="0" w:right="0" w:hanging="180"/>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 xml:space="preserve">Salary </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 xml:space="preserve">Bonus </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Stock</w:t>
              <w:br/>
              <w:t xml:space="preserve">Awards </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 xml:space="preserve">Option Awards </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Non-Equity Incentive Plan Compensation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 Compensation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 xml:space="preserve">Total </w:t>
              <w:b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Jaret Christopher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356,280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w:t>
            </w:r>
          </w:p>
        </w:tc>
        <w:tc>
          <w:tcPr>
            <w:tcW w:w="43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356,280</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r>
              <w:rPr>
                <w:rFonts w:ascii="Times New Roman;Times;Serif" w:hAnsi="Times New Roman;Times;Serif"/>
                <w:i/>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24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75" w:type="dxa"/>
            <w:tcBorders/>
            <w:tcMar>
              <w:bottom w:w="0" w:type="dxa"/>
            </w:tcMar>
            <w:vAlign w:val="center"/>
          </w:tcPr>
          <w:p>
            <w:pPr>
              <w:pStyle w:val="TableContents"/>
              <w:bidi w:val="0"/>
              <w:spacing w:before="0" w:after="283"/>
              <w:jc w:val="left"/>
              <w:rPr/>
            </w:pPr>
            <w:r>
              <w:rPr/>
              <w:t>Jason Moos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272,940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6" w:type="dxa"/>
            <w:tcBorders/>
            <w:tcMar>
              <w:bottom w:w="0" w:type="dxa"/>
            </w:tcMar>
            <w:vAlign w:val="center"/>
          </w:tcPr>
          <w:p>
            <w:pPr>
              <w:pStyle w:val="TableContents"/>
              <w:bidi w:val="0"/>
              <w:spacing w:before="0" w:after="283"/>
              <w:jc w:val="left"/>
              <w:rPr/>
            </w:pPr>
            <w:r>
              <w:rPr/>
              <w:t>$</w:t>
            </w:r>
          </w:p>
        </w:tc>
        <w:tc>
          <w:tcPr>
            <w:tcW w:w="43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w:t>
            </w:r>
          </w:p>
        </w:tc>
        <w:tc>
          <w:tcPr>
            <w:tcW w:w="54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w:t>
            </w:r>
          </w:p>
        </w:tc>
        <w:tc>
          <w:tcPr>
            <w:tcW w:w="54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w:t>
            </w:r>
          </w:p>
        </w:tc>
        <w:tc>
          <w:tcPr>
            <w:tcW w:w="126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272,940</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Financial Officer</w:t>
            </w:r>
            <w:r>
              <w:rPr>
                <w:rFonts w:ascii="Times New Roman;Times;Serif" w:hAnsi="Times New Roman;Times;Serif"/>
                <w:i/>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6" w:type="dxa"/>
            <w:tcBorders/>
            <w:tcMar>
              <w:bottom w:w="0" w:type="dxa"/>
            </w:tcMar>
            <w:vAlign w:val="center"/>
          </w:tcPr>
          <w:p>
            <w:pPr>
              <w:pStyle w:val="TableContents"/>
              <w:bidi w:val="0"/>
              <w:spacing w:before="0" w:after="283"/>
              <w:jc w:val="left"/>
              <w:rPr/>
            </w:pPr>
            <w:r>
              <w:rPr/>
              <w:t> </w:t>
            </w:r>
          </w:p>
        </w:tc>
        <w:tc>
          <w:tcPr>
            <w:tcW w:w="43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 </w:t>
            </w:r>
          </w:p>
        </w:tc>
        <w:tc>
          <w:tcPr>
            <w:tcW w:w="54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 </w:t>
            </w:r>
          </w:p>
        </w:tc>
        <w:tc>
          <w:tcPr>
            <w:tcW w:w="54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 </w:t>
            </w:r>
          </w:p>
        </w:tc>
        <w:tc>
          <w:tcPr>
            <w:tcW w:w="124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James Cabral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191,667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w:t>
            </w:r>
          </w:p>
        </w:tc>
        <w:tc>
          <w:tcPr>
            <w:tcW w:w="43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191,667</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Operating Officer</w:t>
            </w:r>
            <w:r>
              <w:rPr>
                <w:rFonts w:ascii="Times New Roman;Times;Serif" w:hAnsi="Times New Roman;Times;Serif"/>
                <w:i/>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24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75" w:type="dxa"/>
            <w:tcBorders/>
            <w:tcMar>
              <w:bottom w:w="0" w:type="dxa"/>
            </w:tcMar>
            <w:vAlign w:val="center"/>
          </w:tcPr>
          <w:p>
            <w:pPr>
              <w:pStyle w:val="TableContents"/>
              <w:bidi w:val="0"/>
              <w:spacing w:before="0" w:after="283"/>
              <w:jc w:val="left"/>
              <w:rPr/>
            </w:pPr>
            <w:r>
              <w:rPr/>
              <w:t>Jeffrey Harris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112,500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6" w:type="dxa"/>
            <w:tcBorders/>
            <w:tcMar>
              <w:bottom w:w="0" w:type="dxa"/>
            </w:tcMar>
            <w:vAlign w:val="center"/>
          </w:tcPr>
          <w:p>
            <w:pPr>
              <w:pStyle w:val="TableContents"/>
              <w:bidi w:val="0"/>
              <w:spacing w:before="0" w:after="283"/>
              <w:jc w:val="left"/>
              <w:rPr/>
            </w:pPr>
            <w:r>
              <w:rPr/>
              <w:t>$</w:t>
            </w:r>
          </w:p>
        </w:tc>
        <w:tc>
          <w:tcPr>
            <w:tcW w:w="43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w:t>
            </w:r>
          </w:p>
        </w:tc>
        <w:tc>
          <w:tcPr>
            <w:tcW w:w="54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w:t>
            </w:r>
          </w:p>
        </w:tc>
        <w:tc>
          <w:tcPr>
            <w:tcW w:w="54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w:t>
            </w:r>
          </w:p>
        </w:tc>
        <w:tc>
          <w:tcPr>
            <w:tcW w:w="126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112,500</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Chief Executive Officer</w:t>
            </w:r>
            <w:r>
              <w:rPr>
                <w:rFonts w:ascii="Times New Roman;Times;Serif" w:hAnsi="Times New Roman;Times;Serif"/>
                <w:i/>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450,000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6" w:type="dxa"/>
            <w:tcBorders/>
            <w:tcMar>
              <w:bottom w:w="0" w:type="dxa"/>
            </w:tcMar>
            <w:vAlign w:val="center"/>
          </w:tcPr>
          <w:p>
            <w:pPr>
              <w:pStyle w:val="TableContents"/>
              <w:bidi w:val="0"/>
              <w:spacing w:before="0" w:after="283"/>
              <w:jc w:val="left"/>
              <w:rPr/>
            </w:pPr>
            <w:r>
              <w:rPr/>
              <w:t>$</w:t>
            </w:r>
          </w:p>
        </w:tc>
        <w:tc>
          <w:tcPr>
            <w:tcW w:w="43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w:t>
            </w:r>
          </w:p>
        </w:tc>
        <w:tc>
          <w:tcPr>
            <w:tcW w:w="54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7" w:type="dxa"/>
            <w:tcBorders/>
            <w:tcMar>
              <w:bottom w:w="0" w:type="dxa"/>
            </w:tcMar>
            <w:vAlign w:val="center"/>
          </w:tcPr>
          <w:p>
            <w:pPr>
              <w:pStyle w:val="TableContents"/>
              <w:bidi w:val="0"/>
              <w:spacing w:before="0" w:after="283"/>
              <w:jc w:val="left"/>
              <w:rPr/>
            </w:pPr>
            <w:r>
              <w:rPr/>
              <w:t>$</w:t>
            </w:r>
          </w:p>
        </w:tc>
        <w:tc>
          <w:tcPr>
            <w:tcW w:w="54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w:t>
            </w:r>
          </w:p>
        </w:tc>
        <w:tc>
          <w:tcPr>
            <w:tcW w:w="126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450,000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Paul Sykes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128,227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w:t>
            </w:r>
          </w:p>
        </w:tc>
        <w:tc>
          <w:tcPr>
            <w:tcW w:w="43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120,000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248,227</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Chief Financial Officer</w:t>
            </w:r>
            <w:r>
              <w:rPr>
                <w:rFonts w:ascii="Times New Roman;Times;Serif" w:hAnsi="Times New Roman;Times;Serif"/>
                <w:i/>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362,833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w:t>
            </w:r>
          </w:p>
        </w:tc>
        <w:tc>
          <w:tcPr>
            <w:tcW w:w="43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362,833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Christopher was appointed Chief Executive Officer effective April 1, 2025.</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Moos was appointed Chief Financial Officer effective May 8, 2025.</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Cabral was appointed Chief Operating Officer effective May 8, 2025.</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Harris’s employment as Chief Executive Officer ceased effective March 31, 2025.</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Sykes’s employment as Chief Financial Officer ceased effective May 7, 2025.  All other compensation consists of $120,000 paid to Mr. Sykes pursuant to the Sykes Separation Agreement.  See below under “—Executive Employment Arrangements—Mr. Sykes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compensation programs for SpringBig’s named executive officers consisted of base salary, which is set at a level that is intended to reflect the executive’s duties, authorities, contributions, prior experience and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 and Perquisites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provides benefits to its named executive officers on the same basis as provided to all of its employees, including medical, vision and dental insurance; life insurance; short and long-term disability insurance; and a 401(k) plan. SpringBig does not maintain any executive-specific benefit or executive perquisite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maintains a tax-qualified retirement plan that provides its employees, including its named executive officers, who satisfy certain eligibility requirements with an opportunity to save for retirement on a tax advantaged basis. Eligible employees are able to participate in the 401(k) plan as of the first day of the month following attainment of age 21 and completion of one month of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CEO Offer Letter, VICE CRM Acquisition and Employment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 Letter</w:t>
      </w:r>
      <w:r>
        <w:rPr>
          <w:rFonts w:ascii="Times New Roman;Times;Serif" w:hAnsi="Times New Roman;Times;Serif"/>
          <w:b w:val="false"/>
          <w:i w:val="false"/>
          <w:caps w:val="false"/>
          <w:smallCaps w:val="false"/>
          <w:sz w:val="20"/>
        </w:rPr>
        <w:t>. In connection with the CEO Appointment, the Company and Mr. Christopher entered into that certain offer letter dated March 13, 2025 (“CEO Offer Letter”). As set forth in the CEO Offer Letter, the Company has intended to acquire VICE CRM LLC, a Massachusetts limited liability company, which is an artificial intelligence (AI)-enabled performance marketing platform designed to optimize return on investment for consumer marketing campaigns in highly regulated industries, as well as the assets consisting of the source code and related intellectual property that is being licensed to it (the “Acquisition”). Mr. Christopher founded VICE CRM LLC, was its majority shareholder and served as its Chief Executive Officer. The Company completed the Acquisition on July 31, 2025 in exchange for 2,383,126 shares of the Company’s common stock, par value $0.0001 per share, issued in a private placement transaction, half of which was issued at closing (of which 772,133 shares were issued to Mr. Christopher) and the remaining half of which would be issued entirely to Mr. Christopher after 12 months of Mr. Christopher’s continuous service to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pay Mr. Christopher a base salary of $450,000 per year and make him eligible for an annual discretionary performance bonus based on achieving specific to be determined metrics or goals, with a target of 50% of then-applicable base salary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agreed to grant Mr. Christopher 4,766,251 restricted stock awards (“RSAs”) under the Company’s 2022 Amended and Restated Long-Term Incentive Plan (the “Plan”). The RSAs will vest over a four-year period, with 25% vesting after 12 months of continuous service and the remaining 75% vesting in equal quarterly installments over the following three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has agreed to grant Mr. Christopher 8,125,000 restricted stock units (“RSUs”) under the Plan representing the right to receive Common Shares upon milestone-based vesting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Milestone 1: 1,932,500 RSUs will vest if the Common Share price achieves and sustains an average closing price above $1.00 for 180 consecutive trading days.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Milestone 2: An additional 1,996,500 RSUs will vest if the Common Share price achieves and sustains an average closing price above $2.00 for 180 consecutive trading days.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Milestone 3: An additional 2,062,000 RSUs will vest if the Common Share price achieves and sustains an average closing price above $3.00 for 180 consecutive trading days.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Milestone 4: An additional 2,134,000 RSUs will vest if the Common Share price achieves and sustains an average closing price above $4.00 for 180 consecutive trading days.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enter into customary grant agreements with Mr. Christopher to evidence the grants of the RSAs and RSUs and which will contain customary terms and conditions, including repurchase rights and obligations upon a separation event (the “Award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Christopher has the right to serve as an observer to the Company’s Board, which affords him information rights afforded to each of the Board directors and allows him to participate in all meetings of the Board, but no right to vote on any matter submitted to the Board or otherwise considered for approval, or consent, by the Board. Upon his appointment as Chief Executive Officer, the Board intends to appoint Mr. Christopher as a member of the Board (without additional compensation), increasing the size of the Board as necessary.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Christopher is generally eligible to participate in the Company’s regular medical, dental, vision, disability, and life insurance benefits. He is also subject to confidentiality and assignment of intellectual property provisions and certain restrictive covenants, including two years post-employment non-competition and non-solicitation of employees and customer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 Agreement</w:t>
      </w:r>
      <w:r>
        <w:rPr>
          <w:rFonts w:ascii="Times New Roman;Times;Serif" w:hAnsi="Times New Roman;Times;Serif"/>
          <w:b w:val="false"/>
          <w:i w:val="false"/>
          <w:caps w:val="false"/>
          <w:smallCaps w:val="false"/>
          <w:sz w:val="20"/>
        </w:rPr>
        <w:t>. Following the CEO Offer Letter, on April 1, 2026, the Company and Mr. Christopher entered into an Executive Employment Agreement (the “Employment Agreement”) with Mr. Christopher. The Employment Agreement formalizes and supersedes the terms of the CEO Offer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Employment Agreement are summarized below. To the extent not described below, the Employment Agreement contains terms that are materially consistent with the terms of the CEO Offer Letter as previously disclosed on the Form 8-K filed on March 21,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Employment Agreement, Mr. Christopher will continue to serve as Chief Executive Officer of the Company for an initial term of three years from the Effective Date, with automatic one-year renewal periods thereafter unless either party provides at least 60 days’ prior written notice of non-renewal. Non-renewal by the Company is treated as a termination by the Company without Cause (as defined in the Employment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provides for an annual base salary of $450,000, subject to annual review by the Board or a committee thereof, and a target annual cash bonus opportunity equal to 50% of Mr. Christopher’s then-current annual base salary, in each case consistent with the terms of the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Employment Agreement, Mr. Christopher is eligible to receive additional equity incentive awards under the Company’s long-term incentive plan as in effect from time to time, as determined by the Board or a committee thereof. On the Effective Date of the Employment Agreement, the Company and Mr. Christopher also executed a Restricted Stock Award Agreement (the “RSA Agreement”), pursuant to which Mr. Christopher was granted 12,891,251 shares of restricted common stock of the Company. Approximately 8,320,939 of such shares vested on the Effective Date, with the remaining shares vesting in equal quarterly installments over approximately three years, subject to Mr. Christopher’s continued service. The restricted stock is subject to accelerated vesting upon certain qualifying events, including specified terminations of employment, as set forth in the RSA Agreement. In the event of a termination by the Company without cause or by Mr. Christopher for good reason (as defined in the RSA Agreement), an additional portion of the unvested Restricted Stock shall immediately become vested, subject to the terms and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provides that, in connection with a Change in Control (as defined in the Employment Agreement by reference to the Plan (as defined below)), Mr. Christopher may be entitled to receive additional cash compensation upon a qualifying termination of employment in connection with such Change in Control, subject to the terms and conditions set forth in the Employment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sets forth the circumstances under which Mr. Christopher’s employment may be terminated, including for Cause, without Cause, for Good Reason, without Good Reason, and upon death or Disability (each as defined in the Employment Agreement). In the event of a termination by the Company without Cause or by Mr. Christopher for Good Reason (each, a “Qualifying Termination”), subject to Mr. Christopher’s execution and non-revocation of a release of claims: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Outside of a Change in Control:</w:t>
            </w:r>
            <w:r>
              <w:rPr>
                <w:rFonts w:ascii="Times New Roman;Times;Serif" w:hAnsi="Times New Roman;Times;Serif"/>
                <w:sz w:val="20"/>
              </w:rPr>
              <w:t xml:space="preserve"> Mr. Christopher will be entitled to (i) continued payment of his annual base salary for a period of 12 months following such termination, (ii) a pro-rata annual bonus for the year of termination based on actual performance, (iii) Company-paid COBRA continuation coverage for up to 12 months, and (iv) any other earned and vested but unpaid amounts.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Within 18 months following a Change in Control:</w:t>
            </w:r>
            <w:r>
              <w:rPr>
                <w:rFonts w:ascii="Times New Roman;Times;Serif" w:hAnsi="Times New Roman;Times;Serif"/>
                <w:sz w:val="20"/>
              </w:rPr>
              <w:t xml:space="preserve"> In the event of a Qualifying Termination within a specified period following a Change in Control (as set forth in the Employment Agreement), Mr. Christopher will be entitled to (i) a lump-sum cash severance payment equal to the sum of his annual base salary plus target annual bonus, (ii) Company-paid COBRA continuation coverage for up to 12 months, and (iii) any other earned and vested but unpaid amounts.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Reason under the Employment Agreement includes, among other things, a material breach of the Employment Agreement by the Company, a material adverse change in Mr. Christopher’s duties or responsibilities, Mr. Christopher no longer serving as Chief Executive Officer, or a reduction in his annual base salary or a material reduction in target annual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a Change in Control (as such term is defined in the Plan), subject to the terms and conditions set forth in the applicable bonus agreement, Mr. Christopher is eligible to a retention bonus amount of $18,075.32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Restrictive Covenants.</w:t>
      </w:r>
      <w:r>
        <w:rPr>
          <w:rFonts w:ascii="Times New Roman;Times;Serif" w:hAnsi="Times New Roman;Times;Serif"/>
          <w:b w:val="false"/>
          <w:i w:val="false"/>
          <w:caps w:val="false"/>
          <w:smallCaps w:val="false"/>
          <w:sz w:val="20"/>
        </w:rPr>
        <w:t xml:space="preserve"> The Employment Agreement contains customary nonsolicitation, nondisclosure, assignment of inventions and noncompetition covenants. The post-employment noncompetition and nonsolicitation restrictive periods are for a period of 12 months post-employment.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and RSA Agreement does not purport to be complete and is qualified in its entirety by reference to the complete text of the Employment Agreement and RSA Agreement, copies of which will be filed as exhibits to the Company’s next periodic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CFO Offer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Appointment, the Company and Mr. Moos agreed to an offer letter (the “CFO Offer Letter”). The Company has agreed to pay Mr. Moos a base salary of $350,000 per year and make him eligible for an annual discretionary performance bonus based on achieving specific to be determined metrics or goals, with a target of 50% of then-applicable base salary.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agreed to grant Mr. Moos 953,613 restricted stock units (“RSUs”) under the Company’s 2022 Amended and Restated Long-Term Incentive Plan. The RSUs will vest over a four-year period, with 25% vesting after 12 months of continuous service and the remaining 75% vesting in equal quarterly installments over the following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has agreed to grant Mr. Moos 953,613 RSU under the 2022 Amended and Restated Long-Term Incentive Plan representing the right to receive Common Shares upon milestone-based vesting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Milestone 1: 158,936 RSUs will vest if the Common Share price achieves and sustains an average closing price above $0.25 for 180 consecutive trading days.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Milestone 2: An additional 158,936 RSUs will vest if the Common Share price achieves and sustains an average closing price above $0.35 for 180 consecutive trading days.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Milestone 3: An additional 158,935 RSUs will vest if the Common Share price achieves and sustains an average closing price above $0.45 for 180 consecutive trading days.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Milestone 4: An additional 158,935 RSUs will vest if the Common Share price achieves and sustains an average closing price above $0.55 for 180 consecutive trading days.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Milestone 5: An additional 158,935 RSUs will vest if the Common Share price achieves and sustains an average closing price above $0.65 for 180 consecutive trading days.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Milestone 6: An additional 158,936 RSUs will vest if the Common Share price achieves and sustains an average closing price above $0.75 for 180 consecutive trading days.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enter into customary grant agreements with Mr. Moos to evidence the grants of the RSUs which will contain customary terms and conditions, including repurchase rights and obligations upon a separation event (the “Award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Moos is generally eligible to participate in the Company’s regular medical, dental, vision, disability, and life insurance benefits. He is also subject to confidentiality and assignment of intellectual property provisions and certain restrictive covenants, including two years post-employment non-competition and non-solicitation of employees and customer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COO Offer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COO Appointment, the Company and Mr. Cabral agreed to an offer letter (the “COO Offer Letter”). The Company has agreed to pay Mr. Cabral a base salary of $275,000 per year and is generally eligible to participate in the Company’s regular medical, dental, vision, disability, and life insurance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CFO and COO Compensatory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Board approved bonus arrangements (the “Bonus Arrangements”) for certain executive officers of the Company, including Jason Moos, the Company’s Chief Financial Officer, and James Cabral, the Company’s Chief Operating Officer. The Bonus Arrangements will provide for retention and phantom bonuses to be paid to Messrs. Moos and Cabral in connection with a Change in Control (as such term is defined in the Plan), subject to the terms and conditions set forth in the applicable bonus agreements. Under the Bonus Arrangements, Mr. Moos is eligible to receive 1,907,229 phantom units and a cash bonus amount of $165,000, and Mr. Cabral is eligible to receive 1,056,824 phantom units and a cash bonus amount of $110,000.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Harris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Mr. Harris stepped down as the Company’s CEO. Pursuant to agreements entered into between Mr. Harris and the Company, the Company is required to grant to Mr. Harris 250,000 restricted stock units pursuant to its 2022 Long-Term Incentive Plan subject to vesting on the earlier of the occurrence of a change of control and March 31, 2026. Furthermore, the Company is required to pay Mr. Harris 3% and 2% of all revenue from gaming customers for years ending December 31, 2025, and 2026 respectively. In addition, the Company and Mr. Harris entered into a consulting agreement, whereby Mr. Harris will provide services to the Company for a twelve-month period commencing on April 1, 2025, including being available to the Board and management to help with questions that may arise and to assist the Company with strategic planning. As consideration for his services, Mr. Harris will receive a consulting fee of $450,000 payable in eighteen equal monthly instalments.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Mr. Harris then engaged in litigation brought by Mr. Harris related to these agreements. In 2026, the Company entered into a confidential settlement agreement with Mr. Harris, to resolve previously disclosed disputes. The Company believes the agreement reduces potential litigation exposure and uncertainty associated with this matter and does not expect the resolution to have a material adverse effect on its financial position, results of operations, or liquidity. The Company will pay Mr. Harris $200,000 in eight bi-monthly installments of $25,000, beginning April 1, 2026. No other cash payments will be made and the 250,000 restricted stock units will not be issued.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Sykes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2025, the Company reported that Paul Sykes has announced his intention to separate from his position as the Company’s CFO and an employee of the Company. On the Execution Date, the Board and Mr. Sykes reached an understanding regarding his decision to separate from the Company. On the Execution Date, the Company and Mr. Sykes entered into a Separation and Release of Claims Agreement (the “Sykes Separation Agreement”) pursuant to which the last day of service for Mr. Sykes as the CFO of the Company will be June 14, 2025 (the “Sykes Separation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Execution Date through the Sykes Separation Date, Mr. Sykes will be entitled to his current annualized base salary of $364,000. On the Sykes Separation Date, Mr. Sykes will be entitled to an aggregate bonus of $227,500.05, payable in fifteen semimonthly installments of $15,166.67. In addition, on the Sykes Separation Date, the Company is required to accelerate the vesting of 86,667 restricted stock units previously granted to Mr. Sykes pursuant to the Plan. Furthermore, if Mr. Sykes timely and properly elects COBRA continuation coverage under the Company’s health plan, the Company will generally be required to contribute up to $1,228.93 per month toward premiums under the health plan for up to twelve months following the Sykes Separation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Mr. Sykes is party to a Nonsolicitation, Nondisclosure and Assignment of Inventions Agreement and a Noncompetition Agreement, each dated as of November 8, 2021. The Sykes Separation Agreement provides that both agreements will remain in full force and effect except (i) in both agreements, the Sykes Separation Date would be deemed to be the termination of the relationship between the Company and Mr. Sykes and (ii) in both agreements, the definition of “Business of the Company” was expanded to cover the gaming industry in addition to the cannabis industry.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Sykes Separation Agreement immediately for Cause (as defined in the Sykes Separation Agreement) in which case it would no longer be obligated to make any payments or provide any benefits to Mr. Sykes. The Sykes Separation Agreement also contains customary provisions relating to, among other things, a release of claims, return of property and non-disparagement.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“Amendment Date”) the first amendment to the separation agreement with Mr. Sykes was executed, which revised the terms of the original agreement with Mr. Sykes. Per the amendment, the separation date for Mr. Sykes was accelerated to the Amendment Date, and Mr. Sykes is entitled to a revised bonus of $120,000, payable in twelve equal semimonthly installments. The Company will no longer accelerate the unvested restricted stock units previously granted to Mr. Sykes pursuant to its 2022 Long-Term Incentive Plan. All other terms of the Sykes Separation Agreement will remain in effect.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estimated information regarding outstanding equity awards held by SpringBig’s named executive officers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9"/>
        <w:gridCol w:w="90"/>
        <w:gridCol w:w="692"/>
        <w:gridCol w:w="90"/>
        <w:gridCol w:w="1768"/>
        <w:gridCol w:w="90"/>
        <w:gridCol w:w="1761"/>
        <w:gridCol w:w="90"/>
        <w:gridCol w:w="2031"/>
        <w:gridCol w:w="90"/>
        <w:gridCol w:w="928"/>
        <w:gridCol w:w="90"/>
        <w:gridCol w:w="1148"/>
        <w:gridCol w:w="138"/>
      </w:tblGrid>
      <w:tr>
        <w:trPr/>
        <w:tc>
          <w:tcPr>
            <w:tcW w:w="119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138"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138" w:type="dxa"/>
            <w:tcBorders/>
            <w:vAlign w:val="center"/>
          </w:tcPr>
          <w:p>
            <w:pPr>
              <w:pStyle w:val="TableContents"/>
              <w:bidi w:val="0"/>
              <w:spacing w:before="0" w:after="283"/>
              <w:jc w:val="left"/>
              <w:rPr/>
            </w:pPr>
            <w:r>
              <w:rPr/>
              <w:t> </w:t>
            </w:r>
          </w:p>
        </w:tc>
      </w:tr>
      <w:tr>
        <w:trPr/>
        <w:tc>
          <w:tcPr>
            <w:tcW w:w="119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90" w:type="dxa"/>
            <w:tcBorders/>
            <w:vAlign w:val="center"/>
          </w:tcPr>
          <w:p>
            <w:pPr>
              <w:pStyle w:val="TableContents"/>
              <w:bidi w:val="0"/>
              <w:spacing w:before="0" w:after="283"/>
              <w:jc w:val="left"/>
              <w:rPr/>
            </w:pPr>
            <w:r>
              <w:rPr/>
              <w:t> </w:t>
            </w:r>
          </w:p>
        </w:tc>
        <w:tc>
          <w:tcPr>
            <w:tcW w:w="176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Commencement Date</w:t>
            </w:r>
          </w:p>
        </w:tc>
        <w:tc>
          <w:tcPr>
            <w:tcW w:w="90" w:type="dxa"/>
            <w:tcBorders/>
            <w:vAlign w:val="center"/>
          </w:tcPr>
          <w:p>
            <w:pPr>
              <w:pStyle w:val="TableContents"/>
              <w:bidi w:val="0"/>
              <w:spacing w:before="0" w:after="283"/>
              <w:jc w:val="left"/>
              <w:rPr/>
            </w:pPr>
            <w:r>
              <w:rPr/>
              <w:t> </w:t>
            </w:r>
          </w:p>
        </w:tc>
        <w:tc>
          <w:tcPr>
            <w:tcW w:w="176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securities underlying unexercised options (#) exercisable</w:t>
            </w:r>
          </w:p>
        </w:tc>
        <w:tc>
          <w:tcPr>
            <w:tcW w:w="90" w:type="dxa"/>
            <w:tcBorders/>
            <w:vAlign w:val="center"/>
          </w:tcPr>
          <w:p>
            <w:pPr>
              <w:pStyle w:val="TableContents"/>
              <w:bidi w:val="0"/>
              <w:spacing w:before="0" w:after="283"/>
              <w:jc w:val="left"/>
              <w:rPr/>
            </w:pPr>
            <w:r>
              <w:rPr/>
              <w:t> </w:t>
            </w:r>
          </w:p>
        </w:tc>
        <w:tc>
          <w:tcPr>
            <w:tcW w:w="20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securities underlying unexercised options (#) unexercisable</w:t>
            </w:r>
          </w:p>
        </w:tc>
        <w:tc>
          <w:tcPr>
            <w:tcW w:w="90" w:type="dxa"/>
            <w:tcBorders/>
            <w:vAlign w:val="center"/>
          </w:tcPr>
          <w:p>
            <w:pPr>
              <w:pStyle w:val="TableContents"/>
              <w:bidi w:val="0"/>
              <w:spacing w:before="0" w:after="283"/>
              <w:jc w:val="left"/>
              <w:rPr/>
            </w:pPr>
            <w:r>
              <w:rPr/>
              <w:t> </w:t>
            </w:r>
          </w:p>
        </w:tc>
        <w:tc>
          <w:tcPr>
            <w:tcW w:w="9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exercise price ($)</w:t>
            </w:r>
          </w:p>
        </w:tc>
        <w:tc>
          <w:tcPr>
            <w:tcW w:w="90" w:type="dxa"/>
            <w:tcBorders/>
            <w:vAlign w:val="center"/>
          </w:tcPr>
          <w:p>
            <w:pPr>
              <w:pStyle w:val="TableContents"/>
              <w:bidi w:val="0"/>
              <w:spacing w:before="0" w:after="283"/>
              <w:jc w:val="left"/>
              <w:rPr/>
            </w:pPr>
            <w:r>
              <w:rPr/>
              <w:t> </w:t>
            </w:r>
          </w:p>
        </w:tc>
        <w:tc>
          <w:tcPr>
            <w:tcW w:w="114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expiration date</w:t>
            </w:r>
          </w:p>
        </w:tc>
        <w:tc>
          <w:tcPr>
            <w:tcW w:w="138" w:type="dxa"/>
            <w:tcBorders/>
            <w:vAlign w:val="center"/>
          </w:tcPr>
          <w:p>
            <w:pPr>
              <w:pStyle w:val="TableContents"/>
              <w:bidi w:val="0"/>
              <w:spacing w:before="0" w:after="283"/>
              <w:jc w:val="left"/>
              <w:rPr/>
            </w:pPr>
            <w:r>
              <w:rPr/>
              <w:t> </w:t>
            </w:r>
          </w:p>
        </w:tc>
      </w:tr>
      <w:tr>
        <w:trPr/>
        <w:tc>
          <w:tcPr>
            <w:tcW w:w="1199" w:type="dxa"/>
            <w:tcBorders/>
            <w:shd w:fill="CCEEFF" w:val="clear"/>
            <w:vAlign w:val="center"/>
          </w:tcPr>
          <w:p>
            <w:pPr>
              <w:pStyle w:val="TableContents"/>
              <w:bidi w:val="0"/>
              <w:spacing w:before="0" w:after="283"/>
              <w:jc w:val="left"/>
              <w:rPr/>
            </w:pPr>
            <w:r>
              <w:rPr/>
              <w:t>Jaret Christopher</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203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1199" w:type="dxa"/>
            <w:tcBorders/>
            <w:vAlign w:val="center"/>
          </w:tcPr>
          <w:p>
            <w:pPr>
              <w:pStyle w:val="TableContents"/>
              <w:bidi w:val="0"/>
              <w:spacing w:before="0" w:after="283"/>
              <w:jc w:val="left"/>
              <w:rPr/>
            </w:pPr>
            <w:r>
              <w:rPr/>
              <w:t>Jason Moos</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6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203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jc w:val="left"/>
              <w:rPr/>
            </w:pPr>
            <w:r>
              <w:rPr/>
              <w:t> </w:t>
            </w:r>
          </w:p>
        </w:tc>
      </w:tr>
      <w:tr>
        <w:trPr/>
        <w:tc>
          <w:tcPr>
            <w:tcW w:w="1199" w:type="dxa"/>
            <w:tcBorders/>
            <w:shd w:fill="CCEEFF" w:val="clear"/>
            <w:vAlign w:val="center"/>
          </w:tcPr>
          <w:p>
            <w:pPr>
              <w:pStyle w:val="TableContents"/>
              <w:bidi w:val="0"/>
              <w:spacing w:before="0" w:after="283"/>
              <w:jc w:val="left"/>
              <w:rPr/>
            </w:pPr>
            <w:r>
              <w:rPr/>
              <w:t>James Cabral</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203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1"/>
        <w:gridCol w:w="90"/>
        <w:gridCol w:w="90"/>
        <w:gridCol w:w="813"/>
        <w:gridCol w:w="90"/>
        <w:gridCol w:w="90"/>
        <w:gridCol w:w="90"/>
        <w:gridCol w:w="2075"/>
        <w:gridCol w:w="90"/>
        <w:gridCol w:w="90"/>
        <w:gridCol w:w="90"/>
        <w:gridCol w:w="2370"/>
        <w:gridCol w:w="90"/>
        <w:gridCol w:w="90"/>
        <w:gridCol w:w="90"/>
        <w:gridCol w:w="2510"/>
        <w:gridCol w:w="136"/>
      </w:tblGrid>
      <w:tr>
        <w:trPr/>
        <w:tc>
          <w:tcPr>
            <w:tcW w:w="131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150"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Stock Awards</w:t>
            </w:r>
          </w:p>
        </w:tc>
        <w:tc>
          <w:tcPr>
            <w:tcW w:w="136" w:type="dxa"/>
            <w:tcBorders/>
            <w:vAlign w:val="center"/>
          </w:tcPr>
          <w:p>
            <w:pPr>
              <w:pStyle w:val="TableContents"/>
              <w:bidi w:val="0"/>
              <w:spacing w:before="0" w:after="283"/>
              <w:jc w:val="center"/>
              <w:rPr/>
            </w:pPr>
            <w:r>
              <w:rPr/>
              <w:t> </w:t>
            </w:r>
          </w:p>
        </w:tc>
      </w:tr>
      <w:tr>
        <w:trPr/>
        <w:tc>
          <w:tcPr>
            <w:tcW w:w="131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1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Commencement Date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3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or units of stock that have not (#) vested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5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Market value of shares or units of stock that have not ($) vested</w:t>
            </w:r>
          </w:p>
        </w:tc>
        <w:tc>
          <w:tcPr>
            <w:tcW w:w="136" w:type="dxa"/>
            <w:tcBorders/>
            <w:vAlign w:val="center"/>
          </w:tcPr>
          <w:p>
            <w:pPr>
              <w:pStyle w:val="TableContents"/>
              <w:bidi w:val="0"/>
              <w:spacing w:before="0" w:after="283"/>
              <w:jc w:val="center"/>
              <w:rPr/>
            </w:pPr>
            <w:r>
              <w:rPr/>
              <w:t> </w:t>
            </w:r>
          </w:p>
        </w:tc>
      </w:tr>
      <w:tr>
        <w:trPr/>
        <w:tc>
          <w:tcPr>
            <w:tcW w:w="1311" w:type="dxa"/>
            <w:tcBorders/>
            <w:shd w:fill="CCEEFF" w:val="clear"/>
            <w:vAlign w:val="center"/>
          </w:tcPr>
          <w:p>
            <w:pPr>
              <w:pStyle w:val="TableContents"/>
              <w:bidi w:val="0"/>
              <w:spacing w:before="0" w:after="283"/>
              <w:jc w:val="left"/>
              <w:rPr/>
            </w:pPr>
            <w:r>
              <w:rPr/>
              <w:t>Jaret Christopher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r>
      <w:tr>
        <w:trPr/>
        <w:tc>
          <w:tcPr>
            <w:tcW w:w="1311" w:type="dxa"/>
            <w:tcBorders/>
            <w:vAlign w:val="center"/>
          </w:tcPr>
          <w:p>
            <w:pPr>
              <w:pStyle w:val="TableContents"/>
              <w:bidi w:val="0"/>
              <w:spacing w:before="0" w:after="283"/>
              <w:jc w:val="left"/>
              <w:rPr/>
            </w:pPr>
            <w:r>
              <w:rPr/>
              <w:t>Jason Moos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right"/>
              <w:rPr/>
            </w:pPr>
            <w:r>
              <w:rPr/>
              <w:t>–</w:t>
            </w:r>
          </w:p>
        </w:tc>
        <w:tc>
          <w:tcPr>
            <w:tcW w:w="136" w:type="dxa"/>
            <w:tcBorders/>
            <w:vAlign w:val="center"/>
          </w:tcPr>
          <w:p>
            <w:pPr>
              <w:pStyle w:val="TableContents"/>
              <w:bidi w:val="0"/>
              <w:spacing w:before="0" w:after="283"/>
              <w:jc w:val="left"/>
              <w:rPr/>
            </w:pPr>
            <w:r>
              <w:rPr/>
              <w:t> </w:t>
            </w:r>
          </w:p>
        </w:tc>
      </w:tr>
      <w:tr>
        <w:trPr/>
        <w:tc>
          <w:tcPr>
            <w:tcW w:w="1311" w:type="dxa"/>
            <w:tcBorders/>
            <w:shd w:fill="CCEEFF" w:val="clear"/>
            <w:vAlign w:val="center"/>
          </w:tcPr>
          <w:p>
            <w:pPr>
              <w:pStyle w:val="TableContents"/>
              <w:bidi w:val="0"/>
              <w:spacing w:before="0" w:after="283"/>
              <w:jc w:val="left"/>
              <w:rPr/>
            </w:pPr>
            <w:r>
              <w:rPr/>
              <w:t>James Cabral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SpringBig, Inc. 2017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merger, SpringBig maintained the SpringBig Plan, which was originally established effective December 1, 2017. The SpringBig Plan was subsequently amended on January 30, 2018 and November 30, 2018 and the amended and restated SpringBig Plan was approved by the Board of Directors of SpringBig on April 10, 2019. The SpringBig Plan permits the grant of incentive stock options, non-qualified stock options, restricted stock awards, and restricted stock unit awards to SpringBig and its affiliates’ employees, consultants and directors. SpringBig will not grant any additional awards under the SpringBig Plan following the business combination; see “SpringBig Holdings, Inc. 2022 Long-Term Incentive Plan,” below for a discussion of the equity incentive plan that was adopted in connection with the closing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7,495,594 shares of common stock of SpringBig were authorized under the SpringBig Plan. Awards granted under the SpringBig Plan that are canceled, forfeited or expired prior to exercise or realization will become available for future grant while the SpringBig Plan remains in effect. As of October 7, 2021, 2,317 shares of common stock of SpringBig were available for issuance under the SpringBig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xml:space="preserve"> The SpringBig Plan is administered by SpringBig’s Board of Directors or a committee of one or more members of the Board of Directors appointed by the board to administer the SpringBig Plan. Subject to the provisions of the SpringBig Plan, the administrator has the power to determine the terms of each award, such as the form of awards and vesting schedule of awards. The administrator is authorized to interpret the SpringBig Plan, prescribe the terms and conditions of the awards granted thereunder, and make all other determinations necessary or advisable for administering the SpringBig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Awards.</w:t>
      </w:r>
      <w:r>
        <w:rPr>
          <w:rFonts w:ascii="Times New Roman;Times;Serif" w:hAnsi="Times New Roman;Times;Serif"/>
          <w:b w:val="false"/>
          <w:i w:val="false"/>
          <w:caps w:val="false"/>
          <w:smallCaps w:val="false"/>
          <w:sz w:val="20"/>
        </w:rPr>
        <w:t xml:space="preserve"> Awards to be granted under the SpringBig Plan may be subject to various restrictions, including restrictions on transferability and forfeiture provisions, as determined by the administrator and consistent with the SpringBig Plan terms. Subject to the terms of the SpringBig Plan, the administrator will determine the number of awards granted and other terms and conditions of such awards. The administrator may impose whatever conditions to vesting it determines to be appropriate. Awards that have not vested are subject to SpringBig’s right of repurchase or forfeiture. The economic and other rights associated with awards granted under the SpringBig Plan are governed by the SpringBig certificate of incorporation, as may be amended and in effect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Non-Transferability of Awards. </w:t>
      </w:r>
      <w:r>
        <w:rPr>
          <w:rFonts w:ascii="Times New Roman;Times;Serif" w:hAnsi="Times New Roman;Times;Serif"/>
          <w:b w:val="false"/>
          <w:i w:val="false"/>
          <w:caps w:val="false"/>
          <w:smallCaps w:val="false"/>
          <w:sz w:val="20"/>
        </w:rPr>
        <w:t>The awards are subject to certain transferability restrictions and requirements.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xml:space="preserve"> The outstanding awards may be subject to adjustment, substitution, exchange or, to the extent then unvested, cancellation by SpringBig’s Board of Directors so as to proportionately reflect any unit splits, reverse splits, dividends or distributions, recapitalizations, reclassifications, or other relevant changes in SpringBig’s capitalization or corporate structure.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Termination.</w:t>
      </w:r>
      <w:r>
        <w:rPr>
          <w:rFonts w:ascii="Times New Roman;Times;Serif" w:hAnsi="Times New Roman;Times;Serif"/>
          <w:b w:val="false"/>
          <w:i w:val="false"/>
          <w:caps w:val="false"/>
          <w:smallCaps w:val="false"/>
          <w:sz w:val="20"/>
        </w:rPr>
        <w:t xml:space="preserve"> SpringBig’s Board of Directors has the authority to amend, suspend or terminate all or any part of the SpringBig Plan in its sole discretion. Awards outstanding following the business combination will be assumed by SpringBig.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SpringBig Holdings, Inc. 2022 Long-Term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of stockholders of Tuatara held on June 9, 2022, the stockholders of Tuatara adopted and approved the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Plan is to secure and retain the services of employees, directors and consultants, to provide incentives for such persons to exert maximum efforts for our success and to provide a means by which such persons may be given an opportunity to benefit from increases in value of the common stock through the granting of awards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the Incentive Plan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summarizes certain principal features of the incentive plan. The summary is qualified in its entirety by reference to the complete text of the incentive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Eligibility. </w:t>
      </w:r>
      <w:r>
        <w:rPr>
          <w:rFonts w:ascii="Times New Roman;Times;Serif" w:hAnsi="Times New Roman;Times;Serif"/>
          <w:b w:val="false"/>
          <w:i w:val="false"/>
          <w:caps w:val="false"/>
          <w:smallCaps w:val="false"/>
          <w:sz w:val="20"/>
        </w:rPr>
        <w:t>SpringBig’s employees, consultants and directors, and employees and consultants of its affiliates, may be eligible to receive awards under the incentive plan.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Award Types.</w:t>
      </w:r>
      <w:r>
        <w:rPr>
          <w:rFonts w:ascii="Times New Roman;Times;Serif" w:hAnsi="Times New Roman;Times;Serif"/>
          <w:b w:val="false"/>
          <w:i w:val="false"/>
          <w:caps w:val="false"/>
          <w:smallCaps w:val="false"/>
          <w:sz w:val="20"/>
        </w:rPr>
        <w:t> The incentive plan provides for the grant of incentive stock options (“ISOs”) to employees and for the grant of nonstatutory stock options (“NSOs”), stock appreciation rights, restricted stock awards, restricted stock unit awards, performance awards and other forms of stock awards to employees, directors and consultants.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 Reserve.</w:t>
      </w:r>
      <w:r>
        <w:rPr>
          <w:rFonts w:ascii="Times New Roman;Times;Serif" w:hAnsi="Times New Roman;Times;Serif"/>
          <w:b w:val="false"/>
          <w:i w:val="false"/>
          <w:caps w:val="false"/>
          <w:smallCaps w:val="false"/>
          <w:sz w:val="20"/>
        </w:rPr>
        <w:t> The number of shares of common stock initially reserved for issuance under the incentive plan is 1,525,175 (the amount of shares of common stock equal to 5% of the sum of (i) the number of shares of our common stock outstanding as of the consummation of the business combination and (ii) the number of shares of our common stock underlying stock options issued under the SpringBig, Inc. 2017 Equity Incentive Plan (as amended and restated) that were outstanding as of the consummation of the transactions contemplated by the merger agreement). Shares subject to stock awards granted under the incentive plan that expire or terminate without being exercised in full, or that are paid out in cash rather than in shares, will not reduce the number of shares available for issuance under the incentive plan. At our Annual Meeting of Stockholders held on June 13, 2023, our stockholders approved an amendment to the Incentive Plan, which among other things, added an automatic annual increase in the number of shares authorized for issuance of up to 5% of the number of shares of our common stock issued and outstanding on December 31 of the immediately preceding calendar year, beginning with the fiscal year ending December 31, 2023; provided that the annual increase with respect to the fiscal year ending December 31, 2023, which is 1,332,986 shares of common stock, took effect on the first business day following the date of stockholder approval of the Amended Plan proposal, which was June 14, 2023. We may seek shareholder approval to increase this amount from time to time.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Plan Administration.</w:t>
      </w:r>
      <w:r>
        <w:rPr>
          <w:rFonts w:ascii="Times New Roman;Times;Serif" w:hAnsi="Times New Roman;Times;Serif"/>
          <w:b w:val="false"/>
          <w:i w:val="false"/>
          <w:caps w:val="false"/>
          <w:smallCaps w:val="false"/>
          <w:sz w:val="20"/>
        </w:rPr>
        <w:t> The board of directors of SpringBig, or a duly authorized committee thereof, will have the authority to administer the incentive plan. The board of directors of SpringBig may also delegate to one or more officers the authority to (i) designate employees other than officers to receive specified stock awards and (ii) determine the number of shares to be subject to such stock awards. Subject to the terms of the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incentive plan. The plan administrator has the power to modify outstanding awards under the incentive plan. Subject to the terms of the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Options.</w:t>
      </w:r>
      <w:r>
        <w:rPr>
          <w:rFonts w:ascii="Times New Roman;Times;Serif" w:hAnsi="Times New Roman;Times;Serif"/>
          <w:b w:val="false"/>
          <w:i w:val="false"/>
          <w:caps w:val="false"/>
          <w:smallCaps w:val="false"/>
          <w:sz w:val="20"/>
        </w:rPr>
        <w:t> ISOs and NSOs are granted under stock option agreements adopted by the plan administrator. The plan administrator determines the exercise price for stock options, within the terms and conditions of the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incentive plan, and in a manner consistent with the provisions of Sections 409A and, if applicable, 424(a) of the Code). Options granted under the incentive plan vest at the rate specified in the stock option agreement as determined by the plan administrator. The plan administrator determines the term of stock options granted under the incentive plan, up to a maximum of ten years. Unless the terms of an optionholder’s stock option agreement provide otherwise, if an optionholder’s service relationship ceases for any reason other than cause, the optionholder may generally exercise any vested options for a period of three (3) months following the cessation of service, bur only within three (3) months following such termination, unless another period of time is provided in the applicable award agreement or other agreement, subject to the limitations in the incentive plan. The option term may be extended in the event that the exercise of the option following such a termination of service is prohibited by applicable securities laws or SpringBig’s insider trading policy. Options generally terminate immediately upon the termination of an optionholder’s service for cause. In no event may an option be exercised beyond the expiration of its term. Acceptable consideration for the purchase of common stock issued upon the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Tax Limitations on ISOs.</w:t>
      </w:r>
      <w:r>
        <w:rPr>
          <w:rFonts w:ascii="Times New Roman;Times;Serif" w:hAnsi="Times New Roman;Times;Serif"/>
          <w:b w:val="false"/>
          <w:i w:val="false"/>
          <w:caps w:val="false"/>
          <w:smallCaps w:val="false"/>
          <w:sz w:val="20"/>
        </w:rPr>
        <w:t> The aggregate fair market value, determined at the time of grant, of common stock with respect to ISOs that are exercisable for the first time by an optionholder during any calendar year under all stock plans maintained by SpringBig may not exceed $100,000. Options or portions thereof that exceed such limit will generally be treated as NSOs. No ISO may be granted to any person who, at the time of the grant, owns or is deemed to own stock possessing more than 10% of SpringBig’s total combined voting power or that of any of SpringBig’s affiliates unless (1) the option exercise price is at least 110% of the fair market value of the stock subject to the option on the date of grant, and (2) the option is not exercisable after the expiration of five years from the date of grant.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Stock Awards.</w:t>
      </w:r>
      <w:r>
        <w:rPr>
          <w:rFonts w:ascii="Times New Roman;Times;Serif" w:hAnsi="Times New Roman;Times;Serif"/>
          <w:b w:val="false"/>
          <w:i w:val="false"/>
          <w:caps w:val="false"/>
          <w:smallCaps w:val="false"/>
          <w:sz w:val="20"/>
        </w:rPr>
        <w:t> Restricted stock awards are granted under restricted stock award agreements adopted 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Except as provided otherwise in the applicable award agreement, if a participant’s service relationship ends for any reason, SpringBig may receive through a forfeiture condition or a repurchase right any or all of the shares held by the participant under his or her restricted stock award that have not vested as of the date the participant terminates service.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Stock Unit Awards.</w:t>
      </w:r>
      <w:r>
        <w:rPr>
          <w:rFonts w:ascii="Times New Roman;Times;Serif" w:hAnsi="Times New Roman;Times;Serif"/>
          <w:b w:val="false"/>
          <w:i w:val="false"/>
          <w:caps w:val="false"/>
          <w:smallCaps w:val="false"/>
          <w:sz w:val="20"/>
        </w:rPr>
        <w:t> Restricted stock units are granted under restricted stock unit award agreements 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Appreciation Rights.</w:t>
      </w:r>
      <w:r>
        <w:rPr>
          <w:rFonts w:ascii="Times New Roman;Times;Serif" w:hAnsi="Times New Roman;Times;Serif"/>
          <w:b w:val="false"/>
          <w:i w:val="false"/>
          <w:caps w:val="false"/>
          <w:smallCaps w:val="false"/>
          <w:sz w:val="20"/>
        </w:rPr>
        <w:t> Stock appreciation rights are granted under stock appreciation grant agreements 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incentive plan, and in a manner consistent with the provisions of Sections 409A). A stock appreciation right granted under the incentive plan vests at the rate specified in the stock appreciation right agreement as determined by the plan administrator.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Performance Awards.</w:t>
      </w:r>
      <w:r>
        <w:rPr>
          <w:rFonts w:ascii="Times New Roman;Times;Serif" w:hAnsi="Times New Roman;Times;Serif"/>
          <w:b w:val="false"/>
          <w:i w:val="false"/>
          <w:caps w:val="false"/>
          <w:smallCaps w:val="false"/>
          <w:sz w:val="20"/>
        </w:rPr>
        <w:t> The incentive plan permits the grant of performance-based stock and cash awards. 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SpringBig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SpringBig’s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Stock Awards.</w:t>
      </w:r>
      <w:r>
        <w:rPr>
          <w:rFonts w:ascii="Times New Roman;Times;Serif" w:hAnsi="Times New Roman;Times;Serif"/>
          <w:b w:val="false"/>
          <w:i w:val="false"/>
          <w:caps w:val="false"/>
          <w:smallCaps w:val="false"/>
          <w:sz w:val="20"/>
        </w:rPr>
        <w:t> The plan administrator may grant other awards based in whole or in part by reference to common stock. The plan administrator will set the number of shares under the stock award and all other terms and conditions of such awards.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Non-Employee Director Compensation Limit.</w:t>
      </w:r>
      <w:r>
        <w:rPr>
          <w:rFonts w:ascii="Times New Roman;Times;Serif" w:hAnsi="Times New Roman;Times;Serif"/>
          <w:b w:val="false"/>
          <w:i w:val="false"/>
          <w:caps w:val="false"/>
          <w:smallCaps w:val="false"/>
          <w:sz w:val="20"/>
        </w:rPr>
        <w:t> The aggregate value of all compensation granted or paid by SpringBig to any individual for service as a non-employee director with respect to any calendar year (such period, the “annual period”), including stock awards and cash fees paid by SpringBig to such non-employee director, will not exceed (i) $750,000 in total value or (ii) in the event such non-employee director is first appointed or elected to the board of directors of SpringBig during such annual period, $1,000,000 in total value. For purposes of these limitations, the value of any such stock awards is calculated based on the grant date fair value of such stock awards for financial reporting purposes.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to Capital Structure.</w:t>
      </w:r>
      <w:r>
        <w:rPr>
          <w:rFonts w:ascii="Times New Roman;Times;Serif" w:hAnsi="Times New Roman;Times;Serif"/>
          <w:b w:val="false"/>
          <w:i w:val="false"/>
          <w:caps w:val="false"/>
          <w:smallCaps w:val="false"/>
          <w:sz w:val="20"/>
        </w:rPr>
        <w:t> In the event there is a specified type of change in SpringBig’s capital structure, such as a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Corporate Transactions.</w:t>
      </w:r>
      <w:r>
        <w:rPr>
          <w:rFonts w:ascii="Times New Roman;Times;Serif" w:hAnsi="Times New Roman;Times;Serif"/>
          <w:b w:val="false"/>
          <w:i w:val="false"/>
          <w:caps w:val="false"/>
          <w:smallCaps w:val="false"/>
          <w:sz w:val="20"/>
        </w:rPr>
        <w:t> The following applies to stock awards under the incentive plan in the event of a corporate transaction, as defined in the incentive plan, unless otherwise provided in a participant’s stock award agreement or other written agreement with SpringBig or unless otherwise expressly provided by the plan administrator at the time of grant. In the event of a corporate transaction, any stock awards outstanding under the incentive plan may be assumed, continued or substituted by any surviving or acquiring corporation (or its parent company), and any reacquisition or repurchase rights held by SpringBig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SpringBig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 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SpringBig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the exercise of the stock award over (2) any exercise price payable by such holder in connection with such exercise.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In the event of a change in control, as defined under the incentive plan, awards granted under the incentive plan will not receive automatic acceleration of vesting and exercisability, although this treatment may be provided for in an award agreement.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Plan Amendment or Termination.</w:t>
      </w:r>
      <w:r>
        <w:rPr>
          <w:rFonts w:ascii="Times New Roman;Times;Serif" w:hAnsi="Times New Roman;Times;Serif"/>
          <w:b w:val="false"/>
          <w:i w:val="false"/>
          <w:caps w:val="false"/>
          <w:smallCaps w:val="false"/>
          <w:sz w:val="20"/>
        </w:rPr>
        <w:t> The board of directors of SpringBig has the authority to amend, suspend, or terminate the incentive plan, provided that such action does not materially impair the existing rights of any participant without such participant’s written consent. No ISOs may be granted after the tenth anniversary of the date the board of directors of Tuatara adopts the incentive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Incentive Plan Benefits.</w:t>
      </w:r>
      <w:r>
        <w:rPr>
          <w:rFonts w:ascii="Times New Roman;Times;Serif" w:hAnsi="Times New Roman;Times;Serif"/>
          <w:b w:val="false"/>
          <w:i w:val="false"/>
          <w:caps w:val="false"/>
          <w:smallCaps w:val="false"/>
          <w:sz w:val="20"/>
        </w:rPr>
        <w:t> Grants of awards under the incentive plan are subject to the discretion of the plan administrator. Therefore, it is not possible to determine the future benefits that will be received by participants under the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as previously disclosed, the Special Purpose Committee of the Board, consisting of Mr. Christopher as its sole disinterested member (the “Special Purpose Committee”), approved the compensation arrangements for Larry Ellis, an independent director of the Company. The compensation was approved following the establishment of the Special Purpose Committee by the Board to review and approve director compensation for Mr. Ellis, who was not eligible to participate in the approval of his own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Special Purpose Committee’s approval, Mr. Ellis was awarded 1,193,623 restricted stock units (“RSUs”), with each RSU representing the right to receive one share of the Company’s common stock upon vesting and settlement. The RSUs were granted under the Company’s 2022 Amended and Restated Long-Term Incentive Plan (the “Plan”) and are subject to the terms of the Plan and the applicable RSU Award Grant Notice and RSU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solely based on Mr. Ellis’s continued service as a director over a three-year period, with one-third (1/3) of the award vesting on each annual anniversary of the grant date in annual cliff installments. The RSUs are subject to 100% acceleration upon the consummation of a Change in Control (as defined in the Plan), provided that Mr. Ellis’s service as a director is terminated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Special Purpose Committee approved a cash retainer for Mr. Ellis consisting of (i) a one-time cash retainer of $60,000 in consideration of his services as a director during the period commencing with his appointment to the Board on September 24, 2025 through and including March 24, 2026, and (ii) a monthly cash retainer of $10,000 per month, commencing March 25, 2026 and continuing for so long as Mr. Ellis remains on the Board, unless earlier modified by the Special Purpose Committee, the Board, or a duly appointed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regarding the compensation earned by or paid to non-employee directors for service on our Board during the fiscal year ended December 31, 2025. Mr. Christopher and Mr. Harris did not receive any additional compensation for their service as director.</w:t>
      </w:r>
    </w:p>
    <w:p>
      <w:pPr>
        <w:pStyle w:val="TextBody"/>
        <w:bidi w:val="0"/>
        <w:spacing w:before="0" w:after="0"/>
        <w:jc w:val="left"/>
        <w:rPr>
          <w:caps w:val="false"/>
          <w:smallCaps w:val="false"/>
        </w:rPr>
      </w:pPr>
      <w:r>
        <w:rPr>
          <w:caps w:val="false"/>
          <w:smallCaps w:val="false"/>
        </w:rPr>
        <w:t> </w:t>
      </w:r>
    </w:p>
    <w:tbl>
      <w:tblPr>
        <w:tblW w:w="8603" w:type="dxa"/>
        <w:jc w:val="left"/>
        <w:tblInd w:w="0" w:type="dxa"/>
        <w:tblLayout w:type="fixed"/>
        <w:tblCellMar>
          <w:top w:w="0" w:type="dxa"/>
          <w:left w:w="0" w:type="dxa"/>
          <w:bottom w:w="28" w:type="dxa"/>
          <w:right w:w="0" w:type="dxa"/>
        </w:tblCellMar>
      </w:tblPr>
      <w:tblGrid>
        <w:gridCol w:w="1580"/>
        <w:gridCol w:w="90"/>
        <w:gridCol w:w="574"/>
        <w:gridCol w:w="2400"/>
        <w:gridCol w:w="90"/>
        <w:gridCol w:w="90"/>
        <w:gridCol w:w="497"/>
        <w:gridCol w:w="2087"/>
        <w:gridCol w:w="90"/>
        <w:gridCol w:w="90"/>
        <w:gridCol w:w="170"/>
        <w:gridCol w:w="710"/>
        <w:gridCol w:w="135"/>
      </w:tblGrid>
      <w:tr>
        <w:trPr/>
        <w:tc>
          <w:tcPr>
            <w:tcW w:w="1580" w:type="dxa"/>
            <w:tcBorders>
              <w:bottom w:val="single" w:sz="12" w:space="0" w:color="000000"/>
            </w:tcBorders>
            <w:vAlign w:val="center"/>
          </w:tcPr>
          <w:p>
            <w:pPr>
              <w:pStyle w:val="TableContents"/>
              <w:bidi w:val="0"/>
              <w:spacing w:before="0" w:after="283"/>
              <w:jc w:val="left"/>
              <w:rPr>
                <w:b/>
              </w:rPr>
            </w:pPr>
            <w:r>
              <w:rPr>
                <w:b/>
              </w:rPr>
              <w:t>Name </w:t>
            </w:r>
          </w:p>
        </w:tc>
        <w:tc>
          <w:tcPr>
            <w:tcW w:w="90" w:type="dxa"/>
            <w:tcBorders/>
            <w:tcMar>
              <w:bottom w:w="0" w:type="dxa"/>
            </w:tcMar>
            <w:vAlign w:val="center"/>
          </w:tcPr>
          <w:p>
            <w:pPr>
              <w:pStyle w:val="TableContents"/>
              <w:bidi w:val="0"/>
              <w:spacing w:before="0" w:after="283"/>
              <w:jc w:val="left"/>
              <w:rPr/>
            </w:pPr>
            <w:r>
              <w:rPr/>
              <w:t> </w:t>
            </w:r>
          </w:p>
        </w:tc>
        <w:tc>
          <w:tcPr>
            <w:tcW w:w="2974" w:type="dxa"/>
            <w:gridSpan w:val="2"/>
            <w:tcBorders>
              <w:bottom w:val="single" w:sz="12" w:space="0" w:color="000000"/>
            </w:tcBorders>
            <w:vAlign w:val="center"/>
          </w:tcPr>
          <w:p>
            <w:pPr>
              <w:pStyle w:val="TableContents"/>
              <w:bidi w:val="0"/>
              <w:spacing w:before="0" w:after="283"/>
              <w:jc w:val="center"/>
              <w:rPr>
                <w:b/>
              </w:rPr>
            </w:pPr>
            <w:r>
              <w:rPr>
                <w:b/>
              </w:rPr>
              <w:t>Fees Earned or Paid in Cash</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4" w:type="dxa"/>
            <w:gridSpan w:val="2"/>
            <w:tcBorders>
              <w:bottom w:val="single" w:sz="12" w:space="0" w:color="000000"/>
            </w:tcBorders>
            <w:vAlign w:val="center"/>
          </w:tcPr>
          <w:p>
            <w:pPr>
              <w:pStyle w:val="TableContents"/>
              <w:bidi w:val="0"/>
              <w:spacing w:before="0" w:after="283"/>
              <w:jc w:val="center"/>
              <w:rPr>
                <w:b/>
              </w:rPr>
            </w:pPr>
            <w:r>
              <w:rPr>
                <w:b/>
              </w:rPr>
              <w:t>Restricted Stock Awards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Larry Ellis</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4" w:type="dxa"/>
            <w:tcBorders/>
            <w:shd w:fill="CCEEFF" w:val="clear"/>
            <w:tcMar>
              <w:bottom w:w="0" w:type="dxa"/>
            </w:tcMar>
            <w:vAlign w:val="center"/>
          </w:tcPr>
          <w:p>
            <w:pPr>
              <w:pStyle w:val="TableContents"/>
              <w:bidi w:val="0"/>
              <w:spacing w:before="0" w:after="283"/>
              <w:jc w:val="left"/>
              <w:rPr/>
            </w:pPr>
            <w:r>
              <w:rPr/>
              <w:t>$</w:t>
            </w:r>
          </w:p>
        </w:tc>
        <w:tc>
          <w:tcPr>
            <w:tcW w:w="2400" w:type="dxa"/>
            <w:tcBorders/>
            <w:shd w:fill="CCEEFF" w:val="clear"/>
            <w:tcMar>
              <w:bottom w:w="0" w:type="dxa"/>
            </w:tcMar>
            <w:vAlign w:val="center"/>
          </w:tcPr>
          <w:p>
            <w:pPr>
              <w:pStyle w:val="TableContents"/>
              <w:bidi w:val="0"/>
              <w:spacing w:before="0" w:after="283"/>
              <w:jc w:val="right"/>
              <w:rPr/>
            </w:pPr>
            <w:r>
              <w:rPr/>
              <w:t>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7"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10" w:type="dxa"/>
            <w:tcBorders/>
            <w:shd w:fill="CCEEFF" w:val="clear"/>
            <w:tcMar>
              <w:bottom w:w="0" w:type="dxa"/>
            </w:tcMar>
            <w:vAlign w:val="center"/>
          </w:tcPr>
          <w:p>
            <w:pPr>
              <w:pStyle w:val="TableContents"/>
              <w:bidi w:val="0"/>
              <w:spacing w:before="0" w:after="283"/>
              <w:jc w:val="right"/>
              <w:rPr/>
            </w:pPr>
            <w:r>
              <w:rPr/>
              <w:t>30,000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 Sacks</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574" w:type="dxa"/>
            <w:tcBorders/>
            <w:tcMar>
              <w:bottom w:w="0" w:type="dxa"/>
            </w:tcMar>
            <w:vAlign w:val="center"/>
          </w:tcPr>
          <w:p>
            <w:pPr>
              <w:pStyle w:val="TableContents"/>
              <w:bidi w:val="0"/>
              <w:spacing w:before="0" w:after="283"/>
              <w:jc w:val="left"/>
              <w:rPr/>
            </w:pPr>
            <w:r>
              <w:rPr/>
              <w:t> </w:t>
            </w:r>
          </w:p>
        </w:tc>
        <w:tc>
          <w:tcPr>
            <w:tcW w:w="240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7" w:type="dxa"/>
            <w:tcBorders/>
            <w:tcMar>
              <w:bottom w:w="0" w:type="dxa"/>
            </w:tcMar>
            <w:vAlign w:val="center"/>
          </w:tcPr>
          <w:p>
            <w:pPr>
              <w:pStyle w:val="TableContents"/>
              <w:bidi w:val="0"/>
              <w:spacing w:before="0" w:after="283"/>
              <w:jc w:val="left"/>
              <w:rPr/>
            </w:pPr>
            <w:r>
              <w:rPr/>
              <w:t> </w:t>
            </w:r>
          </w:p>
        </w:tc>
        <w:tc>
          <w:tcPr>
            <w:tcW w:w="208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Sergey Sherman</w:t>
            </w: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4" w:type="dxa"/>
            <w:tcBorders/>
            <w:shd w:fill="CCEEFF" w:val="clear"/>
            <w:tcMar>
              <w:bottom w:w="0" w:type="dxa"/>
            </w:tcMar>
            <w:vAlign w:val="center"/>
          </w:tcPr>
          <w:p>
            <w:pPr>
              <w:pStyle w:val="TableContents"/>
              <w:bidi w:val="0"/>
              <w:spacing w:before="0" w:after="283"/>
              <w:jc w:val="left"/>
              <w:rPr/>
            </w:pPr>
            <w:r>
              <w:rPr/>
              <w:t> </w:t>
            </w:r>
          </w:p>
        </w:tc>
        <w:tc>
          <w:tcPr>
            <w:tcW w:w="240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7"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Shiffman</w:t>
            </w:r>
            <w:r>
              <w:rPr>
                <w:rFonts w:ascii="Times New Roman;Times;Serif" w:hAnsi="Times New Roman;Times;Serif"/>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574" w:type="dxa"/>
            <w:tcBorders/>
            <w:tcMar>
              <w:bottom w:w="0" w:type="dxa"/>
            </w:tcMar>
            <w:vAlign w:val="center"/>
          </w:tcPr>
          <w:p>
            <w:pPr>
              <w:pStyle w:val="TableContents"/>
              <w:bidi w:val="0"/>
              <w:spacing w:before="0" w:after="283"/>
              <w:jc w:val="left"/>
              <w:rPr/>
            </w:pPr>
            <w:r>
              <w:rPr/>
              <w:t> </w:t>
            </w:r>
          </w:p>
        </w:tc>
        <w:tc>
          <w:tcPr>
            <w:tcW w:w="240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7"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right"/>
              <w:rPr/>
            </w:pPr>
            <w:r>
              <w:rPr/>
              <w:t>31,830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Silver</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4" w:type="dxa"/>
            <w:tcBorders/>
            <w:shd w:fill="CCEEFF" w:val="clear"/>
            <w:tcMar>
              <w:bottom w:w="0" w:type="dxa"/>
            </w:tcMar>
            <w:vAlign w:val="center"/>
          </w:tcPr>
          <w:p>
            <w:pPr>
              <w:pStyle w:val="TableContents"/>
              <w:bidi w:val="0"/>
              <w:spacing w:before="0" w:after="283"/>
              <w:jc w:val="left"/>
              <w:rPr/>
            </w:pPr>
            <w:r>
              <w:rPr/>
              <w:t> </w:t>
            </w:r>
          </w:p>
        </w:tc>
        <w:tc>
          <w:tcPr>
            <w:tcW w:w="240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7"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Appointed to the Board on September 24, 2025, and this represents compensation for his time on the Board from that date through and including December 31, 2025. </w:t>
            </w:r>
          </w:p>
        </w:tc>
      </w:tr>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Resigned as a member of the Board on February 5, 2026.</w:t>
            </w:r>
          </w:p>
        </w:tc>
      </w:tr>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Resigned as a member of the Board on September 4, 2025.</w:t>
            </w:r>
          </w:p>
        </w:tc>
      </w:tr>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Resigned as a member of the Board on September 29, 2025. Amounts reported represent the aggregate grant date fair value of restricted stock awards granted to such non-executive director during 2025 under the 2022 Plan, computed in accordance with ASC Topic 718. The assumptions used in calculating the grant date fair value of the awards reported in this column are set forth in Note 14 — Stock Based Compensation to our consolidated financial statements included in our Annual Report on Form 10-K for the year ended December 31, 2025, filed with the SEC on March 27,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compensation plans under which our equity securities are authorized for issuance. See Note 14 of the Notes to the Consolidated Financial Statements for further information about these stock-based compensation plans.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21"/>
        <w:gridCol w:w="90"/>
        <w:gridCol w:w="181"/>
        <w:gridCol w:w="2040"/>
        <w:gridCol w:w="90"/>
        <w:gridCol w:w="90"/>
        <w:gridCol w:w="1502"/>
        <w:gridCol w:w="1104"/>
        <w:gridCol w:w="90"/>
        <w:gridCol w:w="90"/>
        <w:gridCol w:w="1324"/>
        <w:gridCol w:w="1844"/>
        <w:gridCol w:w="139"/>
      </w:tblGrid>
      <w:tr>
        <w:trPr/>
        <w:tc>
          <w:tcPr>
            <w:tcW w:w="10205" w:type="dxa"/>
            <w:gridSpan w:val="13"/>
            <w:tcBorders>
              <w:bottom w:val="single" w:sz="12" w:space="0" w:color="000000"/>
            </w:tcBorders>
            <w:vAlign w:val="center"/>
          </w:tcPr>
          <w:p>
            <w:pPr>
              <w:pStyle w:val="TableContents"/>
              <w:bidi w:val="0"/>
              <w:spacing w:before="0" w:after="283"/>
              <w:jc w:val="center"/>
              <w:rPr>
                <w:b/>
              </w:rPr>
            </w:pPr>
            <w:r>
              <w:rPr>
                <w:b/>
              </w:rPr>
              <w:t>Equity Compensation Plan Information as of December 31, 2025</w:t>
            </w:r>
          </w:p>
        </w:tc>
      </w:tr>
      <w:tr>
        <w:trPr/>
        <w:tc>
          <w:tcPr>
            <w:tcW w:w="1621" w:type="dxa"/>
            <w:tcBorders>
              <w:bottom w:val="single" w:sz="12" w:space="0" w:color="000000"/>
            </w:tcBorders>
            <w:vAlign w:val="center"/>
          </w:tcPr>
          <w:p>
            <w:pPr>
              <w:pStyle w:val="TableContents"/>
              <w:bidi w:val="0"/>
              <w:spacing w:before="0" w:after="283"/>
              <w:jc w:val="left"/>
              <w:rPr>
                <w:b/>
              </w:rPr>
            </w:pPr>
            <w:r>
              <w:rPr>
                <w:b/>
              </w:rPr>
              <w:t>Plan Category</w:t>
            </w:r>
          </w:p>
        </w:tc>
        <w:tc>
          <w:tcPr>
            <w:tcW w:w="90" w:type="dxa"/>
            <w:tcBorders/>
            <w:tcMar>
              <w:bottom w:w="0" w:type="dxa"/>
            </w:tcMar>
            <w:vAlign w:val="center"/>
          </w:tcPr>
          <w:p>
            <w:pPr>
              <w:pStyle w:val="TableContents"/>
              <w:bidi w:val="0"/>
              <w:spacing w:before="0" w:after="283"/>
              <w:jc w:val="left"/>
              <w:rPr/>
            </w:pPr>
            <w:r>
              <w:rPr/>
              <w:t> </w:t>
            </w:r>
          </w:p>
        </w:tc>
        <w:tc>
          <w:tcPr>
            <w:tcW w:w="2221" w:type="dxa"/>
            <w:gridSpan w:val="2"/>
            <w:tcBorders>
              <w:bottom w:val="single" w:sz="12" w:space="0" w:color="000000"/>
            </w:tcBorders>
            <w:vAlign w:val="center"/>
          </w:tcPr>
          <w:p>
            <w:pPr>
              <w:pStyle w:val="TableContents"/>
              <w:bidi w:val="0"/>
              <w:spacing w:before="0" w:after="283"/>
              <w:jc w:val="center"/>
              <w:rPr>
                <w:b/>
              </w:rPr>
            </w:pPr>
            <w:r>
              <w:rPr>
                <w:b/>
              </w:rPr>
              <w:t>Number of securities to be issued upon exercise of outstanding options, warrants and rights</w:t>
              <w:br/>
              <w:t>(a)(2)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06" w:type="dxa"/>
            <w:gridSpan w:val="2"/>
            <w:tcBorders>
              <w:bottom w:val="single" w:sz="12" w:space="0" w:color="000000"/>
            </w:tcBorders>
            <w:vAlign w:val="center"/>
          </w:tcPr>
          <w:p>
            <w:pPr>
              <w:pStyle w:val="TableContents"/>
              <w:bidi w:val="0"/>
              <w:spacing w:before="0" w:after="283"/>
              <w:jc w:val="center"/>
              <w:rPr>
                <w:b/>
              </w:rPr>
            </w:pPr>
            <w:r>
              <w:rPr>
                <w:b/>
              </w:rPr>
              <w:t>Weighted-average exercise price of outstanding options, warrants and rights</w:t>
              <w:br/>
              <w:t>(b)</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68" w:type="dxa"/>
            <w:gridSpan w:val="2"/>
            <w:tcBorders>
              <w:bottom w:val="single" w:sz="12" w:space="0" w:color="000000"/>
            </w:tcBorders>
            <w:vAlign w:val="center"/>
          </w:tcPr>
          <w:p>
            <w:pPr>
              <w:pStyle w:val="TableContents"/>
              <w:bidi w:val="0"/>
              <w:spacing w:before="0" w:after="283"/>
              <w:jc w:val="center"/>
              <w:rPr>
                <w:b/>
              </w:rPr>
            </w:pPr>
            <w:r>
              <w:rPr>
                <w:b/>
              </w:rPr>
              <w:t>Number of securities remaining available for further issuance under equity compensation plans (excluding securities reflected in column (a)) (in thousands)</w:t>
              <w:br/>
              <w:t>(c)</w:t>
            </w:r>
          </w:p>
        </w:tc>
        <w:tc>
          <w:tcPr>
            <w:tcW w:w="139" w:type="dxa"/>
            <w:tcBorders/>
            <w:tcMar>
              <w:bottom w:w="0" w:type="dxa"/>
            </w:tcMar>
            <w:vAlign w:val="center"/>
          </w:tcPr>
          <w:p>
            <w:pPr>
              <w:pStyle w:val="TableContents"/>
              <w:bidi w:val="0"/>
              <w:spacing w:before="0" w:after="283"/>
              <w:jc w:val="left"/>
              <w:rPr/>
            </w:pPr>
            <w:r>
              <w:rPr/>
              <w:t> </w:t>
            </w:r>
          </w:p>
        </w:tc>
      </w:tr>
      <w:tr>
        <w:trPr/>
        <w:tc>
          <w:tcPr>
            <w:tcW w:w="16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approved by stockholders</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040" w:type="dxa"/>
            <w:tcBorders/>
            <w:shd w:fill="CCEEFF" w:val="clear"/>
            <w:tcMar>
              <w:bottom w:w="0" w:type="dxa"/>
            </w:tcMar>
            <w:vAlign w:val="center"/>
          </w:tcPr>
          <w:p>
            <w:pPr>
              <w:pStyle w:val="TableContents"/>
              <w:bidi w:val="0"/>
              <w:spacing w:before="0" w:after="283"/>
              <w:jc w:val="right"/>
              <w:rPr/>
            </w:pPr>
            <w:r>
              <w:rPr/>
              <w:t>7,442,566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2" w:type="dxa"/>
            <w:tcBorders/>
            <w:shd w:fill="CCEEFF" w:val="clear"/>
            <w:tcMar>
              <w:bottom w:w="0" w:type="dxa"/>
            </w:tcMar>
            <w:vAlign w:val="center"/>
          </w:tcPr>
          <w:p>
            <w:pPr>
              <w:pStyle w:val="TableContents"/>
              <w:bidi w:val="0"/>
              <w:spacing w:before="0" w:after="283"/>
              <w:jc w:val="left"/>
              <w:rPr/>
            </w:pPr>
            <w:r>
              <w:rPr/>
              <w:t>$</w:t>
            </w:r>
          </w:p>
        </w:tc>
        <w:tc>
          <w:tcPr>
            <w:tcW w:w="110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left"/>
              <w:rPr/>
            </w:pPr>
            <w:r>
              <w:rPr/>
              <w:t> </w:t>
            </w:r>
          </w:p>
        </w:tc>
        <w:tc>
          <w:tcPr>
            <w:tcW w:w="1844"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290"/>
        <w:gridCol w:w="714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7,442,566 restricted stock units outstanding under the 2022 Incentive Plan.</w:t>
            </w:r>
          </w:p>
        </w:tc>
      </w:tr>
    </w:tbl>
    <w:tbl>
      <w:tblPr>
        <w:tblW w:w="5725" w:type="dxa"/>
        <w:jc w:val="left"/>
        <w:tblInd w:w="0" w:type="dxa"/>
        <w:tblLayout w:type="fixed"/>
        <w:tblCellMar>
          <w:top w:w="0" w:type="dxa"/>
          <w:left w:w="0" w:type="dxa"/>
          <w:bottom w:w="0" w:type="dxa"/>
          <w:right w:w="0" w:type="dxa"/>
        </w:tblCellMar>
      </w:tblPr>
      <w:tblGrid>
        <w:gridCol w:w="290"/>
        <w:gridCol w:w="543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outstanding restricted stock units do not have exercise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the Common Shares as of March 9, 2026 by:</w:t>
      </w:r>
    </w:p>
    <w:p>
      <w:pPr>
        <w:pStyle w:val="TextBody"/>
        <w:bidi w:val="0"/>
        <w:spacing w:before="0" w:after="0"/>
        <w:ind w:left="0" w:right="0" w:firstLine="36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68"/>
        <w:gridCol w:w="200"/>
        <w:gridCol w:w="9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person known by the Company to be the beneficial owner of more than 5% of outstanding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68"/>
        <w:gridCol w:w="200"/>
        <w:gridCol w:w="55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of the Company’s named executive officers and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68"/>
        <w:gridCol w:w="200"/>
        <w:gridCol w:w="51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executive officers and directors of the Company as a group.</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The ownership percentages set forth in the table below are based on 48,584,437 Common Shares issued and outstanding as of March 9, 2026 and unless otherwise noted below, do not take into account the issuance of any Common Shares issuable (i) upon exercise of warrants or (ii) underlying vested incentive equity awards, where the number of shares underlying such awards is not determinable until the actual payment date of such awards. For information on the ownership of incentive equity awards by our named executive officers, please refer to “Executive and Director Compensation—Outstanding Equity Awards at Fiscal Year End.” However, shares that a person has the right to acquire within 60 days of March 9, 2026 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 Unless otherwise noted in the footnotes to the following table, and subject to applicable community property laws, we believe the persons and entities named in the table have sole voting and investment power with respect to their beneficially owned Common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Company believes that each person named in the table below has sole voting and investment power with respect to all shares of common stock beneficially owned by such person. Except as otherwise noted below, the address for persons or entities listed in the table is c/o SpringBig Holdings, Inc., 621 NW 53rd Street, Ste. 340, Boca Raton, FL 33487. Unless otherwise indicated, the number of shares of Common Stock issuable to the holder of any Convertible Notes reported in the table below does not give effect to any accrued and unpaid interest that is payable by adding such interest to the outstanding amount owing under the Convertible Notes.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70"/>
        <w:gridCol w:w="90"/>
        <w:gridCol w:w="90"/>
        <w:gridCol w:w="1130"/>
        <w:gridCol w:w="90"/>
        <w:gridCol w:w="90"/>
        <w:gridCol w:w="210"/>
        <w:gridCol w:w="1100"/>
        <w:gridCol w:w="135"/>
      </w:tblGrid>
      <w:tr>
        <w:trPr/>
        <w:tc>
          <w:tcPr>
            <w:tcW w:w="7270" w:type="dxa"/>
            <w:tcBorders>
              <w:bottom w:val="single" w:sz="12" w:space="0" w:color="000000"/>
            </w:tcBorders>
            <w:vAlign w:val="center"/>
          </w:tcPr>
          <w:p>
            <w:pPr>
              <w:pStyle w:val="TableContents"/>
              <w:bidi w:val="0"/>
              <w:spacing w:before="0" w:after="283"/>
              <w:ind w:left="0" w:right="0" w:hanging="180"/>
              <w:jc w:val="left"/>
              <w:rPr>
                <w:b/>
              </w:rPr>
            </w:pPr>
            <w:r>
              <w:rPr>
                <w:b/>
              </w:rPr>
              <w:t>Name of Beneficial Owner</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Number of</w:t>
              <w:br/>
              <w:t>Shares of</w:t>
              <w:br/>
              <w:t>Common</w:t>
              <w:br/>
              <w:t>Stock</w:t>
              <w:br/>
              <w:t>Beneficially</w:t>
              <w:br/>
              <w:t>Owned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Percentage</w:t>
              <w:br/>
              <w:t>of</w:t>
              <w:br/>
              <w:t>Outstanding</w:t>
              <w:br/>
              <w:t>Common</w:t>
              <w:br/>
              <w:t>Stock</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7270" w:type="dxa"/>
            <w:tcBorders/>
            <w:tcMar>
              <w:bottom w:w="0" w:type="dxa"/>
            </w:tcMar>
            <w:vAlign w:val="center"/>
          </w:tcPr>
          <w:p>
            <w:pPr>
              <w:pStyle w:val="TableContents"/>
              <w:bidi w:val="0"/>
              <w:spacing w:before="0" w:after="283"/>
              <w:jc w:val="left"/>
              <w:rPr>
                <w:b/>
                <w:u w:val="single"/>
              </w:rPr>
            </w:pPr>
            <w:r>
              <w:rPr>
                <w:b/>
                <w:u w:val="single"/>
              </w:rPr>
              <w:t>5% Stockholders</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7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Silver</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19,899,999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29.1</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Lightbank Asset Management, LLC</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16,000,000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24.8</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7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Harris</w:t>
            </w: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7,300,756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14.7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Tuatara Capital Fund, II, L.P.</w:t>
            </w:r>
            <w:r>
              <w:rPr>
                <w:rFonts w:ascii="Times New Roman;Times;Serif" w:hAnsi="Times New Roman;Times;Serif"/>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4,470,000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9.2</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7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AWM Investment Company, Inc.</w:t>
            </w:r>
            <w:r>
              <w:rPr>
                <w:rFonts w:ascii="Times New Roman;Times;Serif" w:hAnsi="Times New Roman;Times;Serif"/>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4,448,974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9.2</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70" w:type="dxa"/>
            <w:tcBorders/>
            <w:tcMar>
              <w:bottom w:w="0" w:type="dxa"/>
            </w:tcMar>
            <w:vAlign w:val="center"/>
          </w:tcPr>
          <w:p>
            <w:pPr>
              <w:pStyle w:val="TableContents"/>
              <w:bidi w:val="0"/>
              <w:spacing w:before="0" w:after="283"/>
              <w:jc w:val="left"/>
              <w:rPr>
                <w:b/>
                <w:u w:val="single"/>
              </w:rPr>
            </w:pPr>
            <w:r>
              <w:rPr>
                <w:b/>
                <w:u w:val="single"/>
              </w:rPr>
              <w:t>Executive Officer and Directors of the Company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7270" w:type="dxa"/>
            <w:tcBorders/>
            <w:shd w:fill="CCEEFF" w:val="clear"/>
            <w:tcMar>
              <w:bottom w:w="0" w:type="dxa"/>
            </w:tcMar>
            <w:vAlign w:val="center"/>
          </w:tcPr>
          <w:p>
            <w:pPr>
              <w:pStyle w:val="TableContents"/>
              <w:bidi w:val="0"/>
              <w:spacing w:before="0" w:after="283"/>
              <w:jc w:val="left"/>
              <w:rPr/>
            </w:pPr>
            <w:r>
              <w:rPr/>
              <w:t>Jaret Christopher</w:t>
            </w:r>
            <w:r>
              <w:rPr>
                <w:position w:val="8"/>
                <w:sz w:val="19"/>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797,133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70" w:type="dxa"/>
            <w:tcBorders/>
            <w:tcMar>
              <w:bottom w:w="0" w:type="dxa"/>
            </w:tcMar>
            <w:vAlign w:val="center"/>
          </w:tcPr>
          <w:p>
            <w:pPr>
              <w:pStyle w:val="TableContents"/>
              <w:bidi w:val="0"/>
              <w:spacing w:before="0" w:after="283"/>
              <w:jc w:val="left"/>
              <w:rPr/>
            </w:pPr>
            <w:r>
              <w:rPr/>
              <w:t>Jason Moos</w:t>
            </w:r>
            <w:r>
              <w:rPr>
                <w:position w:val="8"/>
                <w:sz w:val="19"/>
              </w:rPr>
              <w:t>(7)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7270" w:type="dxa"/>
            <w:tcBorders/>
            <w:shd w:fill="CCEEFF" w:val="clear"/>
            <w:tcMar>
              <w:bottom w:w="0" w:type="dxa"/>
            </w:tcMar>
            <w:vAlign w:val="center"/>
          </w:tcPr>
          <w:p>
            <w:pPr>
              <w:pStyle w:val="TableContents"/>
              <w:bidi w:val="0"/>
              <w:spacing w:before="0" w:after="283"/>
              <w:jc w:val="left"/>
              <w:rPr/>
            </w:pPr>
            <w:r>
              <w:rPr/>
              <w:t>James Cabral</w:t>
            </w:r>
            <w:r>
              <w:rPr>
                <w:position w:val="8"/>
                <w:sz w:val="19"/>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70" w:type="dxa"/>
            <w:tcBorders/>
            <w:tcMar>
              <w:bottom w:w="0" w:type="dxa"/>
            </w:tcMar>
            <w:vAlign w:val="center"/>
          </w:tcPr>
          <w:p>
            <w:pPr>
              <w:pStyle w:val="TableContents"/>
              <w:bidi w:val="0"/>
              <w:spacing w:before="0" w:after="283"/>
              <w:jc w:val="left"/>
              <w:rPr/>
            </w:pPr>
            <w:r>
              <w:rPr/>
              <w:t>Larry Ellis</w:t>
            </w:r>
            <w:r>
              <w:rPr>
                <w:position w:val="8"/>
                <w:sz w:val="19"/>
              </w:rPr>
              <w:t>(9)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7270" w:type="dxa"/>
            <w:tcBorders/>
            <w:shd w:fill="CCEEFF" w:val="clear"/>
            <w:tcMar>
              <w:bottom w:w="0" w:type="dxa"/>
            </w:tcMar>
            <w:vAlign w:val="center"/>
          </w:tcPr>
          <w:p>
            <w:pPr>
              <w:pStyle w:val="TableContents"/>
              <w:bidi w:val="0"/>
              <w:spacing w:before="0" w:after="283"/>
              <w:jc w:val="left"/>
              <w:rPr/>
            </w:pPr>
            <w:r>
              <w:rPr/>
              <w:t>All directors and named executive officers of SpringBig as a group post-business combination (4 individuals):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797,133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70"/>
        <w:gridCol w:w="78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a Form 4 filed by Mr. Silver on May 19, 2025. Consists of shares of Common Stock issuable upon conversion of the Convertible Notes. The Convertible Notes are held for the account of Shalcor Management, Inc. Mr. Silver is the President of Shalcor Management, Inc. and as such could be deemed to share voting control and investment power over shares that may be deemed to be beneficially owned by Shalcor Management, Inc., but disclaims beneficial ownership of such shares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a Schedule 13D filed by Lightbank Asset Management, LLC on August 8, 2024. Consists of shares of Common Stock issuable upon conversion of the Convertible Notes. The Convertible Notes are held for the account of Lightbank II, L.P. (“Lightbank II”), an investment fund managed by Lightbank Asset Management LLC, a Delaware limited liability company (“LAM”), which are convertible into 16,000,000 shares of Common Stock within 60 days of August 1, 2024 (the “Event Date”). Eric Lefkofsky (“Mr. Lefkofsky” and, together with LAM, the “Reporting Persons”) is the Co-Managing Partner of LAM. As a result, each of LAM and Mr. Lefkofsky share the power to vote and the power to direct the disposition of all securities of the Company reported herein. Thus, each of LAM and Mr. Lefkofsky may be deemed to beneficially own 16,000,000 shares of Common Stock deemed issued and outstanding as of such date. The principal business address for each of the beneficial owners is 600 West Chicago Avenue, Chicago, Illinois 60654.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0"/>
        <w:gridCol w:w="988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a Schedule 13D/A filed by Mr. Harris on January 22, 2025. Includes 1,066,666 shares of Common Stock issuable upon conversion of the Convertible Notes. Includes the shares of common stock held by Medici Holdings V, Inc., an estate planning vehicle through which Mr. Harris shares ownership with family members of Mr. Harris and for which Mr. Harris may be deemed to have investment discretion and voting power. Includes 265,365 options exercisable for shares of common stock within 60 days.</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a Schedule 13G filed by TCAC Sponsor, LLC on February 9, 2022. Includes 3,870,000 shares of common stock held by TCAC Sponsor, LLC (the “Sponsor”) and 600,000 shares of common stock held by Tuatara Capital Fund II, L.P. Tuatara Capital Fund II, L.P. (“Fund II”) is the sole member of TCAC Sponsor, LLC. Accordingly, shares of common stock held by TCAC Sponsor, LLC may be attributed to Fund II. Fund II is controlled by a board of managers comprised of three individuals - Albert Foreman, Mark Zittman and Marc Riiska. Any action by our sponsor with respect to our company or the founders’ shares, including voting and dispositive decisions, requires a majority vote of the managers of the board of managers of Fund II. Under the so-called “rule of three,” because voting and dispositive decisions are made by a majority of Fund II’s managers, none of the managers is deemed to be a beneficial owner of our sponsor’s securities, even those in which he holds a pecuniary interest. Accordingly, none of the managers is deemed to have or share beneficial ownership of the founders’ shares held by the Sponsor. The principal business address for each of the beneficial owners is 655 Third Avenue, 8th Floor, New York, New York 10017.</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a Schedule 13G filed by AWM Investment Company, Inc., a Delaware corporation (“AWM”) on May 9, 2025.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449,767 shares of Common Stock held by CAYMAN, 1,568,426 shares of Common Stock held by SSFQP and 2,430,781 shares of Common Stock held by SSPE.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Greenhouse and Stettner are also controlling principals of AWM. The principal business address for AWM is c/o Special Situations Funds, 527 Madison Avenue, Suite 2600, New York, NY 10022.</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April 1, 2026, which was the Effective Date of Mr. Christopher's Employment Agreement, the Company and Mr. Christopher also executed the RSA Agreement, pursuant to which Mr. Christopher was granted 12,891,251 shares of restricted common stock of the Company. Approximately 8,320,939 of such shares vested on such Effective Date, with the remaining shares vesting in equal quarterly installments over approximately three years, subject to Mr. Christopher's continued service. For information on certain equity-related arrangements of Mr. Christopher, see “CEO Offer Letter, VICE CRM Acquisition and Employment Agreement” under “Item 11. Executive Compensation—Executive and Director Compensation—Executive Employment Arrangements.”</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information on certain equity-related arrangements of Mr. Moos, see “CFO Offer Letter” and “CFO and COO Compensatory Arrangements” under “Item 11. Executive Compensation—Executive and Director Compensation—Executive Employment Arrangements.”</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information on certain equity-related arrangements of Mr. Cabral, see “CFO and COO Compensatory Arrangements” under “Item 11. Executive Compensation—Executive and Director Compensation—Executive Employment Arrangements.”</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information on certain equity arrangements of Mr. Ellis, see “Director Compensation” under “Item 11. Executive Compensation—Executive and Director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ITEM 13. 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related party transactions since January 1, 2023, to which SpringBig has been a party in which the amount involved exceeded the lesser of $120,000 or one percent of the Company’s total assets at year end for December 31, 2024 and December 31, 2025 and in which any of SpringBig’s executive officers, directors, managers, promoters, beneficial holders of more than 5% of SpringBig’s membership interests, or any associates or affiliates thereof had or will have a direct or indirect material interest, other than compensation, employment and other arrangements which are described in “Item 11. Executive Compensation” and other than as mentioned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0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issued $1.6 million aggregate principal amount of 2024 Secured Term Notes and $6.4 million aggregate principal of 2024 Secured Convertible Notes to a group of investors. The investors include Shalcor Management, Inc., which had Shawn Dym serve as a member of the Company’s Board from January 23, 2024 to September 23, 2024 and Mark Silver serve as a member of the Company’s Board from May 10, 2024 to February 5, 2026, and Lightbank II, L.P., which had Matt Sacks serve as a member of the Company’s Board of Directors from January 23, 2024 until his resignation on February 5, 2026. Shalcor and Lightbank purchased $2,800,000 and $2,400,000 of 2024 Secured Convertible Notes, respectively, and $700,000 and $600,000 of 2024 Secured Term Notes, respectively.</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Jeffrey Harris, former Chief Executive Officer, purchased $320,000 2024 Secured Convertible Notes, and $80,000 2024 Secured Term Notes, and Paul Sykes, former Chief Financial Officer, purchased $25,000 2024 Secured Convertible Notes, and $6,250 2024 Secured Term Notes. In January 2025, Shalcor purchased $160,000 of the 2024 Secured Convertible Notes and $40,000 of the 2024 Secured Term Notes from Jeffrey Harris, as well as $25,000 of 2024 Secured Convertible Notes and $6,250 2024 Secured Term Notes from Paul Sykes in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were initially due in January 2026 and accrued interest payable in cash semi-annually at a rate of 12% per annum. The 2024 Secured Convertible Notes were initially due in January 2026 and accrued interest which is added to the outstanding principal balance semi-annually at a rate of 8% per annum.</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2024 Secured Term Notes in January 2025, and the principal amount of the 2024 Secured Convertible Notes was increased by $266,000 with effect from the date of the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prepay any portion of the 2024 Secured Term Notes, without penalty, at any time after February 1, 2025. The 2024 Secured Convertible Notes are convertible into common stock at a conversion price of $0.15 per share at the holder’s option any time up to the day prior to maturity in January 2027. The 2024 Secured Term Notes and 2024 Secured Convertible Notes rank pari passu and are secured on substantially all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and 2024 Secured Convertible Notes include restrictive covenants that, among other items,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outstanding debt (in thousands):</w:t>
      </w:r>
    </w:p>
    <w:p>
      <w:pPr>
        <w:pStyle w:val="TextBody"/>
        <w:bidi w:val="0"/>
        <w:spacing w:before="0" w:after="0"/>
        <w:ind w:left="0" w:right="0" w:firstLine="360"/>
        <w:jc w:val="left"/>
        <w:rPr>
          <w:caps w:val="false"/>
          <w:smallCaps w:val="false"/>
        </w:rPr>
      </w:pPr>
      <w:r>
        <w:rPr>
          <w:caps w:val="false"/>
          <w:smallCaps w:val="false"/>
        </w:rPr>
        <w:t> </w:t>
      </w:r>
    </w:p>
    <w:tbl>
      <w:tblPr>
        <w:tblW w:w="7995" w:type="dxa"/>
        <w:jc w:val="left"/>
        <w:tblInd w:w="0" w:type="dxa"/>
        <w:tblLayout w:type="fixed"/>
        <w:tblCellMar>
          <w:top w:w="0" w:type="dxa"/>
          <w:left w:w="0" w:type="dxa"/>
          <w:bottom w:w="0" w:type="dxa"/>
          <w:right w:w="0" w:type="dxa"/>
        </w:tblCellMar>
      </w:tblPr>
      <w:tblGrid>
        <w:gridCol w:w="4700"/>
        <w:gridCol w:w="90"/>
        <w:gridCol w:w="323"/>
        <w:gridCol w:w="1122"/>
        <w:gridCol w:w="90"/>
        <w:gridCol w:w="90"/>
        <w:gridCol w:w="323"/>
        <w:gridCol w:w="1122"/>
        <w:gridCol w:w="135"/>
      </w:tblGrid>
      <w:tr>
        <w:trPr/>
        <w:tc>
          <w:tcPr>
            <w:tcW w:w="4700" w:type="dxa"/>
            <w:tcBorders/>
            <w:vAlign w:val="center"/>
          </w:tcPr>
          <w:p>
            <w:pPr>
              <w:pStyle w:val="TableContents"/>
              <w:bidi w:val="0"/>
              <w:spacing w:before="0" w:after="283"/>
              <w:ind w:left="0" w:right="0" w:hanging="0"/>
              <w:jc w:val="both"/>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ind w:left="0" w:right="0" w:hanging="0"/>
              <w:jc w:val="left"/>
              <w:rPr/>
            </w:pPr>
            <w:r>
              <w:rPr/>
              <w:t> </w:t>
            </w:r>
          </w:p>
        </w:tc>
      </w:tr>
      <w:tr>
        <w:trPr/>
        <w:tc>
          <w:tcPr>
            <w:tcW w:w="4700" w:type="dxa"/>
            <w:tcBorders/>
            <w:shd w:fill="CCEEFF" w:val="clear"/>
            <w:vAlign w:val="center"/>
          </w:tcPr>
          <w:p>
            <w:pPr>
              <w:pStyle w:val="TableContents"/>
              <w:bidi w:val="0"/>
              <w:spacing w:before="0" w:after="283"/>
              <w:jc w:val="both"/>
              <w:rPr/>
            </w:pPr>
            <w:r>
              <w:rPr/>
              <w:t>2024 Secured Term Notes – related parties</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1,386</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00" w:type="dxa"/>
            <w:tcBorders/>
            <w:vAlign w:val="center"/>
          </w:tcPr>
          <w:p>
            <w:pPr>
              <w:pStyle w:val="TableContents"/>
              <w:bidi w:val="0"/>
              <w:spacing w:before="0" w:after="283"/>
              <w:jc w:val="both"/>
              <w:rPr/>
            </w:pPr>
            <w:r>
              <w:rPr/>
              <w:t>2024 Secured Term Notes</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214</w:t>
            </w:r>
          </w:p>
        </w:tc>
        <w:tc>
          <w:tcPr>
            <w:tcW w:w="135" w:type="dxa"/>
            <w:tcBorders/>
            <w:vAlign w:val="center"/>
          </w:tcPr>
          <w:p>
            <w:pPr>
              <w:pStyle w:val="TableContents"/>
              <w:bidi w:val="0"/>
              <w:spacing w:before="0" w:after="283"/>
              <w:ind w:left="0" w:right="0" w:hanging="0"/>
              <w:jc w:val="left"/>
              <w:rPr/>
            </w:pPr>
            <w:r>
              <w:rPr/>
              <w:t> </w:t>
            </w:r>
          </w:p>
        </w:tc>
      </w:tr>
      <w:tr>
        <w:trPr/>
        <w:tc>
          <w:tcPr>
            <w:tcW w:w="4700" w:type="dxa"/>
            <w:tcBorders/>
            <w:shd w:fill="CCEEFF" w:val="clear"/>
            <w:vAlign w:val="center"/>
          </w:tcPr>
          <w:p>
            <w:pPr>
              <w:pStyle w:val="TableContents"/>
              <w:bidi w:val="0"/>
              <w:spacing w:before="0" w:after="283"/>
              <w:jc w:val="both"/>
              <w:rPr/>
            </w:pPr>
            <w:r>
              <w:rPr/>
              <w:t>2024 Secured Convertible Notes – related parties</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6,682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5,987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00" w:type="dxa"/>
            <w:tcBorders/>
            <w:vAlign w:val="center"/>
          </w:tcPr>
          <w:p>
            <w:pPr>
              <w:pStyle w:val="TableContents"/>
              <w:bidi w:val="0"/>
              <w:spacing w:before="0" w:after="283"/>
              <w:jc w:val="both"/>
              <w:rPr/>
            </w:pPr>
            <w:r>
              <w:rPr/>
              <w:t>2024 Secured Convertible Notes</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1,030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923</w:t>
            </w:r>
          </w:p>
        </w:tc>
        <w:tc>
          <w:tcPr>
            <w:tcW w:w="135" w:type="dxa"/>
            <w:tcBorders/>
            <w:vAlign w:val="center"/>
          </w:tcPr>
          <w:p>
            <w:pPr>
              <w:pStyle w:val="TableContents"/>
              <w:bidi w:val="0"/>
              <w:spacing w:before="0" w:after="283"/>
              <w:ind w:left="0" w:right="0" w:hanging="0"/>
              <w:jc w:val="left"/>
              <w:rPr/>
            </w:pPr>
            <w:r>
              <w:rPr/>
              <w:t> </w:t>
            </w:r>
          </w:p>
        </w:tc>
      </w:tr>
      <w:tr>
        <w:trPr/>
        <w:tc>
          <w:tcPr>
            <w:tcW w:w="470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8,510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outstanding on December 31, 2025, include $802,000 non-cash interest added to the outstanding principal of the 2024 Secured Convertible Notes since issuance. The Company recorded interest expense for the years ended December 31, 2025 and 2024, of $1.3 million and $1.1 million, respectively in connection with the 2024 Secured Term Notes and 2024 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aggregate fees billed by Withum Smith+Brown, PC for the fiscal years ended December 31, 2024, and December 31, 2025.</w:t>
      </w:r>
    </w:p>
    <w:p>
      <w:pPr>
        <w:pStyle w:val="TextBody"/>
        <w:bidi w:val="0"/>
        <w:spacing w:before="0" w:after="0"/>
        <w:ind w:left="0" w:right="0" w:firstLine="360"/>
        <w:jc w:val="both"/>
        <w:rPr>
          <w:caps w:val="false"/>
          <w:smallCaps w:val="false"/>
        </w:rPr>
      </w:pPr>
      <w:r>
        <w:rPr>
          <w:caps w:val="false"/>
          <w:smallCaps w:val="false"/>
        </w:rPr>
        <w:t> </w:t>
      </w:r>
    </w:p>
    <w:tbl>
      <w:tblPr>
        <w:tblW w:w="3607" w:type="dxa"/>
        <w:jc w:val="left"/>
        <w:tblInd w:w="0" w:type="dxa"/>
        <w:tblLayout w:type="fixed"/>
        <w:tblCellMar>
          <w:top w:w="0" w:type="dxa"/>
          <w:left w:w="0" w:type="dxa"/>
          <w:bottom w:w="0" w:type="dxa"/>
          <w:right w:w="0" w:type="dxa"/>
        </w:tblCellMar>
      </w:tblPr>
      <w:tblGrid>
        <w:gridCol w:w="1895"/>
        <w:gridCol w:w="90"/>
        <w:gridCol w:w="187"/>
        <w:gridCol w:w="455"/>
        <w:gridCol w:w="100"/>
        <w:gridCol w:w="100"/>
        <w:gridCol w:w="187"/>
        <w:gridCol w:w="458"/>
        <w:gridCol w:w="135"/>
      </w:tblGrid>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7" w:type="dxa"/>
            <w:gridSpan w:val="6"/>
            <w:tcBorders/>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575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right"/>
              <w:rPr/>
            </w:pPr>
            <w:r>
              <w:rPr/>
              <w:t>481</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Total Fees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575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right"/>
              <w:rPr/>
            </w:pPr>
            <w:r>
              <w:rPr/>
              <w:t>481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appointing, setting compensation, and overseeing the work of Withum as our independent registered public accounting firm. The Audit Committee has established a policy regarding pre-approval of all audit and non-audit services provided by the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ongoing basis, management communicates specific projects and/or categories of service for which the advance approval of the Audit Committee is requested. The Audit Committee reviews these requests and scope of services and through discussions with Withum and management, advises management if the Audit Committee approves the engagement of Withum. The Audit Committee authorizes its chair to pre-approve all non-audit services on behalf of the Audit Committee during periods between regularly scheduled meetings, subject to ratification by the Audit Committee. On a periodic basis, management and/or Withum reports to the Audit Committee regarding the actual spending for such projects and services compared to the approved amounts. The services performed by Withum may include audit services, audit-related services, tax services, and, in limited circumstances, other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and December 31, 2025, the Audit Committee approved all of the services provided by Withum in accordance with the foregoing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Index to 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required to be filed by Item 15 are set forth in, and filed with or incorporated by reference in, the “Index to Exhibits” of the Original Form 10-K. The “Index to Exhibits” to this Amendment sets forth the additional exhibits required to be filed with this Amendment.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5"/>
        <w:gridCol w:w="90"/>
        <w:gridCol w:w="9270"/>
      </w:tblGrid>
      <w:tr>
        <w:trPr/>
        <w:tc>
          <w:tcPr>
            <w:tcW w:w="845" w:type="dxa"/>
            <w:tcBorders>
              <w:bottom w:val="single" w:sz="12" w:space="0" w:color="000000"/>
            </w:tcBorders>
            <w:vAlign w:val="center"/>
          </w:tcPr>
          <w:p>
            <w:pPr>
              <w:pStyle w:val="TableContents"/>
              <w:bidi w:val="0"/>
              <w:spacing w:before="0" w:after="283"/>
              <w:jc w:val="left"/>
              <w:rPr/>
            </w:pPr>
            <w:r>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270" w:type="dxa"/>
            <w:tcBorders>
              <w:bottom w:val="single" w:sz="12" w:space="0" w:color="000000"/>
            </w:tcBorders>
            <w:vAlign w:val="center"/>
          </w:tcPr>
          <w:p>
            <w:pPr>
              <w:pStyle w:val="TableContents"/>
              <w:bidi w:val="0"/>
              <w:spacing w:before="0" w:after="283"/>
              <w:jc w:val="center"/>
              <w:rPr/>
            </w:pPr>
            <w:r>
              <w:rPr/>
              <w:t>Description</w:t>
            </w:r>
          </w:p>
        </w:tc>
      </w:tr>
      <w:tr>
        <w:trPr/>
        <w:tc>
          <w:tcPr>
            <w:tcW w:w="8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45" w:type="dxa"/>
            <w:tcBorders/>
            <w:shd w:fill="CCEEFF" w:val="clear"/>
            <w:tcMar>
              <w:bottom w:w="0" w:type="dxa"/>
            </w:tcMar>
            <w:vAlign w:val="center"/>
          </w:tcPr>
          <w:p>
            <w:pPr>
              <w:pStyle w:val="TableContents"/>
              <w:bidi w:val="0"/>
              <w:spacing w:before="0" w:after="283"/>
              <w:jc w:val="left"/>
              <w:rPr/>
            </w:pPr>
            <w:r>
              <w:rPr/>
              <w:t>31.3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283"/>
              <w:jc w:val="left"/>
              <w:rPr/>
            </w:pPr>
            <w:hyperlink w:anchor="ea028847501ex31-3.htm">
              <w:r>
                <w:rPr>
                  <w:rStyle w:val="InternetLink"/>
                </w:rPr>
                <w:t>Certification of Chief Executive Officer pursuant to Section 302 of the Sarbanes-Oxley Act of 2002.</w:t>
              </w:r>
            </w:hyperlink>
          </w:p>
        </w:tc>
      </w:tr>
      <w:tr>
        <w:trPr/>
        <w:tc>
          <w:tcPr>
            <w:tcW w:w="8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45" w:type="dxa"/>
            <w:tcBorders/>
            <w:shd w:fill="CCEEFF" w:val="clear"/>
            <w:tcMar>
              <w:bottom w:w="0" w:type="dxa"/>
            </w:tcMar>
            <w:vAlign w:val="center"/>
          </w:tcPr>
          <w:p>
            <w:pPr>
              <w:pStyle w:val="TableContents"/>
              <w:bidi w:val="0"/>
              <w:spacing w:before="0" w:after="283"/>
              <w:jc w:val="left"/>
              <w:rPr/>
            </w:pPr>
            <w:r>
              <w:rPr/>
              <w:t>31.4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283"/>
              <w:jc w:val="left"/>
              <w:rPr/>
            </w:pPr>
            <w:r>
              <w:rPr/>
              <w:t> </w:t>
            </w:r>
            <w:hyperlink w:anchor="ea028847501ex31-4.htm">
              <w:r>
                <w:rPr>
                  <w:rStyle w:val="InternetLink"/>
                </w:rPr>
                <w:t>Certification of Chief Financial Officer pursuant to Section 302 of the Sarbanes-Oxley Act of 2002.</w:t>
              </w:r>
            </w:hyperlink>
          </w:p>
        </w:tc>
      </w:tr>
      <w:tr>
        <w:trPr/>
        <w:tc>
          <w:tcPr>
            <w:tcW w:w="8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45" w:type="dxa"/>
            <w:tcBorders/>
            <w:shd w:fill="CCEEFF" w:val="clear"/>
            <w:tcMar>
              <w:bottom w:w="0" w:type="dxa"/>
            </w:tcMar>
            <w:vAlign w:val="center"/>
          </w:tcPr>
          <w:p>
            <w:pPr>
              <w:pStyle w:val="TableContents"/>
              <w:bidi w:val="0"/>
              <w:spacing w:before="0" w:after="283"/>
              <w:jc w:val="left"/>
              <w:rPr/>
            </w:pPr>
            <w:r>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283"/>
              <w:jc w:val="left"/>
              <w:rPr/>
            </w:pPr>
            <w:r>
              <w:rPr/>
              <w:t>Cover Page Interactive Data File (formatted as Inline XBRL with applicable taxonomy extension information contained in Exhibits 101)</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580"/>
        <w:gridCol w:w="350"/>
        <w:gridCol w:w="2420"/>
      </w:tblGrid>
      <w:tr>
        <w:trPr/>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 2026</w:t>
            </w:r>
          </w:p>
        </w:tc>
        <w:tc>
          <w:tcPr>
            <w:tcW w:w="27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SpringBig Holdings, Inc.</w:t>
            </w:r>
          </w:p>
        </w:tc>
      </w:tr>
      <w:tr>
        <w:trPr/>
        <w:tc>
          <w:tcPr>
            <w:tcW w:w="15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Jaret Christopher</w:t>
            </w:r>
          </w:p>
        </w:tc>
      </w:tr>
      <w:tr>
        <w:trPr/>
        <w:tc>
          <w:tcPr>
            <w:tcW w:w="15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Jaret Christopher</w:t>
            </w:r>
          </w:p>
        </w:tc>
      </w:tr>
      <w:tr>
        <w:trPr/>
        <w:tc>
          <w:tcPr>
            <w:tcW w:w="15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5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11" w:name="ea028847501ex31-3.htm"/>
      <w:bookmarkStart w:id="12" w:name="ksea028847501ex313"/>
      <w:bookmarkEnd w:id="11"/>
      <w:bookmarkEnd w:id="12"/>
      <w:r>
        <w:rPr>
          <w:b/>
        </w:rPr>
        <w:t>Exhibit 31.3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Jaret Christopher,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both"/>
              <w:rPr/>
            </w:pPr>
            <w:r>
              <w:rPr/>
              <w:t>I have reviewed this Amendment No. 1 to the Annual Report on Form 10-K of SpringBig Holdings, Inc;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2026</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25"/>
        <w:gridCol w:w="2690"/>
        <w:gridCol w:w="75"/>
      </w:tblGrid>
      <w:tr>
        <w:trPr/>
        <w:tc>
          <w:tcPr>
            <w:tcW w:w="725" w:type="dxa"/>
            <w:tcBorders/>
            <w:vAlign w:val="center"/>
          </w:tcPr>
          <w:p>
            <w:pPr>
              <w:pStyle w:val="TableContents"/>
              <w:bidi w:val="0"/>
              <w:spacing w:before="0" w:after="283"/>
              <w:jc w:val="left"/>
              <w:rPr/>
            </w:pPr>
            <w:r>
              <w:rPr/>
              <w:t>By:</w:t>
            </w:r>
          </w:p>
        </w:tc>
        <w:tc>
          <w:tcPr>
            <w:tcW w:w="2690" w:type="dxa"/>
            <w:tcBorders>
              <w:bottom w:val="single" w:sz="12" w:space="0" w:color="000000"/>
            </w:tcBorders>
            <w:tcMar>
              <w:bottom w:w="28" w:type="dxa"/>
            </w:tcMar>
            <w:vAlign w:val="center"/>
          </w:tcPr>
          <w:p>
            <w:pPr>
              <w:pStyle w:val="TableContents"/>
              <w:bidi w:val="0"/>
              <w:spacing w:before="0" w:after="283"/>
              <w:jc w:val="left"/>
              <w:rPr/>
            </w:pPr>
            <w:r>
              <w:rPr/>
              <w:t>/s/ Jaret Christopher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2690" w:type="dxa"/>
            <w:tcBorders/>
            <w:vAlign w:val="center"/>
          </w:tcPr>
          <w:p>
            <w:pPr>
              <w:pStyle w:val="TableContents"/>
              <w:bidi w:val="0"/>
              <w:spacing w:before="0" w:after="283"/>
              <w:jc w:val="left"/>
              <w:rPr/>
            </w:pPr>
            <w:r>
              <w:rPr/>
              <w:t>Jaret Christopher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9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xml:space="preserve">(principal executive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right"/>
        <w:rPr>
          <w:b/>
        </w:rPr>
      </w:pPr>
      <w:bookmarkStart w:id="13" w:name="ea028847501ex31-4.htm"/>
      <w:bookmarkStart w:id="14" w:name="ksea028847501ex314"/>
      <w:bookmarkEnd w:id="13"/>
      <w:bookmarkEnd w:id="14"/>
      <w:r>
        <w:rPr>
          <w:b/>
        </w:rPr>
        <w:t>Exhibit 31.4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Jason Moos,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both"/>
              <w:rPr/>
            </w:pPr>
            <w:r>
              <w:rPr/>
              <w:t>I have reviewed this Amendment No. 1 to the Annual Report on Form 10-K of SpringBig Holdings, Inc;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2026</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25"/>
        <w:gridCol w:w="2600"/>
        <w:gridCol w:w="75"/>
      </w:tblGrid>
      <w:tr>
        <w:trPr/>
        <w:tc>
          <w:tcPr>
            <w:tcW w:w="725" w:type="dxa"/>
            <w:tcBorders/>
            <w:vAlign w:val="center"/>
          </w:tcPr>
          <w:p>
            <w:pPr>
              <w:pStyle w:val="TableContents"/>
              <w:bidi w:val="0"/>
              <w:spacing w:before="0" w:after="283"/>
              <w:jc w:val="left"/>
              <w:rPr/>
            </w:pPr>
            <w:r>
              <w:rPr/>
              <w:t>By:</w:t>
            </w:r>
          </w:p>
        </w:tc>
        <w:tc>
          <w:tcPr>
            <w:tcW w:w="2600" w:type="dxa"/>
            <w:tcBorders>
              <w:bottom w:val="single" w:sz="12" w:space="0" w:color="000000"/>
            </w:tcBorders>
            <w:tcMar>
              <w:bottom w:w="28" w:type="dxa"/>
            </w:tcMar>
            <w:vAlign w:val="center"/>
          </w:tcPr>
          <w:p>
            <w:pPr>
              <w:pStyle w:val="TableContents"/>
              <w:bidi w:val="0"/>
              <w:spacing w:before="0" w:after="283"/>
              <w:jc w:val="left"/>
              <w:rPr/>
            </w:pPr>
            <w:r>
              <w:rPr/>
              <w:t>/s/ Jason Moos</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2600" w:type="dxa"/>
            <w:tcBorders/>
            <w:vAlign w:val="center"/>
          </w:tcPr>
          <w:p>
            <w:pPr>
              <w:pStyle w:val="TableContents"/>
              <w:bidi w:val="0"/>
              <w:spacing w:before="0" w:after="283"/>
              <w:jc w:val="left"/>
              <w:rPr/>
            </w:pPr>
            <w:r>
              <w:rPr/>
              <w:t>Jason Moos</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0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xml:space="preserve">(principal financial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14955</Words>
  <Characters>80467</Characters>
  <CharactersWithSpaces>95763</CharactersWithSpaces>
  <Paragraphs>1644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