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184150</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220980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20" w:right="1960" w:hanging="3912"/>
        <w:spacing w:after="0" w:line="493" w:lineRule="auto"/>
        <w:tabs>
          <w:tab w:leader="none" w:pos="43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453"/>
        </w:trPr>
        <w:tc>
          <w:tcPr>
            <w:tcW w:w="4360" w:type="dxa"/>
            <w:vAlign w:val="bottom"/>
            <w:gridSpan w:val="4"/>
          </w:tcPr>
          <w:p>
            <w:pPr>
              <w:ind w:left="800"/>
              <w:spacing w:after="0"/>
              <w:rPr>
                <w:sz w:val="20"/>
                <w:szCs w:val="20"/>
                <w:color w:val="auto"/>
              </w:rPr>
            </w:pPr>
            <w:r>
              <w:rPr>
                <w:rFonts w:ascii="Arial" w:cs="Arial" w:eastAsia="Arial" w:hAnsi="Arial"/>
                <w:sz w:val="18"/>
                <w:szCs w:val="18"/>
                <w:b w:val="1"/>
                <w:bCs w:val="1"/>
                <w:color w:val="auto"/>
              </w:rPr>
              <w:t>Commission File Number 001-40049</w:t>
            </w: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196850</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36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TUATARA CAPITAL ACQUISITION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55880</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388"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5780" w:type="dxa"/>
            <w:vAlign w:val="bottom"/>
          </w:tcPr>
          <w:p>
            <w:pPr>
              <w:jc w:val="center"/>
              <w:ind w:right="890"/>
              <w:spacing w:after="0"/>
              <w:rPr>
                <w:sz w:val="20"/>
                <w:szCs w:val="20"/>
                <w:color w:val="auto"/>
              </w:rPr>
            </w:pPr>
            <w:r>
              <w:rPr>
                <w:rFonts w:ascii="Arial" w:cs="Arial" w:eastAsia="Arial" w:hAnsi="Arial"/>
                <w:sz w:val="18"/>
                <w:szCs w:val="18"/>
                <w:b w:val="1"/>
                <w:bCs w:val="1"/>
                <w:color w:val="auto"/>
                <w:w w:val="90"/>
              </w:rPr>
              <w:t>Cayman Islands</w:t>
            </w:r>
          </w:p>
        </w:tc>
        <w:tc>
          <w:tcPr>
            <w:tcW w:w="3720" w:type="dxa"/>
            <w:vAlign w:val="bottom"/>
          </w:tcPr>
          <w:p>
            <w:pPr>
              <w:jc w:val="center"/>
              <w:ind w:left="890"/>
              <w:spacing w:after="0"/>
              <w:rPr>
                <w:sz w:val="20"/>
                <w:szCs w:val="20"/>
                <w:color w:val="auto"/>
              </w:rPr>
            </w:pPr>
            <w:r>
              <w:rPr>
                <w:rFonts w:ascii="Arial" w:cs="Arial" w:eastAsia="Arial" w:hAnsi="Arial"/>
                <w:sz w:val="18"/>
                <w:szCs w:val="18"/>
                <w:b w:val="1"/>
                <w:bCs w:val="1"/>
                <w:color w:val="auto"/>
                <w:w w:val="96"/>
              </w:rPr>
              <w:t>N/A</w:t>
            </w:r>
          </w:p>
        </w:tc>
      </w:tr>
      <w:tr>
        <w:trPr>
          <w:trHeight w:val="234"/>
        </w:trPr>
        <w:tc>
          <w:tcPr>
            <w:tcW w:w="5780" w:type="dxa"/>
            <w:vAlign w:val="bottom"/>
          </w:tcPr>
          <w:p>
            <w:pPr>
              <w:jc w:val="center"/>
              <w:ind w:right="890"/>
              <w:spacing w:after="0"/>
              <w:rPr>
                <w:sz w:val="20"/>
                <w:szCs w:val="20"/>
                <w:color w:val="auto"/>
              </w:rPr>
            </w:pPr>
            <w:r>
              <w:rPr>
                <w:rFonts w:ascii="Arial" w:cs="Arial" w:eastAsia="Arial" w:hAnsi="Arial"/>
                <w:sz w:val="18"/>
                <w:szCs w:val="18"/>
                <w:b w:val="1"/>
                <w:bCs w:val="1"/>
                <w:color w:val="auto"/>
                <w:w w:val="92"/>
              </w:rPr>
              <w:t>(State or Other Jurisdiction of Incorporation or Organization)</w:t>
            </w:r>
          </w:p>
        </w:tc>
        <w:tc>
          <w:tcPr>
            <w:tcW w:w="372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578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655 Third Avenue, 8th Floor</w:t>
            </w:r>
          </w:p>
        </w:tc>
        <w:tc>
          <w:tcPr>
            <w:tcW w:w="3720" w:type="dxa"/>
            <w:vAlign w:val="bottom"/>
          </w:tcPr>
          <w:p>
            <w:pPr>
              <w:spacing w:after="0"/>
              <w:rPr>
                <w:sz w:val="24"/>
                <w:szCs w:val="24"/>
                <w:color w:val="auto"/>
              </w:rPr>
            </w:pPr>
          </w:p>
        </w:tc>
      </w:tr>
      <w:tr>
        <w:trPr>
          <w:trHeight w:val="216"/>
        </w:trPr>
        <w:tc>
          <w:tcPr>
            <w:tcW w:w="5780" w:type="dxa"/>
            <w:vAlign w:val="bottom"/>
          </w:tcPr>
          <w:p>
            <w:pPr>
              <w:jc w:val="center"/>
              <w:ind w:right="890"/>
              <w:spacing w:after="0"/>
              <w:rPr>
                <w:sz w:val="20"/>
                <w:szCs w:val="20"/>
                <w:color w:val="auto"/>
              </w:rPr>
            </w:pPr>
            <w:r>
              <w:rPr>
                <w:rFonts w:ascii="Arial" w:cs="Arial" w:eastAsia="Arial" w:hAnsi="Arial"/>
                <w:sz w:val="18"/>
                <w:szCs w:val="18"/>
                <w:b w:val="1"/>
                <w:bCs w:val="1"/>
                <w:color w:val="auto"/>
                <w:w w:val="95"/>
              </w:rPr>
              <w:t>New York, NY</w:t>
            </w:r>
          </w:p>
        </w:tc>
        <w:tc>
          <w:tcPr>
            <w:tcW w:w="372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10017</w:t>
            </w:r>
          </w:p>
        </w:tc>
      </w:tr>
      <w:tr>
        <w:trPr>
          <w:trHeight w:val="234"/>
        </w:trPr>
        <w:tc>
          <w:tcPr>
            <w:tcW w:w="5780" w:type="dxa"/>
            <w:vAlign w:val="bottom"/>
          </w:tcPr>
          <w:p>
            <w:pPr>
              <w:jc w:val="center"/>
              <w:ind w:right="89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720" w:type="dxa"/>
            <w:vAlign w:val="bottom"/>
          </w:tcPr>
          <w:p>
            <w:pPr>
              <w:jc w:val="center"/>
              <w:ind w:left="910"/>
              <w:spacing w:after="0"/>
              <w:rPr>
                <w:sz w:val="20"/>
                <w:szCs w:val="20"/>
                <w:color w:val="auto"/>
              </w:rPr>
            </w:pPr>
            <w:r>
              <w:rPr>
                <w:rFonts w:ascii="Arial" w:cs="Arial" w:eastAsia="Arial" w:hAnsi="Arial"/>
                <w:sz w:val="18"/>
                <w:szCs w:val="18"/>
                <w:b w:val="1"/>
                <w:bCs w:val="1"/>
                <w:color w:val="auto"/>
                <w:w w:val="93"/>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+ 1 917-460-7522</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8"/>
                <w:szCs w:val="18"/>
                <w:color w:val="auto"/>
              </w:rPr>
            </w:pPr>
          </w:p>
        </w:tc>
        <w:tc>
          <w:tcPr>
            <w:tcW w:w="3100" w:type="dxa"/>
            <w:vAlign w:val="bottom"/>
            <w:gridSpan w:val="2"/>
          </w:tcPr>
          <w:p>
            <w:pPr>
              <w:jc w:val="center"/>
              <w:ind w:right="1570"/>
              <w:spacing w:after="0"/>
              <w:rPr>
                <w:sz w:val="20"/>
                <w:szCs w:val="20"/>
                <w:color w:val="auto"/>
              </w:rPr>
            </w:pPr>
            <w:r>
              <w:rPr>
                <w:rFonts w:ascii="Arial" w:cs="Arial" w:eastAsia="Arial" w:hAnsi="Arial"/>
                <w:sz w:val="18"/>
                <w:szCs w:val="18"/>
                <w:b w:val="1"/>
                <w:bCs w:val="1"/>
                <w:color w:val="auto"/>
                <w:w w:val="89"/>
              </w:rPr>
              <w:t>Title of Each Class</w:t>
            </w:r>
          </w:p>
        </w:tc>
        <w:tc>
          <w:tcPr>
            <w:tcW w:w="226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89"/>
              </w:rPr>
              <w:t>Trading Symbol(s)</w:t>
            </w:r>
          </w:p>
        </w:tc>
        <w:tc>
          <w:tcPr>
            <w:tcW w:w="4600" w:type="dxa"/>
            <w:vAlign w:val="bottom"/>
            <w:gridSpan w:val="5"/>
          </w:tcPr>
          <w:p>
            <w:pPr>
              <w:ind w:left="1040"/>
              <w:spacing w:after="0"/>
              <w:rPr>
                <w:sz w:val="20"/>
                <w:szCs w:val="20"/>
                <w:color w:val="auto"/>
              </w:rPr>
            </w:pPr>
            <w:r>
              <w:rPr>
                <w:rFonts w:ascii="Arial" w:cs="Arial" w:eastAsia="Arial" w:hAnsi="Arial"/>
                <w:sz w:val="18"/>
                <w:szCs w:val="18"/>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60" w:type="dxa"/>
            <w:vAlign w:val="bottom"/>
            <w:gridSpan w:val="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0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0"/>
              </w:rPr>
              <w:t>Class A ordinary shares, par value $0.0001 per</w:t>
            </w:r>
          </w:p>
        </w:tc>
        <w:tc>
          <w:tcPr>
            <w:tcW w:w="58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TCAC</w:t>
            </w:r>
          </w:p>
        </w:tc>
        <w:tc>
          <w:tcPr>
            <w:tcW w:w="1040" w:type="dxa"/>
            <w:vAlign w:val="bottom"/>
          </w:tcPr>
          <w:p>
            <w:pPr>
              <w:spacing w:after="0"/>
              <w:rPr>
                <w:sz w:val="18"/>
                <w:szCs w:val="18"/>
                <w:color w:val="auto"/>
              </w:rPr>
            </w:pPr>
          </w:p>
        </w:tc>
        <w:tc>
          <w:tcPr>
            <w:tcW w:w="3560" w:type="dxa"/>
            <w:vAlign w:val="bottom"/>
            <w:gridSpan w:val="4"/>
          </w:tcPr>
          <w:p>
            <w:pPr>
              <w:ind w:left="560"/>
              <w:spacing w:after="0"/>
              <w:rPr>
                <w:sz w:val="20"/>
                <w:szCs w:val="20"/>
                <w:color w:val="auto"/>
              </w:rPr>
            </w:pPr>
            <w:r>
              <w:rPr>
                <w:rFonts w:ascii="Arial" w:cs="Arial" w:eastAsia="Arial" w:hAnsi="Arial"/>
                <w:sz w:val="18"/>
                <w:szCs w:val="18"/>
                <w:b w:val="1"/>
                <w:bCs w:val="1"/>
                <w:color w:val="auto"/>
              </w:rPr>
              <w:t>The Nasdaq Stock Market LLC</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100" w:type="dxa"/>
            <w:vAlign w:val="bottom"/>
            <w:gridSpan w:val="2"/>
          </w:tcPr>
          <w:p>
            <w:pPr>
              <w:jc w:val="center"/>
              <w:ind w:right="1550"/>
              <w:spacing w:after="0"/>
              <w:rPr>
                <w:sz w:val="20"/>
                <w:szCs w:val="20"/>
                <w:color w:val="auto"/>
              </w:rPr>
            </w:pPr>
            <w:r>
              <w:rPr>
                <w:rFonts w:ascii="Arial" w:cs="Arial" w:eastAsia="Arial" w:hAnsi="Arial"/>
                <w:sz w:val="18"/>
                <w:szCs w:val="18"/>
                <w:b w:val="1"/>
                <w:bCs w:val="1"/>
                <w:color w:val="auto"/>
                <w:w w:val="87"/>
              </w:rPr>
              <w:t>share</w:t>
            </w: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auto"/>
                <w:w w:val="90"/>
              </w:rPr>
              <w:t>Redeemable warrants, each whole warrant</w:t>
            </w:r>
          </w:p>
        </w:tc>
        <w:tc>
          <w:tcPr>
            <w:tcW w:w="58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TCACW</w:t>
            </w:r>
          </w:p>
        </w:tc>
        <w:tc>
          <w:tcPr>
            <w:tcW w:w="1040" w:type="dxa"/>
            <w:vAlign w:val="bottom"/>
          </w:tcPr>
          <w:p>
            <w:pPr>
              <w:spacing w:after="0"/>
              <w:rPr>
                <w:sz w:val="18"/>
                <w:szCs w:val="18"/>
                <w:color w:val="auto"/>
              </w:rPr>
            </w:pPr>
          </w:p>
        </w:tc>
        <w:tc>
          <w:tcPr>
            <w:tcW w:w="3560" w:type="dxa"/>
            <w:vAlign w:val="bottom"/>
            <w:gridSpan w:val="4"/>
          </w:tcPr>
          <w:p>
            <w:pPr>
              <w:ind w:left="560"/>
              <w:spacing w:after="0"/>
              <w:rPr>
                <w:sz w:val="20"/>
                <w:szCs w:val="20"/>
                <w:color w:val="auto"/>
              </w:rPr>
            </w:pPr>
            <w:r>
              <w:rPr>
                <w:rFonts w:ascii="Arial" w:cs="Arial" w:eastAsia="Arial" w:hAnsi="Arial"/>
                <w:sz w:val="18"/>
                <w:szCs w:val="18"/>
                <w:b w:val="1"/>
                <w:bCs w:val="1"/>
                <w:color w:val="auto"/>
              </w:rPr>
              <w:t>The Nasdaq Stock Market LLC</w:t>
            </w:r>
          </w:p>
        </w:tc>
        <w:tc>
          <w:tcPr>
            <w:tcW w:w="0" w:type="dxa"/>
            <w:vAlign w:val="bottom"/>
          </w:tcPr>
          <w:p>
            <w:pPr>
              <w:spacing w:after="0"/>
              <w:rPr>
                <w:sz w:val="1"/>
                <w:szCs w:val="1"/>
                <w:color w:val="auto"/>
              </w:rPr>
            </w:pPr>
          </w:p>
        </w:tc>
      </w:tr>
      <w:tr>
        <w:trPr>
          <w:trHeight w:val="216"/>
        </w:trPr>
        <w:tc>
          <w:tcPr>
            <w:tcW w:w="420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89"/>
              </w:rPr>
              <w:t>exercisable for one Class A ordinary share at</w:t>
            </w: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87"/>
              </w:rPr>
              <w:t>an exercise price of $11.50</w:t>
            </w: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88"/>
              </w:rPr>
              <w:t>Units, each consisting of one Class A ordinary</w:t>
            </w:r>
          </w:p>
        </w:tc>
        <w:tc>
          <w:tcPr>
            <w:tcW w:w="58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TCACU</w:t>
            </w:r>
          </w:p>
        </w:tc>
        <w:tc>
          <w:tcPr>
            <w:tcW w:w="1040" w:type="dxa"/>
            <w:vAlign w:val="bottom"/>
          </w:tcPr>
          <w:p>
            <w:pPr>
              <w:spacing w:after="0"/>
              <w:rPr>
                <w:sz w:val="18"/>
                <w:szCs w:val="18"/>
                <w:color w:val="auto"/>
              </w:rPr>
            </w:pPr>
          </w:p>
        </w:tc>
        <w:tc>
          <w:tcPr>
            <w:tcW w:w="3560" w:type="dxa"/>
            <w:vAlign w:val="bottom"/>
            <w:gridSpan w:val="4"/>
          </w:tcPr>
          <w:p>
            <w:pPr>
              <w:ind w:left="560"/>
              <w:spacing w:after="0"/>
              <w:rPr>
                <w:sz w:val="20"/>
                <w:szCs w:val="20"/>
                <w:color w:val="auto"/>
              </w:rPr>
            </w:pPr>
            <w:r>
              <w:rPr>
                <w:rFonts w:ascii="Arial" w:cs="Arial" w:eastAsia="Arial" w:hAnsi="Arial"/>
                <w:sz w:val="18"/>
                <w:szCs w:val="18"/>
                <w:b w:val="1"/>
                <w:bCs w:val="1"/>
                <w:color w:val="auto"/>
              </w:rPr>
              <w:t>The Nasdaq Stock Market LLC</w:t>
            </w:r>
          </w:p>
        </w:tc>
        <w:tc>
          <w:tcPr>
            <w:tcW w:w="0" w:type="dxa"/>
            <w:vAlign w:val="bottom"/>
          </w:tcPr>
          <w:p>
            <w:pPr>
              <w:spacing w:after="0"/>
              <w:rPr>
                <w:sz w:val="1"/>
                <w:szCs w:val="1"/>
                <w:color w:val="auto"/>
              </w:rPr>
            </w:pPr>
          </w:p>
        </w:tc>
      </w:tr>
      <w:tr>
        <w:trPr>
          <w:trHeight w:val="234"/>
        </w:trPr>
        <w:tc>
          <w:tcPr>
            <w:tcW w:w="420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auto"/>
                <w:w w:val="89"/>
              </w:rPr>
              <w:t>share and one-half of one redeemable warrant</w:t>
            </w:r>
          </w:p>
        </w:tc>
        <w:tc>
          <w:tcPr>
            <w:tcW w:w="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4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None</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40" w:type="dxa"/>
            <w:vAlign w:val="bottom"/>
            <w:gridSpan w:val="2"/>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1820" w:type="dxa"/>
            <w:vAlign w:val="bottom"/>
            <w:vMerge w:val="restart"/>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7"/>
        </w:trPr>
        <w:tc>
          <w:tcPr>
            <w:tcW w:w="8580" w:type="dxa"/>
            <w:vAlign w:val="bottom"/>
            <w:gridSpan w:val="8"/>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vMerge w:val="continue"/>
          </w:tcPr>
          <w:p>
            <w:pPr>
              <w:spacing w:after="0"/>
              <w:rPr>
                <w:sz w:val="24"/>
                <w:szCs w:val="24"/>
                <w:color w:val="auto"/>
              </w:rPr>
            </w:pPr>
          </w:p>
        </w:tc>
        <w:tc>
          <w:tcPr>
            <w:tcW w:w="1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gridSpan w:val="8"/>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18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522" w:right="399" w:bottom="0" w:gutter="0" w:footer="0" w:header="0"/>
        </w:sectPr>
      </w:pP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200"/>
            <w:col w:w="6240" w:space="720"/>
            <w:col w:w="1520" w:space="720"/>
            <w:col w:w="160"/>
          </w:cols>
          <w:pgMar w:left="320" w:top="522" w:right="39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40" w:space="280"/>
            <w:col w:w="6240" w:space="720"/>
            <w:col w:w="1980" w:space="260"/>
            <w:col w:w="160"/>
          </w:cols>
          <w:pgMar w:left="320" w:top="522" w:right="399" w:bottom="0" w:gutter="0" w:footer="0" w:header="0"/>
          <w:type w:val="continuous"/>
        </w:sectPr>
      </w:pPr>
    </w:p>
    <w:bookmarkStart w:id="1" w:name="page2"/>
    <w:bookmarkEnd w:id="1"/>
    <w:p>
      <w:pPr>
        <w:ind w:left="8780"/>
        <w:spacing w:after="0" w:line="207" w:lineRule="exact"/>
        <w:tabs>
          <w:tab w:leader="none" w:pos="110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207" w:lineRule="exact"/>
        <w:tabs>
          <w:tab w:leader="none" w:pos="7640" w:val="left"/>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of June 30, 2021 (the last business day of the registrant’s second fiscal quarter), the Class A ordinary shares outstanding, other than shares held by persons who may be deemed affiliates of registrant, computed by reference to the closing sales price for the Class A ordinary shares on June 30, 2021, as reported on the Nasdaq, was $194,000,000.</w:t>
      </w:r>
    </w:p>
    <w:p>
      <w:pPr>
        <w:spacing w:after="0" w:line="4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9, 2022, 20,000,000 Class A ordinary shares, par value $0.0001 per share, and 5,000,000 Class B ordinary shares, par value $0.0001 per share, were issued and outstanding, respectively.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TUATARA CAPITAL ACQUISITION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106045</wp:posOffset>
            </wp:positionV>
            <wp:extent cx="10629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60" w:type="dxa"/>
            <w:vAlign w:val="bottom"/>
            <w:gridSpan w:val="3"/>
          </w:tcPr>
          <w:p>
            <w:pPr>
              <w:jc w:val="center"/>
              <w:ind w:left="1410"/>
              <w:spacing w:after="0"/>
              <w:rPr>
                <w:sz w:val="20"/>
                <w:szCs w:val="20"/>
                <w:color w:val="auto"/>
              </w:rPr>
            </w:pPr>
            <w:r>
              <w:rPr>
                <w:rFonts w:ascii="Arial" w:cs="Arial" w:eastAsia="Arial" w:hAnsi="Arial"/>
                <w:sz w:val="18"/>
                <w:szCs w:val="18"/>
                <w:color w:val="auto"/>
                <w:w w:val="85"/>
              </w:rPr>
              <w:t>Page</w:t>
            </w:r>
          </w:p>
        </w:tc>
      </w:tr>
      <w:tr>
        <w:trPr>
          <w:trHeight w:val="21"/>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180" w:type="dxa"/>
            <w:vAlign w:val="bottom"/>
            <w:gridSpan w:val="2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CAUTIONARY NOTE REGARDING FORWARD-LOOKING STATEMENTS AND RISK FACTOR SUMMARY</w:t>
              </w:r>
            </w:hyperlink>
          </w:p>
        </w:tc>
        <w:tc>
          <w:tcPr>
            <w:tcW w:w="16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rPr>
              <w:t>iii</w:t>
            </w:r>
          </w:p>
        </w:tc>
      </w:tr>
      <w:tr>
        <w:trPr>
          <w:trHeight w:val="216"/>
        </w:trPr>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180" w:type="dxa"/>
            <w:vAlign w:val="bottom"/>
            <w:gridSpan w:val="2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1960" w:type="dxa"/>
            <w:vAlign w:val="bottom"/>
            <w:gridSpan w:val="2"/>
            <w:shd w:val="clear" w:color="auto" w:fill="CCEEFF"/>
          </w:tcPr>
          <w:p>
            <w:pPr>
              <w:jc w:val="center"/>
              <w:ind w:left="1510"/>
              <w:spacing w:after="0" w:line="176" w:lineRule="exact"/>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 Business</w:t>
              </w:r>
            </w:hyperlink>
          </w:p>
        </w:tc>
        <w:tc>
          <w:tcPr>
            <w:tcW w:w="1960" w:type="dxa"/>
            <w:vAlign w:val="bottom"/>
            <w:gridSpan w:val="2"/>
            <w:shd w:val="clear" w:color="auto" w:fill="CCEEFF"/>
          </w:tcPr>
          <w:p>
            <w:pPr>
              <w:jc w:val="center"/>
              <w:ind w:left="1510"/>
              <w:spacing w:after="0" w:line="176" w:lineRule="exact"/>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1A. Risk Factors</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Item 1B. Unresolved Staff Comments</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Item 2. Property</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Item 3. Legal Proceedings</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Item 4. Mine Safety Disclosures</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180" w:type="dxa"/>
            <w:vAlign w:val="bottom"/>
            <w:gridSpan w:val="26"/>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PART II</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52</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5. Market for Registrant’s Common Equity, Related Stockholder Matters and Issuer Purchases of Equity Securities</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52</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6. Selected Financial Data</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53</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7. Management’s Discussion and Analysis of Financial Condition and Results of Operations</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53</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7A. Quantitative and Qualitative Disclosures about Market Risk</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58</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8. Financial Statements and Supplementary Data</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58</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9. Changes in and Disagreements with Accountants on Accounting and Financial Disclosure</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58</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9A. Controls and Procedures</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58</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180" w:type="dxa"/>
            <w:vAlign w:val="bottom"/>
            <w:gridSpan w:val="26"/>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PART III</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60</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10. Directors, Executive Officers and Corporate Governance</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60</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Item 11. Executive Compensation</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68</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w w:val="98"/>
              </w:rPr>
            </w:pPr>
            <w:hyperlink w:anchor="page74">
              <w:r>
                <w:rPr>
                  <w:rFonts w:ascii="Arial" w:cs="Arial" w:eastAsia="Arial" w:hAnsi="Arial"/>
                  <w:sz w:val="18"/>
                  <w:szCs w:val="18"/>
                  <w:color w:val="0000EE"/>
                  <w:w w:val="98"/>
                </w:rPr>
                <w:t>Item 12. Security Ownership of Certain Beneficial Owners and Management and Related Stockholder Matters</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69</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Item 13. Certain Relationships and Related Transactions, and Director Independence</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71</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14. Principal Accountant Fees and Services</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73</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9180" w:type="dxa"/>
            <w:vAlign w:val="bottom"/>
            <w:gridSpan w:val="26"/>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PART IV</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74</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Item 15. Exhibits, Financial Statement Schedules</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74</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540" w:type="dxa"/>
            <w:vAlign w:val="bottom"/>
            <w:shd w:val="clear" w:color="auto" w:fill="CCEEFF"/>
          </w:tcPr>
          <w:p>
            <w:pPr>
              <w:spacing w:after="0"/>
              <w:rPr>
                <w:sz w:val="17"/>
                <w:szCs w:val="17"/>
                <w:color w:val="auto"/>
              </w:rPr>
            </w:pPr>
          </w:p>
        </w:tc>
        <w:tc>
          <w:tcPr>
            <w:tcW w:w="8640" w:type="dxa"/>
            <w:vAlign w:val="bottom"/>
            <w:gridSpan w:val="25"/>
            <w:shd w:val="clear" w:color="auto" w:fill="CCEEFF"/>
          </w:tcPr>
          <w:p>
            <w:pPr>
              <w:ind w:left="20"/>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Item 16. Form 10-K Summary</w:t>
              </w:r>
            </w:hyperlink>
          </w:p>
        </w:tc>
        <w:tc>
          <w:tcPr>
            <w:tcW w:w="1960" w:type="dxa"/>
            <w:vAlign w:val="bottom"/>
            <w:gridSpan w:val="2"/>
            <w:shd w:val="clear" w:color="auto" w:fill="CCEEFF"/>
          </w:tcPr>
          <w:p>
            <w:pPr>
              <w:jc w:val="center"/>
              <w:ind w:left="1490"/>
              <w:spacing w:after="0" w:line="176" w:lineRule="exact"/>
              <w:rPr>
                <w:sz w:val="20"/>
                <w:szCs w:val="20"/>
                <w:color w:val="auto"/>
              </w:rPr>
            </w:pPr>
            <w:r>
              <w:rPr>
                <w:rFonts w:ascii="Arial" w:cs="Arial" w:eastAsia="Arial" w:hAnsi="Arial"/>
                <w:sz w:val="18"/>
                <w:szCs w:val="18"/>
                <w:color w:val="auto"/>
                <w:w w:val="89"/>
              </w:rPr>
              <w:t>75</w:t>
            </w:r>
          </w:p>
        </w:tc>
        <w:tc>
          <w:tcPr>
            <w:tcW w:w="100" w:type="dxa"/>
            <w:vAlign w:val="bottom"/>
            <w:shd w:val="clear" w:color="auto" w:fill="CCEEFF"/>
          </w:tcPr>
          <w:p>
            <w:pPr>
              <w:spacing w:after="0"/>
              <w:rPr>
                <w:sz w:val="17"/>
                <w:szCs w:val="17"/>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9180" w:type="dxa"/>
            <w:vAlign w:val="bottom"/>
            <w:gridSpan w:val="26"/>
            <w:shd w:val="clear" w:color="auto" w:fill="CCEEFF"/>
          </w:tcPr>
          <w:p>
            <w:pPr>
              <w:spacing w:after="0"/>
              <w:rPr>
                <w:sz w:val="20"/>
                <w:szCs w:val="20"/>
                <w:color w:val="auto"/>
              </w:rPr>
            </w:pPr>
            <w:r>
              <w:rPr>
                <w:rFonts w:ascii="Arial" w:cs="Arial" w:eastAsia="Arial" w:hAnsi="Arial"/>
                <w:sz w:val="18"/>
                <w:szCs w:val="18"/>
                <w:color w:val="auto"/>
              </w:rPr>
              <w:t>INDEX TO FINANCIAL STATEMENTS</w:t>
            </w:r>
          </w:p>
        </w:tc>
        <w:tc>
          <w:tcPr>
            <w:tcW w:w="1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F-1</w:t>
            </w:r>
          </w:p>
        </w:tc>
      </w:tr>
      <w:tr>
        <w:trPr>
          <w:trHeight w:val="318"/>
        </w:trPr>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0"/>
        </w:trPr>
        <w:tc>
          <w:tcPr>
            <w:tcW w:w="9180" w:type="dxa"/>
            <w:vAlign w:val="bottom"/>
            <w:gridSpan w:val="26"/>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Broadridge to update page numbers.</w:t>
            </w: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TERMS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in this Annual Report on Form 10-K (this “Annual Report”), references 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“us,” “our,” “company,” “our company” or “TCAC” are to Tuatara Capital Acquisition Corporation, a Cayman Islands exempted company;</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“amended and restated memorandum and articles of association” are to our Amended and Restated Memorandum and Articles of Association;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“Class A ordinary shares” are to our Class A ordinary shares, par value $0.0001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“Class B ordinary shares” are to our Class B ordinary shares, par value $0.0001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“Companies Law” are to the Companies Law (2020 Revision) of the Cayman Islands as the same may be amended from time to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“directors” are to our current directors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“founder shares” are to our Class B ordinary shares initially purchased by our sponsor in a private placement prior to our initial public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“initial shareholders” are to our sponsor and other holders of our founder shares prior to our initial public offering;</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“letter agreement” refers to the letter agreement entered into between us and our initial shareholders, directors and officers on February 11, 2021 and August 7,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or our “management team” are to our officers and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“ordinary shares” are to our Class A ordinary shares and our Class B ordinary shares;</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“private placement warrants” are to the warrants issued to our sponsor in a private placement simultaneously with the closing of our initial public offering;</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“public shares” are to our Class A ordinary shares sold as part of the units in our initial public offering (whether they were purchased in our initial public offering or thereafter in the open market);</w:t>
      </w:r>
    </w:p>
    <w:p>
      <w:pPr>
        <w:spacing w:after="0" w:line="170"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“public shareholders” are to the holders of our public shares, including our sponsor, officers and directors to the extent our sponsor, officers or directors purchase public shares, provided their status as a “public shareholder” shall only exist with respect to such public shares;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“sponsor” or “Sponsor” are to TCAC Sponsor, LLC, a Delaware limited liability company, an affiliate of Tuatara Capital L.P. (“Tuatara Capital”);</w:t>
      </w:r>
    </w:p>
    <w:p>
      <w:pPr>
        <w:spacing w:after="0" w:line="23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“warrants” are to our redeemable warrants sold as part of the units in our initial public offering (whether they were purchased in the initial public offering or thereafter in the open market) and the private placement warrants;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“SpringBig” are to SpringBig, Inc., a Delaware corporation; and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“US$” and “U.S. dollar” each refer to the United States dollar.</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 AND RISK FACTOR SUMMARY</w:t>
      </w:r>
    </w:p>
    <w:p>
      <w:pPr>
        <w:spacing w:after="0" w:line="229"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Some of the statements contained in this Annual Report may constitute “forward-looking statements” for purposes of the federal securities laws. These forward-looking statements include, but are not limited to, statements regarding us or our management team’s expectations, hopes, beliefs, intentions, or strategies regarding the future, including, without limitation, those relating to the Merger (as defined herein).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Annual Report may include, for example and without limitation, statements about: (1) trends in the cannabis industry; (2) the occurrence of any event, change or other circumstances that could give rise to the termination of the Merger Agreement; (3) the outcome of any legal proceedings that may be instituted against TCAC, SpringBig, the combined company or others following the announcement of the Business Combination; (4) the inability to complete the Business Combination due to the failure to obtain approval of the shareholders of TCAC or to satisfy other conditions to closing, including the satisfaction of the minimum trust account amount following any redemptions;</w:t>
      </w:r>
    </w:p>
    <w:p>
      <w:pPr>
        <w:spacing w:after="0" w:line="4" w:lineRule="exact"/>
        <w:rPr>
          <w:sz w:val="20"/>
          <w:szCs w:val="20"/>
          <w:color w:val="auto"/>
        </w:rPr>
      </w:pPr>
    </w:p>
    <w:p>
      <w:pPr>
        <w:ind w:firstLine="8"/>
        <w:spacing w:after="0" w:line="286"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to the proposed structure of the Business Combination that may be required or appropriate as a result of applicable laws or regulations or as a condition to obtaining regulatory approval of the Business Combination; (6) the ability to meet stock exchange listing standards at or following the consummation of the Business Combination; (7) the risk that the Business Combination disrupts current plans and operations of SpringBig as a result of the announcement and consummation of the Business Combination; (8)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(9) costs related to the Business Combination; (10) changes in applicable laws or regulations; (11) the possibility that SpringBig or the combined company may be adversely affected by other economic, business, and/or competitive factors; (12) the limited operating history of SpringBig; (13) the SpringBig business is subject to significant governmental regulation; (14) the SpringBig business may not successfully expand into other markets; and (15) other risks and uncertainties set forth in the sections entitled “Risk Factors” herein and which are set forth in a Registration Statement on Form S-4 previously filed by TCAC with the SEC in connection with the Business Combination.</w:t>
      </w:r>
    </w:p>
    <w:p>
      <w:pPr>
        <w:spacing w:after="0" w:line="16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the control of the Company), or other assumptions that may cause actual results or performance to be materially different from those expressed or implied by these forward-looking statements. These risks and uncertainties include, but are not limited to, those factors described herein under the heading “Risk Factors</w:t>
      </w:r>
      <w:r>
        <w:rPr>
          <w:rFonts w:ascii="Arial" w:cs="Arial" w:eastAsia="Arial" w:hAnsi="Arial"/>
          <w:sz w:val="18"/>
          <w:szCs w:val="18"/>
          <w:i w:val="1"/>
          <w:iCs w:val="1"/>
          <w:color w:val="auto"/>
        </w:rPr>
        <w:t>.</w:t>
      </w:r>
      <w:r>
        <w:rPr>
          <w:rFonts w:ascii="Arial" w:cs="Arial" w:eastAsia="Arial" w:hAnsi="Arial"/>
          <w:sz w:val="18"/>
          <w:szCs w:val="18"/>
          <w:color w:val="auto"/>
        </w:rPr>
        <w:t>” Should one or more of these risks or uncertainties materialize, or should any of the Company’s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We undertake no obligation to update or revise any forward-looking statements, whether as a result of new information, future events, or otherwise, except as may be required under applicable securities laws.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are a blank check company incorporated as a Cayman Islands exempted company and formed for the purpose of effecting a merger, amalgamation, share exchange, asset acquisition, share purchase, reorganization or similar business combination with one or more businesses, which we refer to throughout this Annual Report as our initial business combination.</w:t>
      </w:r>
    </w:p>
    <w:p>
      <w:pPr>
        <w:spacing w:after="0" w:line="18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sponsor is an affiliate of Tuatara Capital. Tuatara Capital is a cannabis sector-focused private equity firm founded in 2014, with over $390 million in investment capital as of December 2021, and is led by seasoned professionals with experience as principal investors, investment advisors, and entrepreneurs. Since its founding, Tuatara Capital has built a proprietary database of over 3,500 cannabis companies that have launched or been seeking capital. In July 2020, Tuatara Capital completed raising its second flagship fund with a focus on long-term investments into growth-stage businesses in the emerging legal cannabis industry.</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prohibition efforts over the past several decades have been an exception in history, as the cannabis plant and its inherent medicinal properties have been part of human civilization and traditions for centuries. Even domestically, the plant’s benefits were listed in the United States Pharmacopoeia by 1850. As the legal and regulatory landscape for cannabis changes, we believe significant opportunity exists in the potential for cannabis to reclaim broad support in society and rapid adoption across its use cases. The market potential for cannabis is even greater with the benefits of modern science, where the discoveries of the human endocannabinoid system and the plant’s cannabinoids (tetrahydrocannabinol (“THC”) and cannabinol (“CBD”) being amongst the most prevalent of the more than 100 cannabinoids) exhibit medicinal benefits and the potential use for a variety of health and wellness and therapeutic applications.</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Change in the legal and regulatory landscape is taking shape in two forms: (1) the creation of medical or adult-use marijuana programs in jurisdictions that legalize and permit the use of psychoactive products for medical and/or recreation programs and (2) the creation of programs in jurisdictions that permit the use of non-psychoactive cannabis products (below a certain level of THC) for discretionary use.</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top of a pre-existing illicit marijuana market, these fundamental developments have fostered growing interest from consumers, which has led to growing expectations of a larger legal market. As a result, the cannabis market experienced a wave of capital investment from its early stages all the way to the end of 2021, generally in the form of private capital and, in the last several years, public capital. While this capital has supported the rapid creation of companies across the cannabis value chain, it has also been less discriminate with the quality of the business models and the ability to produce consistent profitability. At the same time, certain bottlenecks have hampered the growth of the industry, both on the psychoactive and non-psychoactive side, including regulatory evolution, influencer education, value chain bottlenecks, safety uncertainties and health concerns from vaping. These factors have metered down the rapid expansion of demand and consequently have impacted the business models of many companies involved in the cannabis space. For many companies this impact is displayed through constrained top line growth, compressed profit margins, and reduced cash flow generation; public companies have the additional consequence of diminished valuation levels, which notably has restricted access to capital at a crucial point in the development of the industry.</w:t>
      </w:r>
    </w:p>
    <w:p>
      <w:pPr>
        <w:spacing w:after="0" w:line="18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the legal and regulatory landscapes have evolved into more favorable environments that promote commerce and innovation, many new cannabis-related investment opportunities are being brought to market, dynamic ideas are being conceptualized and developed around mainline businesses, and many new innovative cannabis companies are being formed. We believe we have the opportunity to create a compelling structure that will, in the short term, provide a target company with access to the strategic capital and industry expertise necessary to establish the right infrastructure, secure enviable distribution, or successfully position brands. Navigating the aforementioned challenges will be critical to achieving full-scale commercial viability and to growing a profitable enterprise. In the longer term, as cannabis markets become more normalized with broader access to capital, we believe the target company will be uniquely positioned, with its naturally defensible competitive position, to realize the full potential of the industry.</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that the normalization of cannabis and its many uses and applications—in social consumption, pharmaceuticals, health and wellness and industrial raw materials and fiber—is creating a rarely seen opportunity to invest in related businesses. At the same time, the cannabis industry is highly fragmented and subject to a complex regulatory framework, creating significant barriers to entry. As the industry continues to transition to a new legal and regulatory landscape, we believe that many companies will need a partner that can assist in providing a level of operational and financial expertise to support their growth. Our team includes a variety of investment, operational, healthcare and consumer professionals who will be able to provide operating, technical, regulatory and legal expertise to assist a target business with efficient access to and deployment of its capital most effectively.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Company History</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February 2020, our sponsor purchased an aggregate of 4,312,500 Class B ordinary shares (our “founder shares”) for an aggregate purchase price of $25,000, or approximately $0.006 per share (after giving effect to a forfeiture effected in January 2021. In February 2021, our sponsor transferred 50,000 founder shares to Richard Taney, 40,000 founder shares to Jeffrey Bornstein and 40,000 shares to Aris Kekedjian for the same per share purchase price paid by our sponsor. On April 5, 2021, in connection with the expiration of the underwriters’ over-allotment option granted in TCAC’s initial public offering, our sponsor surrendered 31,250 founder shares. On May 18, 2021, Aris Kekedjian transferred 40,000 founder shares to our sponsor pursuant to the terms of his resignation from TCAC’s board of directors, and on August 27, 2021, our sponsor transferred 40,000 founder shares to Michael Finkelman in connection with his appointment to TCAC’s board of directors. Our Class B ordinary shares will automatically convert into Class A ordinary shares, on a one-for-one basis, upon the completion of a business combination. The number of founder shares issued was determined based on the expectation that the founder shares would represent 20% of the issued and outstanding ordinary shares upon completion of the initial public offering.</w:t>
      </w:r>
    </w:p>
    <w:p>
      <w:pPr>
        <w:spacing w:after="0" w:line="16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February 17, 2021, we completed our initial public offering of 20,000,000 units at a price of $10.00 per unit (the “units”), including the partial exercise of the underwriters’ over-allotment option, generating gross proceeds of $200,000,000. Each unit consists of one of the Company’s shares of Class A ordinary shares, par value $0.0001 per share, and one-half of one redeemable warrant. Each whole warrant entitles the holder thereof to purchase one Class A ordinary share at a price of $11.50 per share, subject to certain adjustments.</w:t>
      </w:r>
    </w:p>
    <w:p>
      <w:pPr>
        <w:spacing w:after="0" w:line="18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Substantially concurrently with the completion of the initial public offering, our sponsor purchased an aggregate of 6,000,000 warrants (the “private placement warrants”) at a price of $1.00 per warrant, or $6,000,000 in the aggregate. A total of $200,000,000, comprised of $196,000,000 of the proceeds from the initial public offering, including $7,000,000 of the underwriters’ deferred discount, and $4,000,000 of the proceeds of the sale of the Private Placement Warrants, was placed in a U.S.-based trust account at J.P. Morgan Chase Bank, N.A., maintained by Continental Stock Transfer &amp; Trust Company, acting as trustee.</w:t>
      </w:r>
    </w:p>
    <w:p>
      <w:pPr>
        <w:spacing w:after="0" w:line="18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April 2, 2021, we announced that, commencing April 5, 2021, holders of the 20,000,000 units sold in the initial public offering may elect to separately trade the Class A ordinary shares and the warrants included in the units. Those units not separated continued to trade on the Nasdaq Stock Market LLC (“Nasdaq”) under the symbol “TCACU” and the Class A ordinary shares and warrants that were separated trade under the symbols “TCAC” and “TCACW,”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Agreement</w:t>
      </w:r>
    </w:p>
    <w:p>
      <w:pPr>
        <w:spacing w:after="0" w:line="225"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On November 8, 2021, we entered into an Agreement and Plan of Merger (as it may be amended, supplemented or otherwise modified from time to time, the “Merger Agreement”), by and among us, HighJump Merger Sub, Inc., a Delaware corporation (“Merger Sub”), and SpringBig. The Merger Agreement and the transactions contemplated thereby were approved by the boards of directors of each of TCAC and SpringBig.</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SpringBig is a market-leading software platform providing customer loyalty and marketing automation solutions to retailers and brands.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Business Combination</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Merger Agreement provides for, among other things, the following transactions on or prior to the closing date: (i) TCAC will become a Delaware corporation (the “Domestication”) and, in connection with the Domestication, (A) TCAC’s name will be changed as mutually agreed to between the parties,</w:t>
      </w:r>
    </w:p>
    <w:p>
      <w:pPr>
        <w:ind w:right="60" w:firstLine="8"/>
        <w:spacing w:after="0" w:line="252" w:lineRule="auto"/>
        <w:tabs>
          <w:tab w:leader="none" w:pos="285"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then-issued and outstanding TCAC Class A ordinary share will convert automatically, on a one-for-one basis, into one share of Class A common stock of TCAC (the “New SpringBig Common Stock”), (C) each then-issued and outstanding TCAC Class B ordinary share will convert automatically, on a one-for-one basis, into one share of New SpringBig Common Stock, and (D) each then-issued and outstanding common warrant of TCAC will convert automatically, on a one-for-one basis, into one warrant to purchase one share of New SpringBig Common Stock; and (ii) following the Domestication, Merger Sub will merge with and into SpringBig, with SpringBig as the surviving company in the merger and, after giving effect to such merger, continuing as a wholly-owned subsidiary of TCAC (the “Merger”).</w:t>
      </w:r>
    </w:p>
    <w:p>
      <w:pPr>
        <w:spacing w:after="0" w:line="194"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Domestication, the Merger and the other transactions contemplated by the Merger Agreement are hereinafter referred to as the “Business Combination.”</w:t>
      </w:r>
    </w:p>
    <w:p>
      <w:pPr>
        <w:spacing w:after="0" w:line="170"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Business Combination is expected to close in mid-2022, following the receipt of the required approval by TCAC’s shareholders, required regulatory approvals and the fulfillment of other customary closing conditions.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Consideration</w:t>
      </w:r>
    </w:p>
    <w:p>
      <w:pPr>
        <w:spacing w:after="0" w:line="225"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In accordance with the terms and subject to the conditions of the Merger Agreement, based on an implied equity value of $245 million, (i) each share of SpringBig common stock (other than dissenting shares) will be canceled and converted into the right to receive the applicable portion of the merger consideration comprised of New SpringBig Common Stock, as determined in the Merger Agreement (the “Share Conversion Ratio”) and (ii) vested and unvested options of SpringBig outstanding and unexercised immediately prior to the effective date of the Merger will convert into comparable options that are exercisable for shares of New SpringBig Common Stock, with a value determined in accordance with the Share Conversion Ratio.</w:t>
      </w:r>
    </w:p>
    <w:p>
      <w:pPr>
        <w:spacing w:after="0" w:line="16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part of the aggregate consideration payable to the SpringBig’s securityholders pursuant to the Merger Agreement, holders of SpringBig’s common stock (including those holders of converted preferred stock of SpringBig) and holders of options of SpringBig’s common stock will also have the right to receive their pro rata portion of up to an aggregate of 9,000,000 shares of New SpringBig Common Stock (“Contingent Shares”) if any of the following stock price conditions are met: (i) 5,500,000 Contingent Shares if the closing price of New SpringBig Common Stock equals or exceeds $12.00 per share (as adjusted for share splits, share dividends, reorganizations, and recapitalizations) on any twenty trading days in a thirty trading-day period at any time after the closing date and by the third anniversary of the closing date; (ii) 2,250,000 Contingent Shares if the closing price of New SpringBig Common Stock equals or exceeds $15.00 per share (as adjusted for share splits, share dividends, reorganizations, and recapitalizations) on any twenty trading days in a thirty trading-day period at any time after the closing date and by the third anniversary of the closing date; and (iii) 1,250,000 Contingent Shares if the closing price of the New SpringBig Common Stock equals or exceeds $18.00 per share (as adjusted for share splits, share dividends, reorganizations, and recapitalizations) on any twenty trading days in a thirty trading-day period at any time after the closing date and by the third anniversary of the closing date.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Sponsor Escrow Agreement</w:t>
      </w:r>
    </w:p>
    <w:p>
      <w:pPr>
        <w:spacing w:after="0" w:line="225" w:lineRule="exact"/>
        <w:rPr>
          <w:sz w:val="20"/>
          <w:szCs w:val="20"/>
          <w:color w:val="auto"/>
        </w:rPr>
      </w:pPr>
    </w:p>
    <w:p>
      <w:pPr>
        <w:ind w:right="300" w:firstLine="324"/>
        <w:spacing w:after="0" w:line="271" w:lineRule="auto"/>
        <w:rPr>
          <w:sz w:val="20"/>
          <w:szCs w:val="20"/>
          <w:color w:val="auto"/>
        </w:rPr>
      </w:pPr>
      <w:r>
        <w:rPr>
          <w:rFonts w:ascii="Arial" w:cs="Arial" w:eastAsia="Arial" w:hAnsi="Arial"/>
          <w:sz w:val="17"/>
          <w:szCs w:val="17"/>
          <w:color w:val="auto"/>
        </w:rPr>
        <w:t>The Sponsor, TCAC and certain of TCAC’s board of directors’ independent directors will enter into an escrow agreement (“Sponsor Escrow Agreement”) in a form and on terms and conditions reasonably acceptable to SpringBig, providing that, immediately following the closing, the Sponsor and certain of TCAC’s board of directors’ independent directors shall deposit an aggregate of 1,000,000 shares of New SpringBig Common Stock (“Sponsor Earnout Shares”) into escrow. The Sponsor Escrow Agreement will provide that such Sponsor Earnout Shares will either be released to the Sponsor if the closing price of the New SpringBig Common Stock equals or exceeds $12.00 per share (as adjusted for share splits, share dividends, reorganizations, and recapitalizations) on any twenty trading days in a thirty trading-day period at any time after the closing date and by the third anniversary of the closing date. The Sponsor Earnout Shares will be terminated and canceled by TCAC if such condition is not met at any time after the closing date and by the third anniversary of the closing date.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Representations and Warranties; Covenants</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Merger Agreement contains representations, warranties and covenants of each of the parties thereto that are customary for transactions of this type. TCAC and SpringBig have also agreed to take all necessary action such that, effective immediately after the closing of the Business Combination, the TCAC board of directors shall consist of seven directors, of whom (i) one individual shall be designated by the Sponsor, (ii) three individuals shall be designated by SpringBig, and (iii) three individuals shall be independent directors acceptable to the Sponsor and SpringBig. In addition, TCAC has agreed to adopt an equity incentive plan in an amount not to exceed 5% of TCAC’s equity interests on a fully-diluted basis (including the number of shares of New SpringBig Common Stock underlying the SpringBig options assumed by TCAC pursuant to the terms of the Merger Agreement).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Conditions to Each Party’s Obligations</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obligations of TCAC and SpringBig to consummate the Business Combination are subject to certain closing conditions, including, but not limited to, (i) the expiration or termination of the applicable waiting period under the Hart-Scott-Rodino Antitrust Improvements Act of 1976, as amended, (ii) the approval of TCAC’s and SpringBig’s shareholders, (iii) the approval for listing of New SpringBig Common Stock to be issued in connection with the Business Combination on Nasdaq, and (iv) TCAC having at least $5,000,001 of net tangible assets (as determined in accordance with Rule 3a51-1(g)(1) of the Securities Exchange Act of 1934, as amended) (the “Exchange Act”) remaining after the closing of the Business Combination.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Termination</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Merger Agreement may be terminated under certain customary and limited circumstances prior to the closing of the Business Combination, including, but not limited to, (i) by mutual written consent of TCAC and SpringBig, (ii) by either party if the consummation of the Business Combination is permanently enjoined, prohibited, deemed illegal or prevented by the terms of final, non-appealable Governmental Order (as defined in the Merger Agreement), (iii) by TCAC if there is any breach of any representation, warrant, covenant or agreement on the part of SpringBig set forth in the Merger Agreement such that certain conditions to closing cannot be satisfied and the breach or breaches of such representations or warranties or the failure to perform such covenant or agreement, as applicable, are not cured or cannot be cured within certain specified time periods, (iv) by SpringBig if there is any breach of any representation, warrant, covenant or agreement on the part of TCAC or Merger Sub set forth in the Merger Agreement such that certain conditions to closing cannot be satisfied and the breach or breaches of such representations or warranties or the failure to perform such covenant or agreement, as applicable, are not cured or cannot be cured within certain specified time periods, (v) subject to certain limited exceptions, by either TCAC or SpringBig if the Business Combination is not consummated by July 8, 2022, (vi) by either TCAC or SpringBig if certain required approvals are not obtained by TCAC shareholders after the conclusion of a meeting of TCAC’s shareholders held for such purpose at which such shareholders voted on such approvals (subject to any permitted adjournment or postponement of such meeting), or (vii) by either TCAC or SpringBig if Nasdaq rejects the listing of New SpringBig Common Stock to be issued pursuant to the Merger Agreement, and such rejection is final and non-appealable.</w:t>
      </w:r>
    </w:p>
    <w:p>
      <w:pPr>
        <w:spacing w:after="0" w:line="17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If the Merger Agreement is validly terminated, none of the parties to the Merger Agreement will have any liability or any further obligation under the Merger Agreement other than customary confidentiality obligations, other than liability of any of the parties for (i) intentional and willful breach of the Merger Agreement or (ii) fraud.</w:t>
      </w:r>
    </w:p>
    <w:p>
      <w:pPr>
        <w:spacing w:after="0" w:line="18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foregoing description of the Merger Agreement is subject to and qualified in its entirety by reference to the full text of the Merger Agreement, a copy of which is included as Exhibit 10.6 hereto, and the terms of which are incorporated by reference. 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Merger Agreement. The Merger Agreement will be filed to provide investors with information regarding its terms. It is not intended to provide any other factual information about the parties to the Merger Agreement. In particular, the representations, warranties, covenants and agreements contained in the Merger Agreement, which were made only for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security holders and reports and documents filed with the SEC. Investors and security holders are not third-party beneficiaries under Merger Agreement and should not rely on the representations, warranties, covenants and agreements, or any descriptions thereof, as characterizations of the actual state of facts or condition of any party to the Merger Agreement. In addition, the representations, warranties, covenants and agreements and other terms of the Merger Agreement may be subject to subsequent waiver or modification. Moreover, information concerning the subject matter of the representations and warranties and other terms may change after the date of the Merger Agreement, which subsequent information may or may not be fully reflected in TCAC’s public disclosures.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Sponsor Agreement</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Concurrently with the execution of the Merger Agreement, TCAC, the Sponsor, SpringBig and certain other persons party thereto entered into a sponsor agreement (the “Sponsor Agreement”), pursuant to which the Sponsor has agreed to, among other things, (i) vote in favor of the Merger Agreement and the transactions contemplated thereby (including the Merger) and (ii) waive any adjustment to the conversion ratio set forth in TCAC’s amended and restated memorandum and articles of association with respect to the Class B ordinary shares of TCAC held by the Sponsor, in each case, on the terms and subject to the conditions set forth in the Sponsor Agreement.</w:t>
      </w:r>
    </w:p>
    <w:p>
      <w:pPr>
        <w:spacing w:after="0" w:line="188"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foregoing description of the Sponsor Agreement is subject to and qualified in its entirety by reference to the full text of the form of Sponsor Agreement, a copy of which is included as Exhibit 10.7 hereto, and the terms of which are incorporated by reference.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PIPE Financing (Private Placement)</w:t>
      </w:r>
    </w:p>
    <w:p>
      <w:pPr>
        <w:spacing w:after="0" w:line="22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In connection with the signing of the Merger Agreement, TCAC entered into subscription agreements (the “Subscription Agreements”) with certain investors (the “PIPE Investors”). Pursuant to the Subscription Agreements, the PIPE Investors agreed to subscribe for and purchase, and TCAC agreed to issue and sell to such investors, on the closing date, an aggregate of 1,310,000 shares of New SpringBig Common Stock for a purchase price of $10.00 per share, for aggregate gross proceeds of $13,100,000 (the “PIPE Financing”).</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780" w:firstLine="324"/>
        <w:spacing w:after="0" w:line="308" w:lineRule="auto"/>
        <w:rPr>
          <w:sz w:val="20"/>
          <w:szCs w:val="20"/>
          <w:color w:val="auto"/>
        </w:rPr>
      </w:pPr>
      <w:r>
        <w:rPr>
          <w:rFonts w:ascii="Arial" w:cs="Arial" w:eastAsia="Arial" w:hAnsi="Arial"/>
          <w:sz w:val="17"/>
          <w:szCs w:val="17"/>
          <w:color w:val="auto"/>
        </w:rPr>
        <w:t>The foregoing description of the Subscription Agreements is subject to and qualified in its entirety by reference to the full text of the form of Subscription Agreement, a copy of which is included as Exhibit 10.8 hereto, and the terms of which are incorporated by reference.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 and Support Agreements</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Concurrently with the execution of the Merger Agreement, certain shareholders and option holders of SpringBig and TCAC (collectively, the “Supporting Holders”) entered into support agreements (collectively, the “Support Agreements”) with TCAC and SpringBig, pursuant to which the Supporting Holders have agreed to, among other things, (i) vote in favor of the Merger Agreement and the transactions contemplated thereby, (ii) agree to a lockup of six months, and (iii) be bound by certain other covenants and agreements related to the Business Combination. The Supporting Holders hold sufficient shares of SpringBig to cause the approval of the Business Combination on behalf of SpringBig.</w:t>
      </w:r>
    </w:p>
    <w:p>
      <w:pPr>
        <w:spacing w:after="0" w:line="17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foregoing description of the Support Agreements is subject to and qualified in its entirety by reference to the full text of the form of Support Agreement, a copy of which is included as Exhibit 10.9 hereto, and the terms of which are incorporated by reference.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Registrations Rights Agreement</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At the closing of the Business Combination, TCAC, our Sponsor and certain other holders of TCAC Class A common stock will enter into an amended and restated registration rights agreement (the “Amended and Restated Registration Rights Agreement”) pursuant to which, among other matters, certain shareholders of TCAC and SpringBig will be granted certain customary demand and “piggy-back” registration rights with respect to their respective shares of New SpringBig Common Stock.</w:t>
      </w:r>
    </w:p>
    <w:p>
      <w:pPr>
        <w:spacing w:after="0" w:line="187"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foregoing description of the Amended and Restated Registration Rights Agreement is subject to and qualified by in its entirety by reference to the full text of the form of Amended and Restated Registration Rights Agreement, a copy of which is included as Exhibit 10.11 hereto, and the terms of which are incorporated by reference.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225"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8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15" w:lineRule="exact"/>
        <w:rPr>
          <w:sz w:val="20"/>
          <w:szCs w:val="20"/>
          <w:color w:val="auto"/>
        </w:rPr>
      </w:pPr>
    </w:p>
    <w:p>
      <w:pPr>
        <w:ind w:right="180" w:firstLine="324"/>
        <w:spacing w:after="0" w:line="202" w:lineRule="auto"/>
        <w:rPr>
          <w:sz w:val="20"/>
          <w:szCs w:val="20"/>
          <w:color w:val="auto"/>
        </w:rPr>
      </w:pPr>
      <w:r>
        <w:rPr>
          <w:rFonts w:ascii="Arial" w:cs="Arial" w:eastAsia="Arial" w:hAnsi="Arial"/>
          <w:sz w:val="18"/>
          <w:szCs w:val="18"/>
          <w:color w:val="auto"/>
        </w:rPr>
        <w:t>Our executive offices are located at 655 Third Avenue,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10017, and our telephone number is (917) 460-7522. Our website is www.tuataraspac.com.</w:t>
      </w:r>
    </w:p>
    <w:p>
      <w:pPr>
        <w:spacing w:after="0" w:line="203"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We are a Cayman Islands exempted company. Exempted companies are Cayman Islands companies wishing to conduct business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6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66"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17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equals or exceeds $250 million as of the end of that year’s second fiscal quarter, and (2) our annual revenues equaled or exceeded $100 million during such completed fiscal year or the market value of our ordinary shares held by non-affiliates equals or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are not presently engaged in any operations. We intend to effectuate our initial business combination using cash from the proceeds of our initial public offering and the sale of the private placement warrants, our shares,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8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early stages of development or growth, we may be affected by numerous risks inherent in the business operations of those entities. If we complete a business combination with an entity in an industry characterized by a high level of risk, including the cannabis industry,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229"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8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6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expect to conduct thorough due diligence as we evaluate a prospective target business to assess attributes that differentiate sustainable cannabis-servicing businesses from unattractive assets.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71" w:lineRule="exact"/>
        <w:rPr>
          <w:sz w:val="20"/>
          <w:szCs w:val="20"/>
          <w:color w:val="auto"/>
        </w:rPr>
      </w:pPr>
    </w:p>
    <w:p>
      <w:pPr>
        <w:ind w:left="660" w:right="4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ind w:right="280" w:firstLine="324"/>
        <w:spacing w:after="0" w:line="272"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77"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24" w:lineRule="exact"/>
        <w:rPr>
          <w:sz w:val="20"/>
          <w:szCs w:val="20"/>
          <w:color w:val="auto"/>
        </w:rPr>
      </w:pPr>
    </w:p>
    <w:p>
      <w:pPr>
        <w:jc w:val="both"/>
        <w:ind w:right="520" w:firstLine="324"/>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Shareholders upon Completion of Our Initial Business Combination</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amount in the trust account as of December 31, 2021 was approximately $10.00 per Class A ordinary share. The per-share amount we will distribute to investors who properly redeem their shares will not be reduced by the deferred underwriting commissions we will pay to the underwriters.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Redemptions</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Class A ordinary shares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in order to, among other reasons, satisfy such net tangible assets or minimum cash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Conducting Redemptions</w:t>
      </w:r>
    </w:p>
    <w:p>
      <w:pPr>
        <w:spacing w:after="0" w:line="229" w:lineRule="exact"/>
        <w:rPr>
          <w:sz w:val="20"/>
          <w:szCs w:val="20"/>
          <w:color w:val="auto"/>
        </w:rPr>
      </w:pPr>
    </w:p>
    <w:p>
      <w:pPr>
        <w:ind w:right="180" w:firstLine="324"/>
        <w:spacing w:after="0" w:line="269"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either (1) in connection with a general meeting called to approve the business combination or (2)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amalgamations pursuant to a scheme of arrangement and any 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spacing w:after="0" w:line="18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If a shareholder vote is not required and we do not decide to hold a shareholder vote for business or other reasons, we will, pursuant to our amended and restated memorandum and articles of association:</w:t>
      </w:r>
    </w:p>
    <w:p>
      <w:pPr>
        <w:spacing w:after="0" w:line="170" w:lineRule="exact"/>
        <w:rPr>
          <w:sz w:val="20"/>
          <w:szCs w:val="20"/>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Rule 13e-4 and Regulation 14E of the Exchange Act, which regulate issuer tender offers, and</w:t>
      </w:r>
    </w:p>
    <w:p>
      <w:pPr>
        <w:spacing w:after="0" w:line="170"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after payment of the deferred underwriting commission,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spacing w:after="0" w:line="192"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If, however, shareholder approval of the transaction is required by applicable law or stock exchange listing requirement, or we decide to obtain shareholder approval for business or other reasons, we will, pursuant to our amended and restated memorandum and articles of association:</w:t>
      </w:r>
    </w:p>
    <w:p>
      <w:pPr>
        <w:spacing w:after="0" w:line="124"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spacing w:after="0" w:line="188"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4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In such case, pursuant to the terms of a letter agreement entered into with us, our initial shareholders have agreed (and their permitted transferees will agree) to vote their founder shares and any public shares held by them in favor of our initial business combination. Our directors and officers also have agreed to vote in favor of our initial business combination with respect to public shares acquired by them, if any. We expect that at the time of any shareholder vote relating to our initial business combination, our initial shareholders and their permitted transferees will own at least 20% of our issued and outstanding ordinary shares entitled to vote thereon. Each public shareholder may elect to redeem their public shares without voting and, if they do vote, irrespective of whether they vote for or against the proposed business combination. In addition, our initial shareholders have entered into a letter agreement with us, pursuant to which they have agreed to waive their redemption rights with respect to their founder shares and any public shares held by them in connection with the completion of a business combination. Our directors and officers have also entered into the letter agreement, imposing similar obligations on them with respect to public shares acquired by them, if any.</w:t>
      </w:r>
    </w:p>
    <w:p>
      <w:pPr>
        <w:spacing w:after="0" w:line="18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amended and restated memorandum and articles of association will provide that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such business combination or redeem any shares in connection therewith, and all public shares submitted for redemption will be returned to the holders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sponsor or its affiliates to purchase their shares at a significant premium to the then-current market price or on other undesirable terms. Absent this provision, a public shareholder holding more than an aggregate of 15% of the public shares could threaten to exercise its redemption rights if such holder’s shares are not purchased by us or our sponsor or its affiliates at a premium to the then-current market price or on other undesirable terms. By limiting our shareholders’ ability to redeem no more than 15% of the public shares,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Excess Shares) for or against our initial business combination.</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scheduled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 Accordingly, a public shareholder would have from the time we send out our tender offer materials until the close of the tender offer period, or up to two business days prior to the scheduled vote on the business combination if we distribute proxy materials, as applicable, to tender its shares if it wishes to seek to exercise its redemption rights. Pursuant to the tender offer rules, the tender offer period will be not less than 20 business days and, in the case of a shareholder vote,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Given the relatively short exercise period, it is advisable for shareholders to use electronic delivery of their public shares.</w:t>
      </w:r>
    </w:p>
    <w:p>
      <w:pPr>
        <w:spacing w:after="0" w:line="18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88"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our initial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general meeting, would become “option” rights surviving past the completion of our initial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16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Any request to redeem such shares, once made, may be withdrawn at any time up to the date set forth in the tender offer materials or two business days prior to the scheduled date of the general meeting set forth in our proxy materials, as applicable (unless we elect to allow additional withdrawal rights).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9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February 17, 2023.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229"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We have until February 17, 2023 to complete our initial business combination. If we have not completed our initial business combination by February 17, 2023, we will: (i) cease all operations except for the purpose of winding up; (ii)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by February 17, 2023.</w:t>
      </w:r>
    </w:p>
    <w:p>
      <w:pPr>
        <w:sectPr>
          <w:pgSz w:w="11900" w:h="16838" w:orient="portrait"/>
          <w:cols w:equalWidth="0" w:num="1">
            <w:col w:w="11220"/>
          </w:cols>
          <w:pgMar w:left="320" w:top="122" w:right="359" w:bottom="1440" w:gutter="0" w:footer="0" w:header="0"/>
        </w:sect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initial shareholders have entered into a letter agreement with us, pursuant to which they have waived their rights to liquidating distributions from the trust account with respect to their founder shares if we fail to complete our initial business combination by February 17, 2023. However, if our initial shareholders acquire public shares, they will be entitled to liquidating distributions from the trust account with respect to such public shares if we fail to complete our initial business combination by February 17, 2023.</w:t>
      </w:r>
    </w:p>
    <w:p>
      <w:pPr>
        <w:spacing w:after="0" w:line="18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by February 17, 2023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If we were to expend all of the net proceeds of our initial public offering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178"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Although we will seek to have all vendors, service providers (except for the Company’s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completed our initial business combination within the prescribed time frame, or upon the exercise of a redemption right in connection with our initial business combination, we will be required to provide for payment of claims of creditors that were not waived that may be brought against us within the 10 years following redemption.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(i) $10.00 per public share or (ii)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our initial public offering against certain liabilities, including liabilities under the Securities Act. In the event that an executed waiver is deemed to be unenforceable against a third party, then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None of our other officers will indemnify us for claims by third parties including, without limitation, claims by vendors and prospective target businesses.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the event that the proceeds in the trust account are reduced below (i) $10.00 per public share or (ii) such lesser amount per public share held in the trust account as of the date of the liquidation of the trust account, due to reductions in the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substantially less than $10.00 per share.</w:t>
      </w:r>
    </w:p>
    <w:p>
      <w:pPr>
        <w:spacing w:after="0" w:line="178"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We will seek to reduce the possibility that our sponsor will have to indemnify the trust account due to claims of creditors by endeavoring to have all vendors, service providers (except for the Company’s independent registered public accounting firm), prospective target businesses and other entities with which we do business execute agreements with us waiving any right, title, interest or claim of any kind in or to monies held in the trust account. Our sponsor will also not be liable as to any claims under our indemnity of the underwriters of our initial public offering against certain liabilities, including liabilities under the Securities Act. At December 31, 2021, we had access to approximately $200 million from the proceeds of our initial public offering and the sale of the private placement warrants with which to pay any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we file a winding-up or bankruptcy petition or an involuntary winding-up or bankruptcy petition is filed against us that is not dismissed, the proceeds held in the trust account could be subject to applicable insolvency law, and may be included in our insolvency estate and subject to the claims of third parties with priority over the claims of our shareholders. To the extent any insolvency claims deplete the trust account, we cannot assure you we will be able to return $10.00 per share to our public shareholders. Additionally, if we file an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bankruptcy court could seek to recover some or all amounts received by our shareholders. Furthermore, our board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81"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Our public shareholders will be entitled to receive funds from the trust account only upon the earliest to occur of: (i) the completion of our initial business combination, and then only in connection with those Class A ordinary shares that such shareholder properly elected to redeem, subject to the limitations described herein,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by February 17, 2023 or (B) with respect to any other provision relating to shareholders’ rights or pre-initial business combination activity and (iii) the redemption of our public shares if we have not completed our initial business combination by February 17, 2023, subject to applicable law and as further described herein. In no other circumstances will a shareholder have any right or interest of any kind to or in the trust account. In the event we seek shareholder approval in connection with our initial business combination, a shareholder’s voting in connection with our initial business combination alone will not result in a shareholder’s redeeming its shares to us for an applicable pro rata share of the trust account. Such shareholder must have also exercised its redemption rights described above.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14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duties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duties or contractual obligations, he or she may need to honor these fiduciary duties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currently maintain our executive offices at 655 Third Avenue, 8th Floor, New York, New York 10017. The cost for the space is included in the up to $10,000 monthly fee that we will pay our sponsor for office space, administrative and support services. We consider our current office space adequate for our current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currently have three executive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 until we have completed our initial business combination. The amount of time that any such person will devote in any time period to our company will vary based on whether a target business has been selected for our initial business combination and the current stage of the business combination process.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i w:val="1"/>
          <w:iCs w:val="1"/>
          <w:color w:val="auto"/>
        </w:rPr>
        <w:t>An investment in our securities involves a high degree of risk. You should consider carefully all of the risks described below, together with the other information contained in this Annual Report,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 See also the Risk Factors that will be set forth in our preliminary prospectus/proxy statement to be included in a Registration Statement on Form S-4 that we filed on February 10, 2022 with the SEC relating to our proposed business combination with SpringBig.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Merger Agreement</w:t>
      </w:r>
    </w:p>
    <w:p>
      <w:pPr>
        <w:spacing w:after="0" w:line="229" w:lineRule="exact"/>
        <w:rPr>
          <w:sz w:val="20"/>
          <w:szCs w:val="20"/>
          <w:color w:val="auto"/>
        </w:rPr>
      </w:pPr>
    </w:p>
    <w:p>
      <w:pPr>
        <w:ind w:left="340" w:right="400"/>
        <w:spacing w:after="0" w:line="381" w:lineRule="auto"/>
        <w:rPr>
          <w:sz w:val="20"/>
          <w:szCs w:val="20"/>
          <w:color w:val="auto"/>
        </w:rPr>
      </w:pPr>
      <w:r>
        <w:rPr>
          <w:rFonts w:ascii="Arial" w:cs="Arial" w:eastAsia="Arial" w:hAnsi="Arial"/>
          <w:sz w:val="15"/>
          <w:szCs w:val="15"/>
          <w:b w:val="1"/>
          <w:bCs w:val="1"/>
          <w:i w:val="1"/>
          <w:iCs w:val="1"/>
          <w:color w:val="auto"/>
        </w:rPr>
        <w:t>We may not be able to effect the Business Combination pursuant to the Merger Agreement. If we are unable to do so, we will incur substantial costs associated with withdrawing from the transaction, and may not be able to find additional sources of financing to cover those costs.</w:t>
      </w:r>
    </w:p>
    <w:p>
      <w:pPr>
        <w:spacing w:after="0" w:line="10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connection with the Merger Agreement, we have incurred substantial costs researching, planning and negotiating the transaction. These costs include, but are not limited to, costs associated with securing sources of equity and debt financing, costs associated with employing and retaining third-party advisors who performed the financial, auditing and legal services required to complete the transaction, and the expenses generated by our officers, executives, managers and employees in connection with the transaction. If, for whatever reason, the transactions contemplated by the Merger Agreement fail to close, we will be responsible for these costs, but will have no source of revenue with which to pay them. We may need to obtain additional sources of financing in order to meet our obligations, which we may not be able to secure on the same terms as our existing financing or at all. If we are unable to secure new sources of financing and do not have sufficient funds to meet our obligations, we will be forced to cease operations and liquidate the trust account.</w:t>
      </w:r>
    </w:p>
    <w:p>
      <w:pPr>
        <w:spacing w:after="0" w:line="192" w:lineRule="exact"/>
        <w:rPr>
          <w:sz w:val="20"/>
          <w:szCs w:val="20"/>
          <w:color w:val="auto"/>
        </w:rPr>
      </w:pPr>
    </w:p>
    <w:p>
      <w:pPr>
        <w:ind w:left="340" w:right="60"/>
        <w:spacing w:after="0" w:line="286" w:lineRule="auto"/>
        <w:rPr>
          <w:sz w:val="20"/>
          <w:szCs w:val="20"/>
          <w:color w:val="auto"/>
        </w:rPr>
      </w:pPr>
      <w:r>
        <w:rPr>
          <w:rFonts w:ascii="Arial" w:cs="Arial" w:eastAsia="Arial" w:hAnsi="Arial"/>
          <w:sz w:val="17"/>
          <w:szCs w:val="17"/>
          <w:b w:val="1"/>
          <w:bCs w:val="1"/>
          <w:i w:val="1"/>
          <w:iCs w:val="1"/>
          <w:color w:val="auto"/>
        </w:rPr>
        <w:t>If the anticipated Business Combination with SpringBig fails, it may be difficult to research a new prospective target business, negotiate and agree to a new business combination, and/or arrange for new sources of financing by February 17, 2023, in which case we would cease all operations except for the purpose of winding up and we would redeem our public shares and liquidate.</w:t>
      </w:r>
    </w:p>
    <w:p>
      <w:pPr>
        <w:spacing w:after="0" w:line="16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Finding, researching, analyzing and negotiating with SpringBig took a substantial amount of time, and if the Business Combination with SpringBig fails, we may not be able to find a suitable target business and complete our initial business combination by February 17, 2023. Our ability to complete our initial business combination may be negatively impacted by general market conditions, volatility in the capital and debt markets and the other risks described herein. If we have not completed our initial business combination within such time period, we will: (i) cease all operations except for the purpose of winding up, (ii) as promptly as reasonably possible but not more than ten (10) business days thereafter, redeem the public shares, at a per-share price, payable in cash, equal to the aggregate amount then on deposit in the trust account, including interest (less up to $100,000 of interest to pay dissolution expenses and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b w:val="1"/>
          <w:bCs w:val="1"/>
          <w:i w:val="1"/>
          <w:iCs w:val="1"/>
          <w:color w:val="auto"/>
        </w:rPr>
        <w:t>We are a blank check company with no operating history and no revenues, and you have no basis on which to evaluate our ability to achieve our business objective.</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a blank check company incorporated under the laws of the Cayman Islands and all of our activities to date have been related to our formation, our initial public offering and our search for a business combination target. Because we lack an operating history, you have no basis upon which to evaluate our ability to achieve our business objective of completing our initial business combination. If we fail to complete our initial business combination, we will never generate any operating revenues.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300"/>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4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 To the extent we take advantage of such reduced disclosure obligations, it may also make comparison of our financial statements with other public companies difficult or impossible.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23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Search for, and Consummation of or Inability to Consummate, a Business Combination</w:t>
      </w:r>
    </w:p>
    <w:p>
      <w:pPr>
        <w:spacing w:after="0" w:line="229" w:lineRule="exact"/>
        <w:rPr>
          <w:sz w:val="20"/>
          <w:szCs w:val="20"/>
          <w:color w:val="auto"/>
        </w:rPr>
      </w:pPr>
    </w:p>
    <w:p>
      <w:pPr>
        <w:ind w:left="340" w:right="320"/>
        <w:spacing w:after="0" w:line="308" w:lineRule="auto"/>
        <w:rPr>
          <w:sz w:val="20"/>
          <w:szCs w:val="20"/>
          <w:color w:val="auto"/>
        </w:rPr>
      </w:pPr>
      <w:r>
        <w:rPr>
          <w:rFonts w:ascii="Arial" w:cs="Arial" w:eastAsia="Arial" w:hAnsi="Arial"/>
          <w:sz w:val="17"/>
          <w:szCs w:val="17"/>
          <w:b w:val="1"/>
          <w:bCs w:val="1"/>
          <w:i w:val="1"/>
          <w:iCs w:val="1"/>
          <w:color w:val="auto"/>
        </w:rPr>
        <w:t>Our public shareholders may not be afforded an opportunity to vote on our proposed business combination, which means we may complete our initial business combination even though a majority of our public shareholders do not support such a combination.</w:t>
      </w:r>
    </w:p>
    <w:p>
      <w:pPr>
        <w:spacing w:after="0" w:line="14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will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 (2) provide our public shareholders with the opportunity to redeem all or a portion of their public shares upon the completion of our initial business combination by means of a tender offer (and thereby avoid the need for a shareholder vote), in each in cash, for an amount payable in cash equal to the aggregate amount then on deposit in the trust account calculated as of two business days prior to the completion of our initial business combination, including interest (which interest shall be net of taxes payable), divided by the number of then issued and outstanding public shares, subject to the limitations described herein. Accordingly, it is possible that we will consummate our initial business combination even if holders of a majority of our public shares do not approve of the business combination we consummate.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For instance, Nasdaq rules currently allow us to engage in a tender offer in lieu of a general meeting but would still require us to obtain shareholder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shareholder approval of such business combination instead of conducting a tender offer.</w:t>
      </w:r>
    </w:p>
    <w:p>
      <w:pPr>
        <w:spacing w:after="0" w:line="184" w:lineRule="exact"/>
        <w:rPr>
          <w:sz w:val="20"/>
          <w:szCs w:val="20"/>
          <w:color w:val="auto"/>
        </w:rPr>
      </w:pPr>
    </w:p>
    <w:p>
      <w:pPr>
        <w:ind w:left="340" w:right="260"/>
        <w:spacing w:after="0" w:line="308" w:lineRule="auto"/>
        <w:rPr>
          <w:sz w:val="20"/>
          <w:szCs w:val="20"/>
          <w:color w:val="auto"/>
        </w:rPr>
      </w:pPr>
      <w:r>
        <w:rPr>
          <w:rFonts w:ascii="Arial" w:cs="Arial" w:eastAsia="Arial" w:hAnsi="Arial"/>
          <w:sz w:val="17"/>
          <w:szCs w:val="17"/>
          <w:b w:val="1"/>
          <w:bCs w:val="1"/>
          <w:i w:val="1"/>
          <w:iCs w:val="1"/>
          <w:color w:val="auto"/>
        </w:rPr>
        <w:t>Your only opportunity to affect the investment decision regarding a potential business combination will be limited to the exercise of your right to redeem your shares from us for cash, unless we seek shareholder approval of such business combination.</w:t>
      </w:r>
    </w:p>
    <w:p>
      <w:pPr>
        <w:spacing w:after="0" w:line="14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any target businesses. Additionally, since our board of directors may complete a business combination without seeking shareholder approval, public shareholders may not have the right or opportunity to vote on the business combination, unless we seek such shareholder approval. Accordingly, if we do not seek shareholder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92"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initial shareholders, officers and directors have agreed to vote in favor of such initial business combination, regardless of how our public shareholders vote.</w:t>
      </w:r>
    </w:p>
    <w:p>
      <w:pPr>
        <w:spacing w:after="0" w:line="17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Unlike many other blank check companies in which the initial shareholders agree to vote their founder shares in accordance with the majority of the votes cast by the public shareholders in connection with an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7,500,001, or 37.5% of the 20,000,000 outstanding public shares to be voted in favor of a transaction,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 We expect that our initial shareholders and their permitted transferees will own at least 20% of our issued and outstanding ordinary shares at the time of any such shareholder vote. Accordingly, if we seek shareholder approval of our initial business combination, it is more likely that the necessary shareholder approval will be received than would be the case if such persons agreed to vote their founder shares in accordance with the majority of the votes cast by our public shareholders.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700"/>
        <w:spacing w:after="0" w:line="308" w:lineRule="auto"/>
        <w:rPr>
          <w:sz w:val="20"/>
          <w:szCs w:val="20"/>
          <w:color w:val="auto"/>
        </w:rPr>
      </w:pPr>
      <w:r>
        <w:rPr>
          <w:rFonts w:ascii="Arial" w:cs="Arial" w:eastAsia="Arial" w:hAnsi="Arial"/>
          <w:sz w:val="17"/>
          <w:szCs w:val="17"/>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46"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Consequently, if accepting all properly submitted redemption requests would cause our net tangible assets, after payment of the deferred underwriting commissions, to be less than $5,000,001 upon completion of our initial business combination or less than such greater amount necessary to satisfy a closing condition as described above, we would not proceed with such redemption of our public shares and the related business combination, and we instead may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shareholders will reflect our obligation to pay the deferred underwriting commissions.</w:t>
      </w:r>
    </w:p>
    <w:p>
      <w:pPr>
        <w:spacing w:after="0" w:line="184"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third-party financing.</w:t>
      </w:r>
    </w:p>
    <w:p>
      <w:pPr>
        <w:spacing w:after="0" w:line="178"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24"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4" w:lineRule="exact"/>
        <w:rPr>
          <w:sz w:val="20"/>
          <w:szCs w:val="20"/>
          <w:color w:val="auto"/>
        </w:rPr>
      </w:pPr>
    </w:p>
    <w:p>
      <w:pPr>
        <w:ind w:right="300" w:firstLine="324"/>
        <w:spacing w:after="0" w:line="293" w:lineRule="auto"/>
        <w:rPr>
          <w:sz w:val="20"/>
          <w:szCs w:val="20"/>
          <w:color w:val="auto"/>
        </w:rPr>
      </w:pPr>
      <w:r>
        <w:rPr>
          <w:rFonts w:ascii="Arial" w:cs="Arial" w:eastAsia="Arial" w:hAnsi="Arial"/>
          <w:sz w:val="16"/>
          <w:szCs w:val="16"/>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164" w:lineRule="exact"/>
        <w:rPr>
          <w:sz w:val="20"/>
          <w:szCs w:val="20"/>
          <w:color w:val="auto"/>
        </w:rPr>
      </w:pPr>
    </w:p>
    <w:p>
      <w:pPr>
        <w:jc w:val="both"/>
        <w:ind w:left="340" w:right="20"/>
        <w:spacing w:after="0" w:line="259"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prescribed time frame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18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Any potential target business with which we enter into negotiations concerning a business combination will be aware that we must complete our initial business combination by February 17, 2023.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February 17, 2023. In addition, we may have limited time to conduct due diligence and may enter into our initial business combination on terms that we would have rejected upon a more comprehensive investigation.</w:t>
      </w:r>
    </w:p>
    <w:p>
      <w:pPr>
        <w:spacing w:after="0" w:line="161" w:lineRule="exact"/>
        <w:rPr>
          <w:sz w:val="20"/>
          <w:szCs w:val="20"/>
          <w:color w:val="auto"/>
        </w:rPr>
      </w:pPr>
    </w:p>
    <w:p>
      <w:pPr>
        <w:ind w:left="340" w:right="260"/>
        <w:spacing w:after="0" w:line="308" w:lineRule="auto"/>
        <w:rPr>
          <w:sz w:val="20"/>
          <w:szCs w:val="20"/>
          <w:color w:val="auto"/>
        </w:rPr>
      </w:pPr>
      <w:r>
        <w:rPr>
          <w:rFonts w:ascii="Arial" w:cs="Arial" w:eastAsia="Arial" w:hAnsi="Arial"/>
          <w:sz w:val="17"/>
          <w:szCs w:val="17"/>
          <w:b w:val="1"/>
          <w:bCs w:val="1"/>
          <w:i w:val="1"/>
          <w:iCs w:val="1"/>
          <w:color w:val="auto"/>
        </w:rPr>
        <w:t>Our search for a business combination, and any partner business with which we ultimately complete a business combination, may be materially adversely affected by the recent coronavirus (COVID-19) pandemic and the status of debt and equity markets.</w:t>
      </w:r>
    </w:p>
    <w:p>
      <w:pPr>
        <w:spacing w:after="0" w:line="14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December 2019, a novel strain of coronavirus was reported to have surfaced in Wuhan, China, which has and is continuing to spread throughout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pandemic has and a significant outbreak of other infectious diseases could result in a widespread health crisis that could adversely affect the economies and financial markets worldwide, and the business of any potential partner business with which we consummate a business combination could be materially and adversely affected.</w:t>
      </w:r>
    </w:p>
    <w:p>
      <w:pPr>
        <w:sectPr>
          <w:pgSz w:w="11900" w:h="16838" w:orient="portrait"/>
          <w:cols w:equalWidth="0" w:num="1">
            <w:col w:w="11220"/>
          </w:cols>
          <w:pgMar w:left="320" w:top="121" w:right="359"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Furthermore, we may be unable to complete a business combination if concerns relating to COVID-19 continue to restrict travel, limit the ability to have meetings with potential investors or the partner business’s personnel, vendors and services providers are unavailable to negotiate and complete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complete a business combination, or the operations of a partner business with which we ultimately complete a business combination, may be materially adversely affected. In addition, our ability to complete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181" w:lineRule="exact"/>
        <w:rPr>
          <w:sz w:val="20"/>
          <w:szCs w:val="20"/>
          <w:color w:val="auto"/>
        </w:rPr>
      </w:pPr>
    </w:p>
    <w:p>
      <w:pPr>
        <w:ind w:left="340" w:right="20"/>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spacing w:after="0" w:line="184"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preparing for an initial public offering, as well as many such companies currently in registration. As a result, at times, fewer attractive targets may be available to consummate an initial business combination.</w:t>
      </w:r>
    </w:p>
    <w:p>
      <w:pPr>
        <w:spacing w:after="0" w:line="187"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178" w:lineRule="exact"/>
        <w:rPr>
          <w:sz w:val="20"/>
          <w:szCs w:val="20"/>
          <w:color w:val="auto"/>
        </w:rPr>
      </w:pPr>
    </w:p>
    <w:p>
      <w:pPr>
        <w:jc w:val="both"/>
        <w:ind w:left="340" w:right="340"/>
        <w:spacing w:after="0" w:line="340" w:lineRule="auto"/>
        <w:rPr>
          <w:sz w:val="20"/>
          <w:szCs w:val="20"/>
          <w:color w:val="auto"/>
        </w:rPr>
      </w:pPr>
      <w:r>
        <w:rPr>
          <w:rFonts w:ascii="Arial" w:cs="Arial" w:eastAsia="Arial" w:hAnsi="Arial"/>
          <w:sz w:val="15"/>
          <w:szCs w:val="15"/>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shareholders may receive only $10.00 per share, or less than such amount in certain circumstances, and our warrants will expire worthless.</w:t>
      </w:r>
    </w:p>
    <w:p>
      <w:pPr>
        <w:spacing w:after="0" w:line="13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sponsor, officers and directors have agreed that we must complete our initial business combination by February 17, 2023.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including as a result of terrorist attacks, natural disasters or a significant outbreak of infectious diseases.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and other events (such as terrorist attacks, natural disasters or a significant outbreak of other infectious diseases) may negatively impact businesses we may seek to acquire..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we have not completed our initial business combination by February 17, 2023, we will: (1) cease all operations except for the purpose of winding up;</w:t>
      </w:r>
    </w:p>
    <w:p>
      <w:pPr>
        <w:spacing w:after="0" w:line="46" w:lineRule="exact"/>
        <w:rPr>
          <w:sz w:val="20"/>
          <w:szCs w:val="20"/>
          <w:color w:val="auto"/>
        </w:rPr>
      </w:pPr>
    </w:p>
    <w:p>
      <w:pPr>
        <w:ind w:right="160" w:firstLine="8"/>
        <w:spacing w:after="0" w:line="268"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In such case, our public shareholders may receive only $10.00 per share, or less than $10.00 per share, on the redemption of their shares,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120"/>
        <w:spacing w:after="0" w:line="263"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sponsor, directors, officers, advisors or any of their affiliates may elect to purchase shares or warrants from public shareholders, which may influence a vote on a proposed business combination and reduce the public “float” of our securities.</w:t>
      </w:r>
    </w:p>
    <w:p>
      <w:pPr>
        <w:spacing w:after="0" w:line="18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Such a purchase may include a contractual acknowledgement that such shareholder, although still the record holder of our shares, is no longer the beneficial owner thereof and therefore agrees not to exercise its redemption rights. In the event that our sponsor, directors, officers, advisors or any of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The price per share paid in any such transaction may be different than the amount per share a public shareholder would receive if it elected to redeem its shares in connection with our initial business combination. Additionally, at any time at or prior to our initial business combination, subject to applicable securities laws (including with respect to material nonpublic information), our initial shareholders, directors, officers, advisors or any of their affiliates may enter into transactions with investors and others to provide them with incentives to acquire public shares, vote their public shares in favor of our initial business combination or not redeem their public shares. The purpose of such purchases could be to vote such shares in favor of our initial business combination and thereby increase the likelihood of obtaining shareholder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This may result in the completion of our initial business combination that may not otherwise have been possible.</w:t>
      </w:r>
    </w:p>
    <w:p>
      <w:pPr>
        <w:spacing w:after="0" w:line="171"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spacing w:after="0" w:line="184" w:lineRule="exact"/>
        <w:rPr>
          <w:sz w:val="20"/>
          <w:szCs w:val="20"/>
          <w:color w:val="auto"/>
        </w:rPr>
      </w:pPr>
    </w:p>
    <w:p>
      <w:pPr>
        <w:ind w:left="340"/>
        <w:spacing w:after="0" w:line="340" w:lineRule="auto"/>
        <w:rPr>
          <w:sz w:val="20"/>
          <w:szCs w:val="20"/>
          <w:color w:val="auto"/>
        </w:rPr>
      </w:pPr>
      <w:r>
        <w:rPr>
          <w:rFonts w:ascii="Arial" w:cs="Arial" w:eastAsia="Arial" w:hAnsi="Arial"/>
          <w:sz w:val="15"/>
          <w:szCs w:val="15"/>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 and our warrants will expire worthless.</w:t>
      </w:r>
    </w:p>
    <w:p>
      <w:pPr>
        <w:spacing w:after="0" w:line="131"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Additionally, the number of blank check companies looking for business combination targets has increased compared to recent years and many of these blank check companies are sponsored by entities or persons that have significant experience with completing business combinations. While we believe there are numerous target businesses we could potentially acquire with the net proceeds of our initial public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 shares, it will potentially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560"/>
        <w:spacing w:after="0" w:line="381" w:lineRule="auto"/>
        <w:rPr>
          <w:sz w:val="20"/>
          <w:szCs w:val="20"/>
          <w:color w:val="auto"/>
        </w:rPr>
      </w:pPr>
      <w:r>
        <w:rPr>
          <w:rFonts w:ascii="Arial" w:cs="Arial" w:eastAsia="Arial" w:hAnsi="Arial"/>
          <w:sz w:val="15"/>
          <w:szCs w:val="15"/>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which may make it difficult for us to complete our initial business combination.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currently not subject to.</w:t>
      </w:r>
    </w:p>
    <w:p>
      <w:pPr>
        <w:spacing w:after="0" w:line="23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The proceeds held in the trust account may be invested by the trustee only in U.S. government treasury bills with a maturity of 185 days or less or in money market funds investing solely in U.S. Treasuries and meeting certain conditions under Rule 2a-7 under the Investment Company Act. Because the investment of the proceeds will be restricted to these instruments, we believe we will meet the requirements for the exemption provided in Rule 3a-1 promulgated under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78"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 See “—Risks Relating to the Cannabis Industry” for additional risks we may face in connection with our initial business combination.</w:t>
      </w:r>
    </w:p>
    <w:p>
      <w:pPr>
        <w:spacing w:after="0" w:line="164"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b w:val="1"/>
          <w:bCs w:val="1"/>
          <w:i w:val="1"/>
          <w:iCs w:val="1"/>
          <w:color w:val="auto"/>
        </w:rPr>
        <w:t>Because we are not limited to a particular industry or any specific target businesses with which to pursue our initial business combination, you will be unable to ascertain the merits or risks of any particular target business’s operations.</w:t>
      </w:r>
    </w:p>
    <w:p>
      <w:pPr>
        <w:spacing w:after="0" w:line="170"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may consummate a business combination with a company in any industry we choose and are not limited to any particular industry or type of business, although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early stages of development or growth, we may be affected by numerous risks inherent in the business operations of those entities. If we complete a business combination with an entity in an industry characterized by a high level of risk, including the cannabis industry,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See “—Risks Relating to the Cannabis Industry” for additional risks we may face in connection with our initial business combination.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20"/>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listing requirement,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68" w:lineRule="exact"/>
        <w:rPr>
          <w:sz w:val="20"/>
          <w:szCs w:val="20"/>
          <w:color w:val="auto"/>
        </w:rPr>
      </w:pPr>
    </w:p>
    <w:p>
      <w:pPr>
        <w:ind w:left="340" w:right="120"/>
        <w:spacing w:after="0" w:line="263"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company from a financial point of view.</w:t>
      </w:r>
    </w:p>
    <w:p>
      <w:pPr>
        <w:spacing w:after="0" w:line="18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investment banking firm, or from an independent accounting firm, that the price we are paying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88"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b w:val="1"/>
          <w:bCs w:val="1"/>
          <w:i w:val="1"/>
          <w:i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substantially dilute the interest of our shareholders and likely present other risks.</w:t>
      </w:r>
    </w:p>
    <w:p>
      <w:pPr>
        <w:spacing w:after="0" w:line="188"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Our amended and restated memorandum and articles of association authorize the issuance of ordinary shares, including 200,000,000 Class A ordinary shares, par value $0.0001 per share, and 20,000,000 Class B ordinary shares, par value $0.0001 per share, as well as 1,000,000 preferred shares, par value $0.0001. Currently, there are 180,000,000 and 15,000,000 authorized but unissued Class A ordinary shares and Class B ordinary shares, respectively, available for issuance, which amount takes into account shares reserved for issuance upon exercise of outstanding warrants but not upon conversion of the Class B ordinary shares, and 1,000,000 authorized but unissued preferred shares available for issuance.</w:t>
      </w:r>
    </w:p>
    <w:p>
      <w:pPr>
        <w:spacing w:after="0" w:line="176" w:lineRule="exact"/>
        <w:rPr>
          <w:sz w:val="20"/>
          <w:szCs w:val="20"/>
          <w:color w:val="auto"/>
        </w:rPr>
      </w:pPr>
    </w:p>
    <w:p>
      <w:pPr>
        <w:ind w:right="160" w:firstLine="324"/>
        <w:spacing w:after="0" w:line="285" w:lineRule="auto"/>
        <w:rPr>
          <w:sz w:val="20"/>
          <w:szCs w:val="20"/>
          <w:color w:val="auto"/>
        </w:rPr>
      </w:pPr>
      <w:r>
        <w:rPr>
          <w:rFonts w:ascii="Arial" w:cs="Arial" w:eastAsia="Arial" w:hAnsi="Arial"/>
          <w:sz w:val="16"/>
          <w:szCs w:val="16"/>
          <w:color w:val="auto"/>
        </w:rPr>
        <w:t>We may issue a substantial number of additional Class A ordinary shares, and may issue preferred shares, in order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our initial business combination, we may not issue additional shares that would entitle the holders thereof to (1) receive funds from the trust account or</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(2)vote as a class with our public shares (a) on any initial business combination or (b) to approve an amendment to our amended and restated memorandum and articles of association to (x) extend the time we have to consummate a business combination beyond February 17, 2023 or (y) amend the foregoing provisions. The issuance of additional ordinary shares or preferred shares:</w:t>
      </w:r>
    </w:p>
    <w:p>
      <w:pPr>
        <w:spacing w:after="0" w:line="190" w:lineRule="exact"/>
        <w:rPr>
          <w:sz w:val="20"/>
          <w:szCs w:val="20"/>
          <w:color w:val="auto"/>
        </w:rPr>
      </w:pPr>
    </w:p>
    <w:p>
      <w:pPr>
        <w:jc w:val="both"/>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significantly dilute the equity interest of existing investors in our public shares, which dilution would increase if the anti-dilution provisions of the Class B ordinary shares resulted in the issuance of Class A ordinary shares on a greater than one-to-one basis upon conversion of the Class B ordinary shares;</w:t>
      </w:r>
    </w:p>
    <w:p>
      <w:pPr>
        <w:spacing w:after="0" w:line="183"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8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660" w:right="3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225" w:lineRule="exact"/>
        <w:rPr>
          <w:sz w:val="20"/>
          <w:szCs w:val="20"/>
          <w:color w:val="auto"/>
        </w:rPr>
      </w:pPr>
    </w:p>
    <w:p>
      <w:pPr>
        <w:ind w:left="340" w:right="840"/>
        <w:spacing w:after="0" w:line="277" w:lineRule="auto"/>
        <w:rPr>
          <w:sz w:val="20"/>
          <w:szCs w:val="20"/>
          <w:color w:val="auto"/>
        </w:rPr>
      </w:pPr>
      <w:r>
        <w:rPr>
          <w:rFonts w:ascii="Arial" w:cs="Arial" w:eastAsia="Arial" w:hAnsi="Arial"/>
          <w:sz w:val="18"/>
          <w:szCs w:val="18"/>
          <w:b w:val="1"/>
          <w:bCs w:val="1"/>
          <w:i w:val="1"/>
          <w:iCs w:val="1"/>
          <w:color w:val="auto"/>
        </w:rPr>
        <w:t>Unlike certain other blank check companies, our initial shareholder will receive additional Class A ordinary shares if we issue shares to consummate an initial business combination.</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our initial public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 This is different than certain other blank check companies in which the initial shareholder will only be issued an aggregate of 20% of the total number of shares to be outstanding prior to our initial business combination.</w:t>
      </w:r>
    </w:p>
    <w:p>
      <w:pPr>
        <w:spacing w:after="0" w:line="182"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9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Since our initial shareholders will lose their entire investment in us if our initial business combination is not completed (other than with respect to any public shares they may acquire), a conflict of interest may arise in determining whether a particular business combination target is appropriate for our initial business combination.</w:t>
      </w:r>
    </w:p>
    <w:p>
      <w:pPr>
        <w:spacing w:after="0" w:line="18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In February 2020, our sponsor purchased 5,031,250 founder shares for an aggregate purchase price of $25,000, or $0.006 per share. In February 2021, our sponsor transferred 50,000 founder shares to Mr. Taney, 40,000 founder shares to Mr. Bornstein and 40,000 founder shares to Aris Kekedjian for the same per share purchase price paid by our sponsor. On April 5, 2021, in connection with the expiration of the underwriters’ over-allotment option, our sponsor surrendered 31,250 founder shares. On May 18, 2021, Aris Kekedjian transferred 40,000 founder shares to our sponsor pursuant to the terms of his resignation from TCAC’s board of directors, and on August 27, 2021, the sponsor transferred 40,000 founder shares to Mr. Finkelman in connection with this appointment to TCAC’s board of directors. As such, our initial shareholders collectively own 20% of our issued and outstanding shares as of our initial public offering. The founder shares will be worthless if we do not complete an initial business combination. In addition, our sponsor has purchased an aggregate of 6,000,000 private placement warrants, each exercisable to purchase one Class A ordinary share, for a purchase price of $6,000,000 in the aggregate, or $1.00 per warrant, that will also be worthless if we do not complete a business combination. Each private placement warrant may be exercised for one Class A ordinary share at a price of $11.50 per share, subject to adjustment as provided herein. The </w:t>
      </w:r>
      <w:r>
        <w:rPr>
          <w:rFonts w:ascii="Arial" w:cs="Arial" w:eastAsia="Arial" w:hAnsi="Arial"/>
          <w:sz w:val="17"/>
          <w:szCs w:val="17"/>
          <w:color w:val="231F20"/>
        </w:rPr>
        <w:t>private placement warrants will also be</w:t>
      </w:r>
      <w:r>
        <w:rPr>
          <w:rFonts w:ascii="Arial" w:cs="Arial" w:eastAsia="Arial" w:hAnsi="Arial"/>
          <w:sz w:val="17"/>
          <w:szCs w:val="17"/>
          <w:color w:val="auto"/>
        </w:rPr>
        <w:t xml:space="preserve"> </w:t>
      </w:r>
      <w:r>
        <w:rPr>
          <w:rFonts w:ascii="Arial" w:cs="Arial" w:eastAsia="Arial" w:hAnsi="Arial"/>
          <w:sz w:val="17"/>
          <w:szCs w:val="17"/>
          <w:color w:val="231F20"/>
        </w:rPr>
        <w:t>worthless if we do not complete our initial business combination.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February 17, 2023 nears, which is the deadline for our completion of an initial business combination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420"/>
        <w:spacing w:after="0" w:line="342" w:lineRule="auto"/>
        <w:rPr>
          <w:sz w:val="20"/>
          <w:szCs w:val="20"/>
          <w:color w:val="auto"/>
        </w:rPr>
      </w:pPr>
      <w:r>
        <w:rPr>
          <w:rFonts w:ascii="Arial" w:cs="Arial" w:eastAsia="Arial" w:hAnsi="Arial"/>
          <w:sz w:val="16"/>
          <w:szCs w:val="16"/>
          <w:b w:val="1"/>
          <w:bCs w:val="1"/>
          <w:i w:val="1"/>
          <w:iCs w:val="1"/>
          <w:color w:val="auto"/>
        </w:rPr>
        <w:t>We may be able to complete only one business combination, which will cause us to be solely dependent on a single business which may have a limited number of products or services. This lack of diversification may negatively impact our operations and profitability.</w:t>
      </w:r>
    </w:p>
    <w:p>
      <w:pPr>
        <w:spacing w:after="0" w:line="12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net proceeds from the initial public offering and the sale of the private placement warrants provided us with $200,000,000 that we may use to complete our initial business combination.</w:t>
      </w:r>
    </w:p>
    <w:p>
      <w:pPr>
        <w:spacing w:after="0" w:line="1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9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ind w:left="340" w:right="80"/>
        <w:spacing w:after="0" w:line="381" w:lineRule="auto"/>
        <w:rPr>
          <w:sz w:val="20"/>
          <w:szCs w:val="20"/>
          <w:color w:val="auto"/>
        </w:rPr>
      </w:pPr>
      <w:r>
        <w:rPr>
          <w:rFonts w:ascii="Arial" w:cs="Arial" w:eastAsia="Arial" w:hAnsi="Arial"/>
          <w:sz w:val="15"/>
          <w:szCs w:val="15"/>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0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8"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7" w:lineRule="exact"/>
        <w:rPr>
          <w:sz w:val="20"/>
          <w:szCs w:val="20"/>
          <w:color w:val="auto"/>
        </w:rPr>
      </w:pPr>
    </w:p>
    <w:p>
      <w:pPr>
        <w:jc w:val="both"/>
        <w:ind w:left="340" w:right="340"/>
        <w:spacing w:after="0" w:line="263" w:lineRule="auto"/>
        <w:rPr>
          <w:sz w:val="20"/>
          <w:szCs w:val="20"/>
          <w:color w:val="auto"/>
        </w:rPr>
      </w:pPr>
      <w:r>
        <w:rPr>
          <w:rFonts w:ascii="Arial" w:cs="Arial" w:eastAsia="Arial" w:hAnsi="Arial"/>
          <w:sz w:val="18"/>
          <w:szCs w:val="18"/>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8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may structure our initial business combination so that the post-transaction company in which our public shareholders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shares or other equity interests of a target. In this case, we would acquire a 100% interest in the target. However, as a result of the issuance of a substantial number of new Class A ordinary shares, our 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 business combination with which a substantial majority of our shareholders do not agree.</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amended and restated memorandum and articles of association will not provide a specified maximum redemption threshold, except that in no event will we redeem our public shares in an amount that would cause our net tangible assets, after payment of the deferred underwriting commissions, to be less than $5,000,001 upon completion of our initial business combination (such that we do not then become subject to the SEC’s “penny stock” rules), or any greater net tangible asset or cash requirement that may be contained in the agreement relating to our initial business combination.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172" w:lineRule="exact"/>
        <w:rPr>
          <w:sz w:val="20"/>
          <w:szCs w:val="20"/>
          <w:color w:val="auto"/>
        </w:rPr>
      </w:pPr>
    </w:p>
    <w:p>
      <w:pPr>
        <w:ind w:left="340" w:right="160"/>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past, amended various provisions of their charters and modified governing instruments.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spacing w:after="0" w:line="187"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In order to effectuate an initial business combination, blank check companies have, in the recent past, amended various provisions of their charters and modified governing instruments. For example, blank check companies have amended the definition of business combination, increased redemption thresholds and extended the time to consummate an initial business combination. Amending our amended and restated memorandum and articles of association will require at least a special resolution of our shareholders as a matter of Cayman Islands law. A resolution is deemed to be a special resolution as a matter of Cayman Islands law where it has been approved by either (1) at least two-thirds (or any higher threshold specified in a company’s articles of association) of a company’s shareholders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 We cannot assure you that we will not seek to amend our amended and restated memorandum and articles of association or governing instruments or extend the time to consummate an initial business combination in order to effectuate our initial business combination.</w:t>
      </w:r>
    </w:p>
    <w:p>
      <w:pPr>
        <w:spacing w:after="0" w:line="174" w:lineRule="exact"/>
        <w:rPr>
          <w:sz w:val="20"/>
          <w:szCs w:val="20"/>
          <w:color w:val="auto"/>
        </w:rPr>
      </w:pPr>
    </w:p>
    <w:p>
      <w:pPr>
        <w:ind w:left="340" w:right="60"/>
        <w:spacing w:after="0" w:line="320" w:lineRule="auto"/>
        <w:rPr>
          <w:sz w:val="20"/>
          <w:szCs w:val="20"/>
          <w:color w:val="auto"/>
        </w:rPr>
      </w:pPr>
      <w:r>
        <w:rPr>
          <w:rFonts w:ascii="Arial" w:cs="Arial" w:eastAsia="Arial" w:hAnsi="Arial"/>
          <w:sz w:val="15"/>
          <w:szCs w:val="15"/>
          <w:b w:val="1"/>
          <w:bCs w:val="1"/>
          <w:i w:val="1"/>
          <w:iCs w:val="1"/>
          <w:color w:val="auto"/>
        </w:rPr>
        <w:t>Certain 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two-thirds of our ordinary shares who attend and vote at a general meeting, which is a lower amendment threshold than that of some other blank check companies. It may be easier for us, therefore, to amend our amended and restated memorandum and articles of association and the trust agreement to facilitate the completion of an initial business combination that some of our shareholders may not support.</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Some other blank check companies have a provision in their charter which prohibits the amendment of certain of its provisions, including those which relate to a company’s pre-business combination activity, without approval by holders of a certain percentage of the company’s shares. In those companies, amendment of these provisions typically requires approval by holders holding between 90% and 100% of the company’s public shares. Our amended and restated memorandum and articles of association will provide that any of its provisions, including those related to pre-business combination activity (including the requirement to deposit proceeds of our initial public offering and the private placement of warrants into the trust account and not release such amounts except in specified circumstances), may be amended if approved by holders of at least two-thirds of our ordinary shares who attend and vote in a general meeting, and corresponding provisions of the trust agreement governing the release of funds from our trust account may be amended if approved by holders of 65% of our ordinary shares (other than amendments relating to the appointment or removal of directors prior to our initial business combination, which require the approval of at least 90% of our ordinary shares voting in a general meeting). Our initial shareholders, who collectively beneficially own 20% of our ordinary shares, may participate in any vote to amend our amended and restated memorandum and articles of association and/or trust agreement and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our initial business combination with which you do not agree. However, our amended and restated memorandum and articles of association prohibits any amendment of its provisions (A) to modify the substance or timing of our obligation to allow redemption in connection with our initial business combination or to redeem 100% of our public shares if we do not complete our initial business combination by February 17, 2023 or (B) with respect to any other provision relating to shareholders’ rights or pre-initial business combination activity, unless we provide public shareholders with the opportunity to redeem their public shares. Furthermore, our sponsor, officers and directors have agreed, pursuant to a written agreement with us, that they will not propose such an amendment unless we provide our public shareholders with the opportunity to redeem their public shares. In certain circumstances, our shareholders may pursue remedies against us for any breach of our amended and restated memorandum and articles of association.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letter agreement with our sponsor, officers and directors may be amended without shareholder approval.</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letter agreement with our sponsor, officers and directors contain provisions relating to transfer restrictions of our founder shares and private placement warrants, indemnification of the trust account, waiver of redemption rights and participation in liquidating distributions from the trust account. The letter agreement may be amended without shareholder approval.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178"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If the net proceeds of our initial public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79"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b w:val="1"/>
          <w:bCs w:val="1"/>
          <w:i w:val="1"/>
          <w:iCs w:val="1"/>
          <w:color w:val="auto"/>
        </w:rPr>
        <w:t>We may seek acquisition opportunities with an early stage company, a financially unstable business or an entity lacking an established record of revenue or earnings.</w:t>
      </w:r>
    </w:p>
    <w:p>
      <w:pPr>
        <w:spacing w:after="0" w:line="170"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660" w:right="3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issue additional Class A ordinary shares or equity-linked securities for capital raising purposes in connection with the closing of our initial business combination at a Newly Issued Price of less than $9.20 per Class A ordinary share;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Value of our Class A ordinary shares is below $9.20 per share,</w:t>
      </w:r>
    </w:p>
    <w:p>
      <w:pPr>
        <w:spacing w:after="0" w:line="225"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then the exercise price of the warrants will be adjusted to be equal to 115% of the higher of the Market Value and the Newly Issued Price, and the $10.00 and $18.00 per share redemption trigger prices will be adjusted (to the nearest cent) to be equal to 100% and 180% of the higher of the Market Value and the Newly Issued Price, respectively. This may make it more difficult for us to consummate an initial business combination with a target business.</w:t>
      </w:r>
    </w:p>
    <w:p>
      <w:pPr>
        <w:spacing w:after="0" w:line="187" w:lineRule="exact"/>
        <w:rPr>
          <w:sz w:val="20"/>
          <w:szCs w:val="20"/>
          <w:color w:val="auto"/>
        </w:rPr>
      </w:pPr>
    </w:p>
    <w:p>
      <w:pPr>
        <w:ind w:left="340" w:right="420"/>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Class A ordinary shares and make it more difficult to effectuate our initial business combination.</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have issued warrants to purchase 10,000,000 Class A ordinary shares at a price of $11.50 per whole share (subject to adjustment as provided herein), as part of the units offered by the prospectus for our initial public offering and, simultaneously with the closing of our initial public offering, we have issued in a private placement an aggregate of 6,000,000 private placement warrants, each exercisable to purchase one Class A ordinary share at a price of $11.50 per share, subject to adjustment as provided herein. Our initial shareholders currently hold 5,000,000 founder shares.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 To the extent we issue ordinary shares to effectuate a business transaction, the potential for the issuance of a substantial number of additional Class A ordinary shares upon exercise of these warrants or conversion rights could make us a less attractive acquisition vehicle to a target business. Any such issuance will increase the number of issued and outstanding Class A ordinary shares and reduce the value of the Class A ordinary shares issued to complete the business transaction. Therefore, our warrants and founder shares may make it more difficult to effectuate a business combination or increase the cost of acquiring the target business.</w:t>
      </w:r>
    </w:p>
    <w:p>
      <w:pPr>
        <w:spacing w:after="0" w:line="18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private placement warrants are identical to the warrants sold as part of the units except that, so long as they are held by our sponsor or its permitted transferees: (1) they are not be redeemable by us (except as described herein); (2) they (including the ordinary shares issuable upon exercise of these warrants) may not, subject to certain limited exceptions, be transferred, assigned or sold by our sponsor until 30 days after the completion of our initial business combination; (3) they may be exercised by the holders on a cashless basis; and (4) they (including the ordinary shares issuable upon exercise of these warrants) are entitled to registration rights.</w:t>
      </w:r>
    </w:p>
    <w:p>
      <w:pPr>
        <w:spacing w:after="0" w:line="188" w:lineRule="exact"/>
        <w:rPr>
          <w:sz w:val="20"/>
          <w:szCs w:val="20"/>
          <w:color w:val="auto"/>
        </w:rPr>
      </w:pPr>
    </w:p>
    <w:p>
      <w:pPr>
        <w:ind w:left="340" w:right="40"/>
        <w:spacing w:after="0" w:line="342" w:lineRule="auto"/>
        <w:rPr>
          <w:sz w:val="20"/>
          <w:szCs w:val="20"/>
          <w:color w:val="auto"/>
        </w:rPr>
      </w:pPr>
      <w:r>
        <w:rPr>
          <w:rFonts w:ascii="Arial" w:cs="Arial" w:eastAsia="Arial" w:hAnsi="Arial"/>
          <w:sz w:val="16"/>
          <w:szCs w:val="16"/>
          <w:b w:val="1"/>
          <w:bCs w:val="1"/>
          <w:i w:val="1"/>
          <w:iCs w:val="1"/>
          <w:color w:val="auto"/>
        </w:rPr>
        <w:t>Our officers and directors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officers and directors are not required to, and do not, commit their full time to our affairs, which may result in a conflict of interest in allocating their time between our operations and our search for a business combination and their other businesses. Each of our officers is engaged in several other business endeavors for which he may be entitled to substantial compensation and our officers are not obligated to contribute any specific number of hours per week to our affairs. Our independent directors may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164" w:lineRule="exact"/>
        <w:rPr>
          <w:sz w:val="20"/>
          <w:szCs w:val="20"/>
          <w:color w:val="auto"/>
        </w:rPr>
      </w:pPr>
    </w:p>
    <w:p>
      <w:pPr>
        <w:ind w:left="340" w:right="40"/>
        <w:spacing w:after="0" w:line="263" w:lineRule="auto"/>
        <w:rPr>
          <w:sz w:val="20"/>
          <w:szCs w:val="20"/>
          <w:color w:val="auto"/>
        </w:rPr>
      </w:pPr>
      <w:r>
        <w:rPr>
          <w:rFonts w:ascii="Arial" w:cs="Arial" w:eastAsia="Arial" w:hAnsi="Arial"/>
          <w:sz w:val="18"/>
          <w:szCs w:val="18"/>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should be presented.</w:t>
      </w:r>
    </w:p>
    <w:p>
      <w:pPr>
        <w:spacing w:after="0" w:line="18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are engaged in the business of identifying and combining with one or more businesses. Our sponsor and officers and directors are, or may in the future become, affiliated with entities that are engaged in a similar business, and they are not prohibited from sponsoring, or otherwise becoming involved with, other blank check companies prior to us completing our initial business combination. Moreover, certain of our officers and directors have time and attention requirements for investment funds of which affiliates of our sponsor are the investment managers.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officers and directors also may become aware of business opportunities which may be appropriate for presentation to us and the other entities to which they owe certain fiduciary duties or contractual duties.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their fiduciary duties under Cayman Islands law.</w:t>
      </w:r>
    </w:p>
    <w:p>
      <w:pPr>
        <w:sectPr>
          <w:pgSz w:w="11900" w:h="16838" w:orient="portrait"/>
          <w:cols w:equalWidth="0" w:num="1">
            <w:col w:w="11240"/>
          </w:cols>
          <w:pgMar w:left="320" w:top="121"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officers, directors, security holders and their respective affiliates may have competitive pecuniary interests that conflict with our interests.</w:t>
      </w:r>
    </w:p>
    <w:p>
      <w:pPr>
        <w:spacing w:after="0" w:line="248"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76" w:lineRule="exact"/>
        <w:rPr>
          <w:sz w:val="20"/>
          <w:szCs w:val="20"/>
          <w:color w:val="auto"/>
        </w:rPr>
      </w:pPr>
    </w:p>
    <w:p>
      <w:pPr>
        <w:jc w:val="both"/>
        <w:ind w:right="580" w:firstLine="324"/>
        <w:spacing w:after="0" w:line="263" w:lineRule="auto"/>
        <w:rPr>
          <w:sz w:val="20"/>
          <w:szCs w:val="20"/>
          <w:color w:val="auto"/>
        </w:rPr>
      </w:pPr>
      <w:r>
        <w:rPr>
          <w:rFonts w:ascii="Arial" w:cs="Arial" w:eastAsia="Arial" w:hAnsi="Arial"/>
          <w:sz w:val="18"/>
          <w:szCs w:val="18"/>
          <w:color w:val="auto"/>
        </w:rPr>
        <w:t>In particular, affiliates of our sponsor have invested in industries as diverse as cannabis, consumer products, medical and scientific research and investment management. As a result, there may be substantial overlap between companies that would be a suitable business combination for us and companies that would make an attractive target for such other affiliates.</w:t>
      </w:r>
    </w:p>
    <w:p>
      <w:pPr>
        <w:spacing w:after="0" w:line="184"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sponsor, officers or directors which may raise potential conflicts of interest.</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and directors. Our officers and directors also serve as officers and board members for other entities.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“Business—Effecting Our Initial Business Combination—Selection of a target business and structuring of our initial business combination” and such transaction was approved by a majority of our independent and disinterested directors.</w:t>
      </w:r>
    </w:p>
    <w:p>
      <w:pPr>
        <w:spacing w:after="0" w:line="178" w:lineRule="exact"/>
        <w:rPr>
          <w:sz w:val="20"/>
          <w:szCs w:val="20"/>
          <w:color w:val="auto"/>
        </w:rPr>
      </w:pPr>
    </w:p>
    <w:p>
      <w:pPr>
        <w:ind w:left="340" w:right="1040"/>
        <w:spacing w:after="0" w:line="277" w:lineRule="auto"/>
        <w:rPr>
          <w:sz w:val="20"/>
          <w:szCs w:val="20"/>
          <w:color w:val="auto"/>
        </w:rPr>
      </w:pPr>
      <w:r>
        <w:rPr>
          <w:rFonts w:ascii="Arial" w:cs="Arial" w:eastAsia="Arial" w:hAnsi="Arial"/>
          <w:sz w:val="18"/>
          <w:szCs w:val="18"/>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65" w:lineRule="exact"/>
        <w:rPr>
          <w:sz w:val="20"/>
          <w:szCs w:val="20"/>
          <w:color w:val="auto"/>
        </w:rPr>
      </w:pPr>
    </w:p>
    <w:p>
      <w:pPr>
        <w:ind w:left="340" w:right="360"/>
        <w:spacing w:after="0" w:line="342" w:lineRule="auto"/>
        <w:rPr>
          <w:sz w:val="20"/>
          <w:szCs w:val="20"/>
          <w:color w:val="auto"/>
        </w:rPr>
      </w:pPr>
      <w:r>
        <w:rPr>
          <w:rFonts w:ascii="Arial" w:cs="Arial" w:eastAsia="Arial" w:hAnsi="Arial"/>
          <w:sz w:val="16"/>
          <w:szCs w:val="16"/>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24"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340" w:right="320"/>
        <w:spacing w:after="0" w:line="263" w:lineRule="auto"/>
        <w:rPr>
          <w:sz w:val="20"/>
          <w:szCs w:val="20"/>
          <w:color w:val="auto"/>
        </w:rPr>
      </w:pPr>
      <w:r>
        <w:rPr>
          <w:rFonts w:ascii="Arial" w:cs="Arial" w:eastAsia="Arial" w:hAnsi="Arial"/>
          <w:sz w:val="18"/>
          <w:szCs w:val="18"/>
          <w:b w:val="1"/>
          <w:bCs w:val="1"/>
          <w:i w:val="1"/>
          <w:iCs w:val="1"/>
          <w:color w:val="auto"/>
        </w:rPr>
        <w:t>We expect to need to comply with the rules of Nasdaq that require our initial business combination to occur with one or more target businesses having an aggregate fair market value equal to at least 80% of the assets held in the trust account at the time of the agreement to enter into the initial business combination.</w:t>
      </w:r>
    </w:p>
    <w:p>
      <w:pPr>
        <w:spacing w:after="0" w:line="18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This restriction may limit the type and number of companies that we may complete a business combination with. If we are unable to locate a target business or businesses that satisfy this fair market value test, our public shareholders may receive only approximately $10.00 per share, or less in certain circumstances, on the liquidation of our trust account, and our warrants will expire worthless. If we are not then listed on Nasdaq for whatever reason, we would not be required to satisfy the foregoing 80% fair market value test and could complete a business combination with a target business having a fair market value substantially below 80% of the balance in the trust account.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b w:val="1"/>
          <w:bCs w:val="1"/>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In the event that a shareholder fails to comply with these procedures, its shares may not be redeemed. See “Business—Effecting Our Initial Business Combination—Tendering share certificates in connection with a tender offer or redemption rights.”</w:t>
      </w:r>
    </w:p>
    <w:p>
      <w:pPr>
        <w:spacing w:after="0" w:line="164"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7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by February 17, 2023 or (B) with respect to any other provision relating to shareholders’ rights or pre-initial business combination activity and (3) the redemption of our public shares if we have not completed our initial business combination by February 17, 2023, subject to applicable law and as further described herein. In no other circumstances will a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85"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order to continue listing our securities on Nasdaq prior to our initial business combination, we must maintain certain financial, distribution and share price levels. Generally, we must maintain a minimum amount in shareholders’ equity (generally $2,500,000) and a minimum number of holders of our securities (generally 300 public holders). Additionally, in connection with our initial business combination, it is likely that Nasdaq will require us to file a new initial listing application and meet its initial listing requirements as well as certain qualitative requirements, as opposed to its more lenient continued listing requirements. We cannot assure you that we will be able to meet those initial listing requirements at that time.</w:t>
      </w:r>
    </w:p>
    <w:p>
      <w:pPr>
        <w:spacing w:after="0" w:line="17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18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liquidity with respect to such securities;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determination that our Class A ordinary shares are a “penny stock” which will require brokers trading in our Class A ordinary shares to adhere to more stringent rules, possibly resulting in a reduced level of trading activity in the secondary trading market for our securities;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Nasdaq, our units, Class A ordinary shares and warrants will qualify as covered securities under such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such statute and we would be subject to regulation in each state in which we offer our securities.</w:t>
      </w:r>
    </w:p>
    <w:p>
      <w:pPr>
        <w:spacing w:after="0" w:line="166" w:lineRule="exact"/>
        <w:rPr>
          <w:sz w:val="20"/>
          <w:szCs w:val="20"/>
          <w:color w:val="auto"/>
        </w:rPr>
      </w:pPr>
    </w:p>
    <w:p>
      <w:pPr>
        <w:jc w:val="both"/>
        <w:ind w:left="340" w:right="180"/>
        <w:spacing w:after="0" w:line="263"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8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public shares,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85"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b w:val="1"/>
          <w:bCs w:val="1"/>
          <w:i w:val="1"/>
          <w:iCs w:val="1"/>
          <w:color w:val="auto"/>
        </w:rPr>
        <w:t>If the net proceeds of our initial public offering and the sale of the private placement warrants not being held in the trust account are insufficient, it could limit the amount available to fund our search for a target business or businesses and complete our initial business combination and we may depend on loans from our sponsor or management team to fund our search, to pay our taxes and to complete our initial business combination. Our sponsor is not obligated to fund such loans.</w:t>
      </w:r>
    </w:p>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Of the net proceeds of our initial public offering and the sale of the private placement warrants, only approximately $1,000,000 will be available to us initially outside the trust account to fund our working capital requirements.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loan funds to, or invest in, us in such circumstances. Any such loans may be repaid only from funds held outside the trust account or from funds released to us upon completion of our initial business combination. If we have not completed our initial business combination within the required time period because we do not have sufficient funds available to us, we will be forced to cease operations and liquidate the trust account. In such case, our public shareholders may receive only $10.00 per share, or less in certain circumstances,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68" w:lineRule="exact"/>
        <w:rPr>
          <w:sz w:val="20"/>
          <w:szCs w:val="20"/>
          <w:color w:val="auto"/>
        </w:rPr>
      </w:pPr>
    </w:p>
    <w:p>
      <w:pPr>
        <w:ind w:left="340" w:right="100"/>
        <w:spacing w:after="0" w:line="311" w:lineRule="auto"/>
        <w:rPr>
          <w:sz w:val="20"/>
          <w:szCs w:val="20"/>
          <w:color w:val="auto"/>
        </w:rPr>
      </w:pPr>
      <w:r>
        <w:rPr>
          <w:rFonts w:ascii="Arial" w:cs="Arial" w:eastAsia="Arial" w:hAnsi="Arial"/>
          <w:sz w:val="16"/>
          <w:szCs w:val="16"/>
          <w:b w:val="1"/>
          <w:bCs w:val="1"/>
          <w:i w:val="1"/>
          <w:iCs w:val="1"/>
          <w:color w:val="auto"/>
        </w:rPr>
        <w:t>We have identified two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49" w:lineRule="exact"/>
        <w:rPr>
          <w:sz w:val="20"/>
          <w:szCs w:val="20"/>
          <w:color w:val="auto"/>
        </w:rPr>
      </w:pPr>
    </w:p>
    <w:p>
      <w:pPr>
        <w:ind w:firstLine="369"/>
        <w:spacing w:after="0" w:line="263" w:lineRule="auto"/>
        <w:rPr>
          <w:sz w:val="20"/>
          <w:szCs w:val="20"/>
          <w:color w:val="auto"/>
        </w:rPr>
      </w:pPr>
      <w:r>
        <w:rPr>
          <w:rFonts w:ascii="Arial" w:cs="Arial" w:eastAsia="Arial" w:hAnsi="Arial"/>
          <w:sz w:val="18"/>
          <w:szCs w:val="18"/>
          <w:color w:val="auto"/>
        </w:rPr>
        <w:t>We have identified two material weaknesses in our internal controls related to the accounting for complex financial instruments, one affecting only the period ended March 31, 2021 and the second affecting (i) the audited balance sheet as of February 17, 2021, (ii) the period ended March 31, 2021 and (iii) the period ended June 30, 2021 ((i), (ii) and (iii) together, the “Affected Periods”).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First, we previously accounted for our outstanding public warrants and private placement warrants (collectively, with the public warrants, the “warrants”) issued in connection with our initial public offering as components of equity instead of as derivative liabilities. On April 12, 2021, the Acting Director of the Division of Corporation Finance and Acting Chief Accountant of the Securities and Exchange Commission together issued a statement regarding the accounting and reporting considerations for warrants issued by special purpose acquisition companies entitled “Staff Statement on Accounting and Reporting Considerations for Warrants Issued by Special Purpose Acquisition Companies. Following this issuance of this statement, our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such event is not an input to the fair value of the warrant. Based on management’s evaluation, after consultation with our independent registered public accounting firm, our management and our audit committee concluded that we should have classified the warrants as derivative liabilities in our previously issued financial statement. As a result, we identified a material weakness in our internal controls over financial reporting for the period ended March 31, 2021.</w:t>
      </w:r>
    </w:p>
    <w:p>
      <w:pPr>
        <w:spacing w:after="0" w:line="18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Second, management determined that we had improperly valued our Class A ordinary shares subject to possible redemption. We previously determined the Class A ordinary shares subject to possible redemption to be equal to the redemption value of $10.00 per Class A ordinary share, while also taking into consideration that a redemption cannot result in net tangible assets being less than $5,000,001. Management determined that the public shares underlying the units issued during the initial public offering can be redeemed or become redeemable subject to the occurrence of future events considered outside the Company’s control. Therefore, management concluded that temporary equity should include all Class A ordinary shares subject to possible redemption, resulting in the Class A ordinary shares subject to possible redemption being equal to their redemption value. As a result, on December 2, 2021, Tuatara’s audit committee concluded that the balance sheet and the financial statements for the Affected Periods, as applicable, should be restated to report all Class A ordinary shares issued as part of the units sold in Tuatara’s initial public offering as temporary equity rather than as permanent equity. In light of the restatement of Tuatara’s financial statements for these periods, our management and our audit committee concluded that we identified a material weakness in our internal controls over financial reporting.</w:t>
      </w:r>
    </w:p>
    <w:p>
      <w:pPr>
        <w:spacing w:after="0" w:line="185"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To address these material weaknesses, management has devoted, and plans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financial statements. We have provided enhanced access to accounting literature, research materials and documents and increased communication among our personnel and third-party professionals with whom we consult regarding complex accounting applications. We have also expanded and improved our review process for complex securities and related accounting standards. We plan to further improve this process by consideration of additional staff with the requisite experience and training to supplement existing accounting professionals. These remediation measures may be time consuming and costly and there is no assurance that these initiatives will ultimately have the intended effects. The elements of our remediation plan can only be accomplished over time, and we can offer no assurance that these initiatives will ultimately have the intended effects. To date, we have not incurred any significant costs with respect to our remediation plans, nor do we expect to incur any significant costs in connection therewith.</w:t>
      </w:r>
    </w:p>
    <w:p>
      <w:pPr>
        <w:spacing w:after="0" w:line="18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subsequently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 down or write 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 or warrant holder who chooses to remain a shareholder or warrant holder following our initial business combination could suffer a reduction in the value of their securities. Such shareholders and warrant holders are unlikely to have a remedy for such reduction in value.</w:t>
      </w:r>
    </w:p>
    <w:p>
      <w:pPr>
        <w:spacing w:after="0" w:line="182"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shareholders may be less than $10.00 per share.</w:t>
      </w:r>
    </w:p>
    <w:p>
      <w:pPr>
        <w:spacing w:after="0" w:line="170"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Our placing of funds in the trust account may not protect those funds from third-party claims against us. Although we will seek to have all vendors, service providers (except for the Company’s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completed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share initially held in the trust account, due to claims of such creditors.</w:t>
      </w:r>
    </w:p>
    <w:p>
      <w:pPr>
        <w:spacing w:after="0" w:line="19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sponsor has agreed that it will be liable to us if and to the extent any claims by a third party (except for the Company’s independent registered public accounting firm)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underwriters of our initial public offering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Our sponsor may not have sufficient funds available to satisfy those obligations. We have not asked our sponsor to reserve for such obligations, and therefore, no funds are currently set aside to cover any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the event that the proceeds in the trust account are reduced below the lesser of (1) $10.00 per public share or (2) such lesser amount per share held in the trust account as of the date of the liquidation of the trust account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178" w:lineRule="exact"/>
        <w:rPr>
          <w:sz w:val="20"/>
          <w:szCs w:val="20"/>
          <w:color w:val="auto"/>
        </w:rPr>
      </w:pPr>
    </w:p>
    <w:p>
      <w:pPr>
        <w:ind w:left="340" w:right="380"/>
        <w:spacing w:after="0" w:line="342" w:lineRule="auto"/>
        <w:rPr>
          <w:sz w:val="20"/>
          <w:szCs w:val="20"/>
          <w:color w:val="auto"/>
        </w:rPr>
      </w:pPr>
      <w:r>
        <w:rPr>
          <w:rFonts w:ascii="Arial" w:cs="Arial" w:eastAsia="Arial" w:hAnsi="Arial"/>
          <w:sz w:val="16"/>
          <w:szCs w:val="16"/>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2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do not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shareholders may be less than $10.00 per share.</w:t>
      </w:r>
    </w:p>
    <w:p>
      <w:pPr>
        <w:spacing w:after="0" w:line="166"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shareholders, we file a winding-up or bankruptcy petition or an involuntary winding-up or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87"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If, after we distribute the proceeds in the trust account to our public shareholders,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liquidator could seek to recover some or all amounts received by our shareholders. In addition, our board of directors may be viewed as having breached its fiduciary duty to our creditors and/or having acted in bad faith by paying public shareholders from the trust account prior to addressing the claims of creditors, thereby exposing itself and us to claims of punitive damages.</w:t>
      </w:r>
    </w:p>
    <w:p>
      <w:pPr>
        <w:spacing w:after="0" w:line="161"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b w:val="1"/>
          <w:bCs w:val="1"/>
          <w:i w:val="1"/>
          <w:iCs w:val="1"/>
          <w:color w:val="auto"/>
        </w:rPr>
        <w:t>If, before distributing the proceeds in the trust account to our public shareholders, we file a winding-up or bankruptcy petition or an involuntary winding-up or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8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If, before distributing the proceeds in the trust account to our public shareholders, we file a winding-up or bankruptcy petition or an involuntary winding-up or bankruptcy petition is filed against us that is not dismissed, the proceeds held in the trust account could be subject to applicable insolvency law, and may be included in our liquidation estate and subject to the claims of third parties with priority over the claims of our shareholders. To the extent any liquidation claims deplete the trust account, the per-share amount that would otherwise be received by our shareholders in connection with our liquidation would be reduced.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b w:val="1"/>
          <w:bCs w:val="1"/>
          <w:i w:val="1"/>
          <w:iCs w:val="1"/>
          <w:color w:val="auto"/>
        </w:rPr>
        <w:t>If we have not completed our initial business combination by February 17, 2023, our public shareholders may be forced to wait beyond such date before redemption from our trust account.</w:t>
      </w:r>
    </w:p>
    <w:p>
      <w:pPr>
        <w:spacing w:after="0" w:line="17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If we have not completed our initial business combination by February 17, 2023, we will distribute the aggregate amount then on deposit in the trust account, including interest (less up to $100,000 of interest to pay dissolution expenses and which interest shall be net of taxes payable), pro rata to our public shareholders by way of redemption and cease all operations except for the purposes of winding up of our affairs, as further described herein. Any redemption of public shareholders from the trust account shall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February 17, 2023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then only in cases where investors have properly sought to redeem their Class A ordinary shares. Only upon our redemption or any liquidation will public shareholders be entitled to distributions if we have not completed our initial business combination within the required time period and do not amend certain provisions of our amended and restated memorandum and articles of association prior thereto.</w:t>
      </w:r>
    </w:p>
    <w:p>
      <w:pPr>
        <w:spacing w:after="0" w:line="186"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b w:val="1"/>
          <w:bCs w:val="1"/>
          <w:i w:val="1"/>
          <w:iCs w:val="1"/>
          <w:color w:val="auto"/>
        </w:rPr>
        <w:t>Our shareholders may be held liable for claims by third parties against us to the extent of distributions received by them upon redemption of their shares.</w:t>
      </w:r>
    </w:p>
    <w:p>
      <w:pPr>
        <w:spacing w:after="0" w:line="17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up to $18,292.68 and to imprisonment for five years in the Cayman Islands.</w:t>
      </w:r>
    </w:p>
    <w:p>
      <w:pPr>
        <w:spacing w:after="0" w:line="178"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b w:val="1"/>
          <w:bCs w:val="1"/>
          <w:i w:val="1"/>
          <w:iCs w:val="1"/>
          <w:color w:val="auto"/>
        </w:rPr>
        <w:t>We may not hold an annual general meeting until after the completion of our initial business combination. Our public shareholders will not have the right to appoint directors prior to the consummation of our Business Combination.</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accordance with Nasdaq corporate governance requirements, we are not required to hold an annual general meeting until one year after our first fiscal year end following our listing on Nasdaq. There is no requirement under the Companies Law for us to hold annual or extraordinary general meetings to appoint directors. Until we hold an annual general meeting, public shareholders may not be afforded the opportunity to discuss company affairs with management. As holders of our Class A ordinary shares, our public shareholders also will not have the right to vote on the appointment of directors prior to completion of our initial business combination. In addition, holders of a majority of our founder shares may remove a member of the board of directors for any reason.</w:t>
      </w:r>
    </w:p>
    <w:p>
      <w:pPr>
        <w:spacing w:after="0" w:line="192" w:lineRule="exact"/>
        <w:rPr>
          <w:sz w:val="20"/>
          <w:szCs w:val="20"/>
          <w:color w:val="auto"/>
        </w:rPr>
      </w:pPr>
    </w:p>
    <w:p>
      <w:pPr>
        <w:ind w:left="340" w:right="40"/>
        <w:spacing w:after="0" w:line="311" w:lineRule="auto"/>
        <w:rPr>
          <w:sz w:val="20"/>
          <w:szCs w:val="20"/>
          <w:color w:val="auto"/>
        </w:rPr>
      </w:pPr>
      <w:r>
        <w:rPr>
          <w:rFonts w:ascii="Arial" w:cs="Arial" w:eastAsia="Arial" w:hAnsi="Arial"/>
          <w:sz w:val="16"/>
          <w:szCs w:val="16"/>
          <w:b w:val="1"/>
          <w:bCs w:val="1"/>
          <w:i w:val="1"/>
          <w:i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14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are not registering the Class A ordinary shares issuable upon exercise of the warrants under the Securities Act or any state securities laws at this time. However, under the terms of the warrant agreement, we have agreed, as soon as practicable, but in no event later than 15 business days after the closing of our initial business combination, to use our reasonable best efforts to file a registration statement under the Securities Act covering the issuance of such shares, to use our reasonable best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ordinary shares are, at the time of any exercise of a warrant, not listed on a national securities exchange such that they do not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If and when the warrants become redeemable by us, we may exercise our redemption right even if we are unable to register or qualify the underlying Class A ordinary shares for sale under all applicable state securities laws.</w:t>
      </w:r>
    </w:p>
    <w:p>
      <w:pPr>
        <w:sectPr>
          <w:pgSz w:w="11900" w:h="16838" w:orient="portrait"/>
          <w:cols w:equalWidth="0" w:num="1">
            <w:col w:w="11240"/>
          </w:cols>
          <w:pgMar w:left="320" w:top="122"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340" w:right="280"/>
        <w:spacing w:after="0" w:line="279" w:lineRule="auto"/>
        <w:rPr>
          <w:sz w:val="20"/>
          <w:szCs w:val="20"/>
          <w:color w:val="auto"/>
        </w:rPr>
      </w:pPr>
      <w:r>
        <w:rPr>
          <w:rFonts w:ascii="Arial" w:cs="Arial" w:eastAsia="Arial" w:hAnsi="Arial"/>
          <w:sz w:val="17"/>
          <w:szCs w:val="17"/>
          <w:b w:val="1"/>
          <w:bCs w:val="1"/>
          <w:i w:val="1"/>
          <w:iCs w:val="1"/>
          <w:color w:val="auto"/>
        </w:rPr>
        <w:t>The ability of holders of our warrants to exercise such warrants on a cashless basis after we call the warrants for redemption when the price of Class A ordinary shares equals or exceeds $10.00 or if there is no effective registration statement covering the Class A ordinary shares issuable upon exercise of these warrants will cause holders to receive fewer Class A ordinary shares upon their exercise of the warrants than they would have received had they been able to pay the exercise price of their warrants in cash.</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If we call the warrants for redemption in the circumstances described in “Description of Securities—Warrants—Redemption of Warrants When the Price per Class A Ordinary Share Equals or Exceeds $10.00,” holder that wish to exercise warrants may do so on a cashless basis. Holders may also elect to exercise their warrants on a cashless basis when there is no effective registration statement. In either case, the number of Class A ordinary shares received by a holder upon exercise will be fewer than it would have been had such holder exercised his or her warrant for cash. For example, if the holder is exercising 875 public warrants at $11.50 per share through a cashless exercise when the Class A ordinary shares have a fair market value of $17.50 per share when there is no effective registration statement, then upon the cashless exercise, the holder will receive 300 Class A ordinary shares. The holder would have received 875 Class A ordinary shares if the exercise price was paid in cash. This will have the effect of reducing the potential “upside” of the holder’s investment in our company because the warrant holder will hold a smaller number of Class A ordinary shares upon a cashless exercise of the warrants they hold.</w:t>
      </w:r>
    </w:p>
    <w:p>
      <w:pPr>
        <w:spacing w:after="0" w:line="196" w:lineRule="exact"/>
        <w:rPr>
          <w:sz w:val="20"/>
          <w:szCs w:val="20"/>
          <w:color w:val="auto"/>
        </w:rPr>
      </w:pPr>
    </w:p>
    <w:p>
      <w:pPr>
        <w:ind w:left="340" w:right="600"/>
        <w:spacing w:after="0" w:line="381" w:lineRule="auto"/>
        <w:rPr>
          <w:sz w:val="20"/>
          <w:szCs w:val="20"/>
          <w:color w:val="auto"/>
        </w:rPr>
      </w:pPr>
      <w:r>
        <w:rPr>
          <w:rFonts w:ascii="Arial" w:cs="Arial" w:eastAsia="Arial" w:hAnsi="Arial"/>
          <w:sz w:val="15"/>
          <w:szCs w:val="15"/>
          <w:b w:val="1"/>
          <w:bCs w:val="1"/>
          <w:i w:val="1"/>
          <w:iCs w:val="1"/>
          <w:color w:val="auto"/>
        </w:rPr>
        <w:t>The grant of registration rights to our initial shareholders and their permitted transferees may make it more difficult to complete our initial business combination, and the future exercise of such rights may adversely affect the market price of our Class A ordinary shares.</w:t>
      </w:r>
    </w:p>
    <w:p>
      <w:pPr>
        <w:spacing w:after="0" w:line="100"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are entitled to registration rights pursuant to a registration rights agreement to be signed in connection with our initial public offering requiring us to register such securities for resale.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Class A ordinary shares owned by our initial shareholders or their permitted transferees, our private placement warrants or warrants issued in connection with working capital loans are registered for resale.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We may be a passive foreign investment company, or “PFIC,” which could result in adverse United States federal income tax consequences to U.S.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investors.</w:t>
      </w:r>
    </w:p>
    <w:p>
      <w:pPr>
        <w:spacing w:after="0" w:line="21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 (as defined in the section of this prospectus captioned “Income Tax Considerations — United States Federal Income Taxation — 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“Income Tax Considerations—United States Federal Income Taxation—U.S. Holders—Passive Foreign Investment Company Rules”). Depending on the particular circumstances, the application of the start-up exception for our current taxable year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moreover, will not be determinable until after the end of such taxable year. If we determine we are a PFIC for any taxable year (of which there can be no assurance),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240"/>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14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Although we have no commitments as of the date of this Annual Report on Form 10-K to issue any notes or other debt securities, or to otherwise incur outstanding debt,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54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25" w:lineRule="exact"/>
        <w:rPr>
          <w:rFonts w:ascii="Arial" w:cs="Arial" w:eastAsia="Arial" w:hAnsi="Arial"/>
          <w:sz w:val="18"/>
          <w:szCs w:val="18"/>
          <w:color w:val="auto"/>
        </w:rPr>
      </w:pPr>
    </w:p>
    <w:p>
      <w:pPr>
        <w:ind w:left="660" w:right="24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0" w:lineRule="exact"/>
        <w:rPr>
          <w:sz w:val="20"/>
          <w:szCs w:val="20"/>
          <w:color w:val="auto"/>
        </w:rPr>
      </w:pPr>
    </w:p>
    <w:p>
      <w:pPr>
        <w:ind w:left="340" w:right="60"/>
        <w:spacing w:after="0" w:line="286" w:lineRule="auto"/>
        <w:rPr>
          <w:sz w:val="20"/>
          <w:szCs w:val="20"/>
          <w:color w:val="auto"/>
        </w:rPr>
      </w:pPr>
      <w:r>
        <w:rPr>
          <w:rFonts w:ascii="Arial" w:cs="Arial" w:eastAsia="Arial" w:hAnsi="Arial"/>
          <w:sz w:val="17"/>
          <w:szCs w:val="17"/>
          <w:b w:val="1"/>
          <w:bCs w:val="1"/>
          <w:i w:val="1"/>
          <w:iCs w:val="1"/>
          <w:color w:val="auto"/>
        </w:rPr>
        <w:t>Our initial shareholders will control the appointment of our board of directors until completion of our initial business combination and will hold a substantial interest in us. As a result, they will appoint all of our directors prior to our initial business combination and may exert a substantial influence on actions requiring shareholder vote, potentially in a manner that you do not support.</w:t>
      </w:r>
    </w:p>
    <w:p>
      <w:pPr>
        <w:spacing w:after="0" w:line="16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initial shareholders own 20% of our issued and outstanding ordinary shares. In addition, prior to our initial business combination, only the founder shares, all of which are held by our initial shareholders, will have the right to vote on the appointment of directors, and holders of a majority of our founder shares may remove a member of the board of directors for any reason.</w:t>
      </w:r>
    </w:p>
    <w:p>
      <w:pPr>
        <w:spacing w:after="0" w:line="184"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Neither our initial shareholders nor, to our knowledge, any of our officers or directors, have any current intention to purchase additional securities, other than as disclosed in this Annual Report. Factors that would be considered in making such additional purchases would include consideration of the current trading price of our Class A ordinary shares. In addition, as a result of their substantial ownership in our company, our initial shareholders may exert a substantial influence on other actions requiring a shareholder vote, potentially in a manner that you do not support, including amendments to our amended and restated memorandum and articles of association and approval of major corporate transactions. Accordingly, our initial shareholders will exert significant influence over actions requiring a shareholder vote at least until the completion of our initial business combination.</w:t>
      </w:r>
    </w:p>
    <w:p>
      <w:pPr>
        <w:spacing w:after="0" w:line="16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70"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Our amended and restated memorandum and articles of association will contain provisions that may discourage unsolicited takeover proposals that shareholders may consider to be in their best interests. These provisions include two-year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of public warrants with the approval by the holders of at least 65% of the then outstanding public warrants.</w:t>
      </w:r>
    </w:p>
    <w:p>
      <w:pPr>
        <w:spacing w:after="0" w:line="1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Accordingly, we may amend the terms of the public warrants in a manner adverse to a holder if holders of at least 65% of the then outstanding public warrants approve of such amendment. Although our ability to amend the terms of the public warrants with the consent of at least 65% of the then outstanding public warrants is unlimited, examples of such amendments could be amendments to, among other things, increase the exercise price of the warrants, shorten the exercise period or decrease the number of Class A ordinary shares purchasable upon exercise of a warrant.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26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have the ability to redeem the outstanding warrants at any time after they become exercisable and prior to their expiration, at a price of $0.01 per warrant, if, among other things, the Reference Value equals or exceeds $18.00 per share (as adjusted for adjustments to the number of shares issuable upon exercise or the exercise price of a warrant as described under the heading “Description of Securities—Warrants—Public Shareholders’ Redeemable Warrants—Anti-dilution Adjustments”). Please see “Description of Securities—Warrants—Public Shareholders’ Warrants—Redemption of Warrants When the Price per Class A Ordinary Share Equals or Exceeds $18.00.”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we expect would be substantially less than the market value of your warrants. None of the private placement warrants will be redeemable by us (except as described above adjacent to “Description of Securities—Warrants—Redemption of Warrants When the Price per Class A Ordinary Share Equals or Exceeds $10.00”) so long as they are held by our sponsor or its permitted transferees.</w:t>
      </w:r>
    </w:p>
    <w:p>
      <w:pPr>
        <w:spacing w:after="0" w:line="17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we have the ability to redeem the outstanding warrants at any time after they become exercisable and prior to their expiration, at a price of $0.10 per warrant if, among other things, the Reference Value equals or exceeds $10.00 per share (as adjusted for adjustments to the number of shares issuable upon exercise or the exercise price of a warrant as described under the heading “Description of Securities—Warrants—Public Shareholders’ Redeemable Warrants—Anti-dilution Adjustments”). In such a case, the holders will be able to exercise their warrants prior to redemption for a number of shares of our Class A ordinary shares determined based on the redemption date and the fair market value of our Class A ordinary shares. Please see “Description of Securities—Warrants—Public Shareholders’ Warrants—Redemption of Warrants When the Price per Class A Ordinary Share Equals or Exceeds $10.00.”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ordinary shares received is capped at 0.361 Class A ordinary shares per warrant (subject to adjustment) irrespective of the remaining life of the warrants.</w:t>
      </w:r>
    </w:p>
    <w:p>
      <w:pPr>
        <w:spacing w:after="0" w:line="185"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b w:val="1"/>
          <w:bCs w:val="1"/>
          <w:i w:val="1"/>
          <w:iCs w:val="1"/>
          <w:color w:val="auto"/>
        </w:rPr>
        <w:t>Because each unit contains one-half of one warrant and only a whole warrant may be exercised, the units may be worth less than units of other blank check companies.</w:t>
      </w:r>
    </w:p>
    <w:p>
      <w:pPr>
        <w:spacing w:after="0" w:line="17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Each unit contains one-half of one warrant. Pursuant to the warrant agreement, no fractional warrants will be issued upon separation of the units, and only whole units will trade. This is different from other offerings similar to ours whose units include one ordinary share and one whole warrant to purchase one share. We have established the components of the units in this way in order to reduce the dilutive effect of the warrants upon completion of a business combination since the warrants will be exercisable in the aggregate for a half of the number of shares compared to units that each contain a whole warrant to purchase one share, which we believe will make us a more attractive business combination partner for target businesses. Nevertheless, this unit structure may cause our units to be worth less than if they included a warrant to purchase one whole share.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officers.</w:t>
      </w:r>
      <w:r>
        <w:rPr>
          <w:rFonts w:ascii="Arial" w:cs="Arial" w:eastAsia="Arial" w:hAnsi="Arial"/>
          <w:sz w:val="29"/>
          <w:szCs w:val="29"/>
          <w:b w:val="1"/>
          <w:bCs w:val="1"/>
          <w:i w:val="1"/>
          <w:iCs w:val="1"/>
          <w:color w:val="auto"/>
          <w:vertAlign w:val="superscript"/>
        </w:rPr>
        <w:t>2</w:t>
      </w:r>
    </w:p>
    <w:p>
      <w:pPr>
        <w:spacing w:after="0" w:line="10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ind w:right="40" w:firstLine="8"/>
        <w:spacing w:after="0" w:line="253"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91"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70"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2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corporate affairs are governed by our amended and restated memorandum and articles of association,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8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9"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Management Team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dependent upon our officers and directors and their departure could adversely affect our ability to operate.</w:t>
      </w:r>
    </w:p>
    <w:p>
      <w:pPr>
        <w:spacing w:after="0" w:line="225"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Our operations are dependent upon a relatively small group of individuals – in particular, Albert Foreman, our Chief Executive Officer and a member of our board of directors, Mark Zittman, our Chief Operating Officer and a member of our board of directors, and Sergey Sherman, our Chief Financial Officer.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Moreover, certain of our officers and directors have time and attention requirements for investment funds of which affiliates of our sponsor are the investment managers. We do not have an employment agreement with, or key-man insurance on the life of, any of our directors or officers. The unexpected loss of the services of one or more of our directors or officers could have a detrimental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7830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7"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NTD: Check this one.</w:t>
      </w:r>
    </w:p>
    <w:p>
      <w:pPr>
        <w:sectPr>
          <w:pgSz w:w="11900" w:h="16838" w:orient="portrait"/>
          <w:cols w:equalWidth="0" w:num="1">
            <w:col w:w="11240"/>
          </w:cols>
          <w:pgMar w:left="320" w:top="122"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8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6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78" w:lineRule="exact"/>
        <w:rPr>
          <w:sz w:val="20"/>
          <w:szCs w:val="20"/>
          <w:color w:val="auto"/>
        </w:rPr>
      </w:pPr>
    </w:p>
    <w:p>
      <w:pPr>
        <w:ind w:left="340" w:right="320"/>
        <w:spacing w:after="0" w:line="311"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4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Our key personnel may be able to remain with the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our initial business combination. The personal and financial interests of such individuals may influence their motivation in identifying and selecting a target business, subject to their fiduciary duties under Cayman Islands law.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94" w:lineRule="exact"/>
        <w:rPr>
          <w:sz w:val="20"/>
          <w:szCs w:val="20"/>
          <w:color w:val="auto"/>
        </w:rPr>
      </w:pPr>
    </w:p>
    <w:p>
      <w:pPr>
        <w:ind w:left="340" w:right="40"/>
        <w:spacing w:after="0" w:line="342" w:lineRule="auto"/>
        <w:rPr>
          <w:sz w:val="20"/>
          <w:szCs w:val="20"/>
          <w:color w:val="auto"/>
        </w:rPr>
      </w:pPr>
      <w:r>
        <w:rPr>
          <w:rFonts w:ascii="Arial" w:cs="Arial" w:eastAsia="Arial" w:hAnsi="Arial"/>
          <w:sz w:val="16"/>
          <w:szCs w:val="16"/>
          <w:b w:val="1"/>
          <w:bCs w:val="1"/>
          <w:i w:val="1"/>
          <w:iCs w:val="1"/>
          <w:color w:val="auto"/>
        </w:rPr>
        <w:t>We may have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shareholders or warrant holders who choose to remain shareholders or warrant holders following our initial business combination could suffer a reduction in the value of their securities. Such shareholders or warrant holders are unlikely to have a remedy for such reduction in value.</w:t>
      </w:r>
    </w:p>
    <w:p>
      <w:pPr>
        <w:spacing w:after="0" w:line="19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420"/>
        <w:spacing w:after="0" w:line="342" w:lineRule="auto"/>
        <w:rPr>
          <w:sz w:val="20"/>
          <w:szCs w:val="20"/>
          <w:color w:val="auto"/>
        </w:rPr>
      </w:pPr>
      <w:r>
        <w:rPr>
          <w:rFonts w:ascii="Arial" w:cs="Arial" w:eastAsia="Arial" w:hAnsi="Arial"/>
          <w:sz w:val="16"/>
          <w:szCs w:val="16"/>
          <w:b w:val="1"/>
          <w:bCs w:val="1"/>
          <w:i w:val="1"/>
          <w:i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24"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49" w:lineRule="exact"/>
        <w:rPr>
          <w:sz w:val="20"/>
          <w:szCs w:val="20"/>
          <w:color w:val="auto"/>
        </w:rPr>
      </w:pPr>
    </w:p>
    <w:p>
      <w:pPr>
        <w:ind w:left="340" w:right="260"/>
        <w:spacing w:after="0" w:line="381" w:lineRule="auto"/>
        <w:rPr>
          <w:sz w:val="20"/>
          <w:szCs w:val="20"/>
          <w:color w:val="auto"/>
        </w:rPr>
      </w:pPr>
      <w:r>
        <w:rPr>
          <w:rFonts w:ascii="Arial" w:cs="Arial" w:eastAsia="Arial" w:hAnsi="Arial"/>
          <w:sz w:val="15"/>
          <w:szCs w:val="15"/>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0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 Our independent directors may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Cannabis Industry</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i w:val="1"/>
          <w:iCs w:val="1"/>
          <w:color w:val="auto"/>
        </w:rPr>
        <w:t>Business combinations with companies operating in the cannabis industry entail special considerations and risks. If we complete a business combination with a target business in the cannabis industry, we will be subject to, and possibly adversely affected by, the risks set forth below. However, our efforts in identifying prospective target businesses may not be limited to the cannabis industry. Accordingly, if we acquire a target business in another industry, these risks will likely not affect us and we will be subject to other risks attendant with the specific industry of the target business which we acquire, none of which can be presently ascertained.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are risks related to the cannabis industry to which we may become subject.</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If we are successful in completing a business combination with a target business with operations in the cannabis industry, we will be subject to, and possibly adversely affected by, the following risks:</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cannabis industry is extremely speculative and its legality is uncertain, making it subject to inherent risk;</w:t>
      </w:r>
    </w:p>
    <w:p>
      <w:pPr>
        <w:spacing w:after="0" w:line="225" w:lineRule="exact"/>
        <w:rPr>
          <w:rFonts w:ascii="Arial" w:cs="Arial" w:eastAsia="Arial" w:hAnsi="Arial"/>
          <w:sz w:val="18"/>
          <w:szCs w:val="18"/>
          <w:color w:val="auto"/>
        </w:rPr>
      </w:pPr>
    </w:p>
    <w:p>
      <w:pPr>
        <w:ind w:left="660" w:right="40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Use of cannabis that is not in compliance with the U.S. Controlled Substances Act is illegal under U.S. federal law, and therefore, strict enforcement of U.S. federal laws regarding the use, cultivation, manufacturing, processing, transportation, distribution, storage and/or sale of cannabis would likely result in our inability to execute a business plan in the cannabis industry;</w:t>
      </w:r>
    </w:p>
    <w:p>
      <w:pPr>
        <w:spacing w:after="0" w:line="165" w:lineRule="exact"/>
        <w:rPr>
          <w:rFonts w:ascii="Arial" w:cs="Arial" w:eastAsia="Arial" w:hAnsi="Arial"/>
          <w:sz w:val="17"/>
          <w:szCs w:val="17"/>
          <w:color w:val="auto"/>
        </w:rPr>
      </w:pPr>
    </w:p>
    <w:p>
      <w:pPr>
        <w:ind w:left="660" w:right="52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the current policies of the Biden Administration and the U.S. Department of Justice resulting in heightened enforcement of U.S. federal cannabis laws may negatively impact our ability to pursue our prospective business operations and/or generate revenues;</w:t>
      </w:r>
    </w:p>
    <w:p>
      <w:pPr>
        <w:spacing w:after="0" w:line="123"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federal courts may refuse to recognize the enforceability of contracts pertaining to any business operations that are deemed illegal under U.S. federal law and, as a result, cannabis-related contracts could prove unenforceable in such courts;</w:t>
      </w:r>
    </w:p>
    <w:p>
      <w:pPr>
        <w:spacing w:after="0" w:line="170"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 complaints and negative publicity regarding cannabis 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Assets leased to cannabis businesses may be forfeited to the U.S. federal government in connection with government enforcement actions under U.S. federal law;</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3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Food and Drug Administration regulation of cannabis and the possible registration of facilities where cannabis is grown could negatively affect the cannabis industry, which could directly affect our financial condition;</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the various insurance policies that are needed to operate our business, which may expose us to additional risks and financial liabilities;</w:t>
      </w:r>
    </w:p>
    <w:p>
      <w:pPr>
        <w:spacing w:after="0" w:line="17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have powerful lobbying and financial resources;</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Many national and regional banks have been resistant to doing business with cannabis companies because of the uncertainties presented by federal law and, as a result, we may have difficulty accessing the service of banks, which may inhibit our ability to open bank accounts or otherwise utilize traditional banking services;</w:t>
      </w:r>
    </w:p>
    <w:p>
      <w:pPr>
        <w:spacing w:after="0" w:line="183"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financing in connection with our initial business combination or thereafter;</w:t>
      </w:r>
    </w:p>
    <w:p>
      <w:pPr>
        <w:spacing w:after="0" w:line="170"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Laws and regulations affecting the regulated cannabis industry are varied, broad in scope and subject to evolving interpretations, and may restrict the use of the properties we acquire or require certain additional regulatory approvals, which could materially adversely affect our operations;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National securities exchanges may not list companies engaged in the cannabis industry;</w:t>
      </w:r>
    </w:p>
    <w:p>
      <w:pPr>
        <w:spacing w:after="0" w:line="225" w:lineRule="exact"/>
        <w:rPr>
          <w:rFonts w:ascii="Arial" w:cs="Arial" w:eastAsia="Arial" w:hAnsi="Arial"/>
          <w:sz w:val="18"/>
          <w:szCs w:val="18"/>
          <w:color w:val="auto"/>
        </w:rPr>
      </w:pPr>
    </w:p>
    <w:p>
      <w:pPr>
        <w:jc w:val="both"/>
        <w:ind w:left="660" w:right="4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280E of the Internal Revenue Code of 1986, as amended, which disallows a tax deduction for any amount paid or incurred in carrying on any trade or business that consists of trafficking in controlled substances prohibited by federal or state law, may prevent us from deducting certain business expenditures, which would increase our net taxable income; and</w:t>
      </w:r>
    </w:p>
    <w:p>
      <w:pPr>
        <w:spacing w:after="0" w:line="183" w:lineRule="exact"/>
        <w:rPr>
          <w:rFonts w:ascii="Arial" w:cs="Arial" w:eastAsia="Arial" w:hAnsi="Arial"/>
          <w:sz w:val="18"/>
          <w:szCs w:val="18"/>
          <w:color w:val="auto"/>
        </w:rPr>
      </w:pPr>
    </w:p>
    <w:p>
      <w:pPr>
        <w:ind w:left="340" w:right="280" w:hanging="8"/>
        <w:spacing w:after="0" w:line="500" w:lineRule="auto"/>
        <w:tabs>
          <w:tab w:leader="none" w:pos="6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similar to those discussed above based on regulations of other jurisdictions in which a prospective target may operate or be organized in. Any of the foregoing could have an adverse impact on our operations following a business combination.</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Cannabis is currently illegal under U.S. federal law and in other jurisdictions</w:t>
      </w:r>
    </w:p>
    <w:p>
      <w:pPr>
        <w:spacing w:after="0" w:line="225"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6"/>
          <w:szCs w:val="16"/>
          <w:color w:val="auto"/>
        </w:rPr>
        <w:t>If we complete a business combination with a target in the cannabis industry, our ability to achieve our business objectives will be contingent, in part, upon the legality of the cannabis industry, our compliance with regulatory requirements enacted by various governmental authorities, and our obtaining all regulatory approvals, where necessary. The laws and regulations governing cannabis are still developing, including in ways that we may not foresee.</w:t>
      </w:r>
    </w:p>
    <w:p>
      <w:pPr>
        <w:spacing w:after="0" w:line="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Although the Agriculture Improvement Act of 2018 has taken hemp and hemp derived cannabinoids out of the most restrictive class of controlled substances under U.S. federal law, marijuana is a schedule-1 controlled substance in the United States and is currently illegal under U.S. federal law. Even in those U.S. states in which the recreational use of marijuana has been legalized, its use remains a violation of U.S. federal law. Additionally, in 2018, a series of memoranda and guidance from 2009 to 2014 that generally directed U.S. Attorneys not to enforce federal marijuana laws against actors who were in compliance with state guidance were formally rescinded. Since U.S. federal laws criminalizing the use of marijuana preempt state laws that legalize its use, continuation of U.S. federal law in its current state regarding marijuana could limit our ability to do business in the United States. Similar issues of illegality apply in other countries. Any amendment to or replacement of existing laws to make them more onerous, or delays in amending or replacing existing laws to liberalize the legal possession and use of cannabis, or delays in obtaining, or the failure to obtain, any necessary regulatory approvals may significantly delay or impact negatively our ability to consummate an initial business combination, the markets in which we operate, products and sales initiatives and could have a material adverse effect on our business, liquidity, financial condition and/or results of operations.</w:t>
      </w:r>
    </w:p>
    <w:p>
      <w:pPr>
        <w:spacing w:after="0" w:line="169"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b w:val="1"/>
          <w:bCs w:val="1"/>
          <w:i w:val="1"/>
          <w:iCs w:val="1"/>
          <w:color w:val="auto"/>
        </w:rPr>
        <w:t>Change in the laws, regulations and guidelines that impact the cannabis industry may cause adverse effects on our ability to successfully complete our initial business combination.</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only intend to target companies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Changes to such laws, regulations and guidelines may cause adverse effects on our ability to identify and acquire a target company that meets these legal and regulatory requirements at the time of acquisition.</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540"/>
        <w:spacing w:after="0" w:line="277" w:lineRule="auto"/>
        <w:rPr>
          <w:sz w:val="20"/>
          <w:szCs w:val="20"/>
          <w:color w:val="auto"/>
        </w:rPr>
      </w:pPr>
      <w:r>
        <w:rPr>
          <w:rFonts w:ascii="Arial" w:cs="Arial" w:eastAsia="Arial" w:hAnsi="Arial"/>
          <w:sz w:val="18"/>
          <w:szCs w:val="18"/>
          <w:b w:val="1"/>
          <w:bCs w:val="1"/>
          <w:i w:val="1"/>
          <w:iCs w:val="1"/>
          <w:color w:val="auto"/>
        </w:rPr>
        <w:t>The nascent status of the medical and recreational cannabis industry involves unique circumstances and there can be no assurance that the industry will continue to exist or grow as currently anticipated.</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Cannabis industry businesses operate under a relatively new medical and adult-use recreational market. In addition to being subject to general business risks, a business involving an agricultural product and a regulated consumer product needs to continue to build brand, product awareness and operations through significant investments in strategy, production capacity, quality assurance and compliance with regulations.</w:t>
      </w:r>
    </w:p>
    <w:p>
      <w:pPr>
        <w:spacing w:after="0" w:line="16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Competitive conditions, consumer tastes, patient requirements and spending patterns in this new industry and market are relatively unknown and may have unique circumstances that differ from existing industries and markets.</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There can be no assurance that this industry and market will continue to exist or grow as currently estimated or anticipated, or function and evolve in a manner consistent with management’s expectations and assumptions. Any event or circumstance that affects the medical or recreational cannabis industry and market could have a material adverse effect on our business, financial condition and results of operations.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Any potential growth in the cannabis industry continues to be subject to new and changing state and local laws and regulations.</w:t>
      </w:r>
    </w:p>
    <w:p>
      <w:pPr>
        <w:spacing w:after="0" w:line="23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Continued development of the cannabis industry is dependent upon continued legislative legalization of cannabis at the state level, and a number of factors could slow or halt progress in this area, even where there is public support for legislative action. Any delay or halt in the passing or implementation of legislation legalizing cannabis use, or its cultivation, manufacturing, processing, transportation, distribution, storage and/or sale, or the re-criminalization or restriction of cannabis at the state level could negatively impact our business. Additionally, changes in applicable state and local laws or regulations, including zoning restrictions, permitting requirements and fees, could restrict the products and services we may offer or impose additional compliance costs on us or our customers. Violations of applicable laws, or allegations of such violations, could disrupt our business and result in a material adverse effect on our operations. We cannot predict the nature of any future laws, regulations, interpretations or applications, and it is possible that regulations may be enacted in the future that will be materially adverse to our business.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the laws, regulations and guidelines that impact our business may cause adverse effects on our operations.</w:t>
      </w:r>
    </w:p>
    <w:p>
      <w:pPr>
        <w:spacing w:after="0" w:line="225"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A cannabis products business will be subject to a variety of laws, regulations and guidelines relating to the marketing, acquisition, manufacture, management, transportation, storage, sale, labeling and disposal of cannabis as well as laws and regulations relating to health and safety, the conduct of operations and the protection of the environment. Changes to such laws, regulations and guidelines may cause adverse effects on the operations of our target company post-acquisition.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in a highly regulated business will require significant resources.</w:t>
      </w:r>
    </w:p>
    <w:p>
      <w:pPr>
        <w:spacing w:after="0" w:line="225"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In the event we acquire a business involved in the production, distribution or sale of cannabis products, we will be operating in a highly regulated business. In such a case, we would expect a significant amount of management’s time and external resources to be used to comply with the laws, regulations and guidelines that impact our business, and changes thereto, and such compliance may place a significant burden on our management and other resources.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Differing regulatory environments may cause adverse effects on our operations.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 cannabis products business will be subject to a variety of laws, regulations and guidelines in each of the jurisdictions in which it operates. Complying with multiple regulatory regimes will require additional resources and may limit our ability to expand into certain jurisdictions, even where cannabis may be legal. For example, even if cannabis were to become legal under U.S. federal law, companies operating in the cannabis industry would have to comply with applicable state and local laws, which may vary greatly between jurisdictions, increasing costs for companies that operate in multiple jurisdictions.</w:t>
      </w:r>
    </w:p>
    <w:p>
      <w:pPr>
        <w:spacing w:after="0" w:line="18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We may operate a highly regulated business and any failure or significant delay in obtaining regulatory approvals could adversely affect our ability to conduct our business.</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the event we acquire a business involved in the production, distribution or sale of cannabis products, achievement of our business objectives will be contingent, in part, upon compliance with the regulatory requirements enacted by applicable government authorities and obtaining all regulatory approvals, where necessary, for the sale of our products. We cannot predict the time required to secure all appropriate regulatory approvals for our products, additional restrictions that may be placed on our business or the extent of testing and documentation that may be required by government authorities. Any delays in obtaining, or failure to obtain regulatory approvals would significantly delay the development of markets and products and could have a material adverse effect on our business, results of operation and financial condition.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regulations relating to hemp-derived CBD products are unclear and rapidly evolving.</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may acquire a business involved in the production, distribution or sale of hemp-derived CBD products. Participation in the market for hemp-derived CBD products in the United States and elsewhere may require us to employ novel approaches to existing regulatory pathways. Although the passage of the Farm Bill in December 2018 legalized the cultivation of hemp in the United States to produce products containing CBD and other non-THC cannabinoids, it is unclear how the FDA will respond to the approach taken by a target business we acquire, or whether the FDA will propose or implement new or additional regulations. In addition, such products may be subject to regulation at the state or local levels. Unforeseen regulatory obstacles may hinder our ability to successfully compete in the market for such products.</w:t>
      </w:r>
    </w:p>
    <w:p>
      <w:pPr>
        <w:spacing w:after="0" w:line="178" w:lineRule="exact"/>
        <w:rPr>
          <w:sz w:val="20"/>
          <w:szCs w:val="20"/>
          <w:color w:val="auto"/>
        </w:rPr>
      </w:pPr>
    </w:p>
    <w:p>
      <w:pPr>
        <w:ind w:left="340" w:right="440"/>
        <w:spacing w:after="0" w:line="277" w:lineRule="auto"/>
        <w:rPr>
          <w:sz w:val="20"/>
          <w:szCs w:val="20"/>
          <w:color w:val="auto"/>
        </w:rPr>
      </w:pPr>
      <w:r>
        <w:rPr>
          <w:rFonts w:ascii="Arial" w:cs="Arial" w:eastAsia="Arial" w:hAnsi="Arial"/>
          <w:sz w:val="18"/>
          <w:szCs w:val="18"/>
          <w:b w:val="1"/>
          <w:bCs w:val="1"/>
          <w:i w:val="1"/>
          <w:iCs w:val="1"/>
          <w:color w:val="auto"/>
        </w:rPr>
        <w:t>Marketing constraints under regulatory frameworks may limit a potential target cannabis company’s ability to compete for market share in a manner similar to that of companies in other industries.</w:t>
      </w:r>
    </w:p>
    <w:p>
      <w:pPr>
        <w:spacing w:after="0" w:line="17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development of a potential target cannabis company’s business and operating results may be hindered by applicable restrictions on sales and marketing activities imposed by regulations applicable to the cannabis industry. For example, the regulatory environment in Canada would limit a target cannabis company’s ability to compete for market share in a manner similar to that of companies in other industries. Additionally, Canadian regulations impose further packaging, labeling and advertising restrictions on producers in the adult-use recreational cannabis market. If a target cannabis company is unable to effectively market its products and compete for market share, or if the costs of compliance with government legislation and regulation cannot be absorbed through increased selling prices for its products, its sales and operating results could be adversely affected.</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become involved in regulatory or agency proceedings, investigations and audits.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Businesses in the cannabis industry, and the business of the suppliers from which we may acquire the products we may sell, require compliance with many laws and regulations. Failure to comply with these laws and regulations could subject us or such suppliers to regulatory or agency proceedings or investigations and could also lead to damage awards, fines and penalties. We or such suppliers may become involved in a number of government or agency proceedings, investigations and audits. The outcome of any regulatory or agency proceedings, investigations, audits, and other contingencies could harm our reputation or the reputations of the brands that we may sell, require us to take, or refrain from taking, actions that could harm our operations or require us to pay substantial amounts of money, harming our financial condition. There can be no assurance that any pending or future regulatory or agency proceedings, investigations and audits will not result in substantial costs or a diversion of management’s attention and resources or have a material adverse impact on our business, financial condition and results of operations.</w:t>
      </w:r>
    </w:p>
    <w:p>
      <w:pPr>
        <w:spacing w:after="0" w:line="178" w:lineRule="exact"/>
        <w:rPr>
          <w:sz w:val="20"/>
          <w:szCs w:val="20"/>
          <w:color w:val="auto"/>
        </w:rPr>
      </w:pPr>
    </w:p>
    <w:p>
      <w:pPr>
        <w:ind w:left="340" w:right="220"/>
        <w:spacing w:after="0" w:line="263" w:lineRule="auto"/>
        <w:rPr>
          <w:sz w:val="20"/>
          <w:szCs w:val="20"/>
          <w:color w:val="auto"/>
        </w:rPr>
      </w:pPr>
      <w:r>
        <w:rPr>
          <w:rFonts w:ascii="Arial" w:cs="Arial" w:eastAsia="Arial" w:hAnsi="Arial"/>
          <w:sz w:val="18"/>
          <w:szCs w:val="18"/>
          <w:b w:val="1"/>
          <w:bCs w:val="1"/>
          <w:i w:val="1"/>
          <w:iCs w:val="1"/>
          <w:color w:val="auto"/>
        </w:rPr>
        <w:t>Research in the United States, Canada and internationally regarding the medical benefits, viability, safety, efficacy and dosing of cannabis or isolated cannabinoids remains in relatively early stages. There have been few clinical trials on the benefits of cannabis or isolated cannabinoids conducted by us or by others.</w:t>
      </w:r>
    </w:p>
    <w:p>
      <w:pPr>
        <w:spacing w:after="0" w:line="184"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Research in the United States, Canada and internationally regarding the medical benefits, viability, safety, efficacy and dosing of cannabis or isolated cannabinoids (such as CBD and THC) remains in relatively early stages. Historically stringent regulations related to cannabis have made conducting medical and academic studies challenging, and there have been relatively few clinical trials on the benefits of cannabis or isolated cannabinoids to date. Many statements concerning the potential medical benefits of cannabinoids are based on published articles and reports, and as a result, such statements are subject to the experimental parameters, qualifications and limitations in the studies that have been completed. In the event we acquire a target business involving medical cannabis, future research and clinical trials may draw different or negative conclusions regarding the medical benefits, viability, safety, efficacy, dosing or other facts and perceptions related to medical cannabis, which could adversely affect social acceptance of cannabis and the demand for our products. We may be subject to liability for risks against which we cannot insure or against which we may elect not to insure due to the high cost of insurance premiums or other factors. The payment of any such liabilities would reduce the funds available for our normal business activities. Payment of liabilities for which we do not carry insurance may have a material adverse effect on our financial position and operations.</w:t>
      </w:r>
    </w:p>
    <w:p>
      <w:pPr>
        <w:spacing w:after="0" w:line="168" w:lineRule="exact"/>
        <w:rPr>
          <w:sz w:val="20"/>
          <w:szCs w:val="20"/>
          <w:color w:val="auto"/>
        </w:rPr>
      </w:pPr>
    </w:p>
    <w:p>
      <w:pPr>
        <w:ind w:left="340" w:right="500"/>
        <w:spacing w:after="0" w:line="277" w:lineRule="auto"/>
        <w:rPr>
          <w:sz w:val="20"/>
          <w:szCs w:val="20"/>
          <w:color w:val="auto"/>
        </w:rPr>
      </w:pPr>
      <w:r>
        <w:rPr>
          <w:rFonts w:ascii="Arial" w:cs="Arial" w:eastAsia="Arial" w:hAnsi="Arial"/>
          <w:sz w:val="18"/>
          <w:szCs w:val="18"/>
          <w:b w:val="1"/>
          <w:bCs w:val="1"/>
          <w:i w:val="1"/>
          <w:iCs w:val="1"/>
          <w:color w:val="auto"/>
        </w:rPr>
        <w:t>With respect to target businesses operating in the medical and adult-use cannabis markets, the illicit supply of cannabis and cannabis-based products may reduce our sales and impede our ability to succeed in such markets.</w:t>
      </w:r>
    </w:p>
    <w:p>
      <w:pPr>
        <w:spacing w:after="0" w:line="170"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In the event we acquire a target business operating in the medical and adult-use cannabis markets, we may face competition from unlicensed and unregulated market participants, including illegal dispensaries and black market suppliers selling cannabis and cannabis-based products.</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Even with the legalization of medical and adult-use cannabis in certain jurisdictions, black market operations remain abundant and are a substantial competitor to cannabis-related businesses. In addition, illegal dispensaries and black market participants may be able to (i) offer products with higher concentrations of active ingredients that are either expressly prohibited or impracticable to produce under applicable regulations, (ii) use delivery methods, including edibles, concentrates and extract vaporizers, that we may be prohibited from offering to individuals in such jurisdictions, (iii) brand products more explicitly and (iv) describe/discuss intended effects of products. As these illicit market participants do not comply with the regulations governing the medical and adult-use cannabis industry in such jurisdictions, their operations may also have significantly lower costs.</w:t>
      </w:r>
    </w:p>
    <w:p>
      <w:pPr>
        <w:spacing w:after="0" w:line="178"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As a result of the competition presented by the black market for cannabis, any unwillingness by consumers currently utilizing these unlicensed distribution channels to begin purchasing from legal producers for any reason or any inability or unwillingness of law enforcement authorities to enforce laws prohibiting the unlicensed cultivation and sale of cannabis and cannabis-based products could (i) result in the perpetuation of the black market for cannabis, (ii) adversely affect our market share and (iii) adversely impact the public perception of cannabis use and licensed cannabis producers and dealers, all of which would have a materially adverse effect on our business, operations and financial condition.</w:t>
      </w:r>
    </w:p>
    <w:p>
      <w:pPr>
        <w:spacing w:after="0" w:line="176"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b w:val="1"/>
          <w:bCs w:val="1"/>
          <w:i w:val="1"/>
          <w:iCs w:val="1"/>
          <w:color w:val="auto"/>
        </w:rPr>
        <w:t>If recreational or medical-use consumers elect to produce cannabis for their own purposes, it could reduce the addressable market for a potential target cannabis company’s products.</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Cannabis regulations may permit the end user to produce cannabis for their own purposes. For example, under cannabis regulations in Canada, three options are available for an individual to obtain cannabis for medical purposes: (i) registering with a holder of a license to sell for medical purposes and purchasing products from that entity; (ii) register with Health Canada to produce a limited amount of cannabis for their own medical purposes; or (iii) designate someone else to produce cannabis for them. It is possible that the ability of an end user to produce cannabis for their own purposes, such as under</w:t>
      </w:r>
    </w:p>
    <w:p>
      <w:pPr>
        <w:spacing w:after="0" w:line="1" w:lineRule="exact"/>
        <w:rPr>
          <w:sz w:val="20"/>
          <w:szCs w:val="20"/>
          <w:color w:val="auto"/>
        </w:rPr>
      </w:pPr>
    </w:p>
    <w:p>
      <w:pPr>
        <w:ind w:right="40" w:firstLine="8"/>
        <w:spacing w:after="0" w:line="260"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and (iii) above, could significantly reduce the addressable market for a potential target cannabis company’s products and could materially and adversely affect the business, financial condition and results of operations of a potential target cannabis company.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cannabis industry faces significant opposition, and any negative trends may adversely affect our business operations.</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If we complete a business combination with a target in the cannabis industry, we will be substantially dependent on the continued market acceptance, and the proliferation of consumers, of cannabis. We believe that with further legalization, cannabis will become more accepted, resulting in growth in consumer demand. However, we cannot predict the future growth rate or future market potential, and any negative outlook on the cannabis industry may adversely affect our business operations.</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Large, well-funded industries that perceive cannabis products and services as competitive with their own, including but not limited to the pharmaceutical industry, adult beverage industry and tobacco industry, all of which have powerful lobbying and financial resources, may have strong economic reasons to oppose the development of the cannabis industry. For example, should cannabis displace other drugs or products, the medical cannabis industry could face a material threat from the pharmaceutical industry, which is well-funded and possesses a strong and experienced lobby. Any inroads the pharmaceutical, or any other potentially displaced, industry or sector could make in halting or impeding the cannabis industry could have a detrimental impact on our business.</w:t>
      </w:r>
    </w:p>
    <w:p>
      <w:pPr>
        <w:spacing w:after="0" w:line="192"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b w:val="1"/>
          <w:bCs w:val="1"/>
          <w:i w:val="1"/>
          <w:iCs w:val="1"/>
          <w:color w:val="auto"/>
        </w:rPr>
        <w:t>Competition from synthetic products may adversely affect the business, financial condition or results of operations of a potential target cannabis company.</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pharmaceutical industry may attempt to dominate the cannabis industry, and in particular, legal cannabis, through the development and distribution of synthetic products which emulate the effects of cannabis. If they are successful, the widespread popularity of such synthetic products could change the demand, volume and profitability of the cannabis industry. This could adversely affect the ability of a potential target cannabis company to secure long-term profitability and success through the sustainable and profitable operation of the anticipated businesses and investment targets, and could have a material adverse effect on a potential target cannabis company’s business, financial condition or results of operations.</w:t>
      </w:r>
    </w:p>
    <w:p>
      <w:pPr>
        <w:spacing w:after="0" w:line="176"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b w:val="1"/>
          <w:bCs w:val="1"/>
          <w:i w:val="1"/>
          <w:iCs w:val="1"/>
          <w:color w:val="auto"/>
        </w:rPr>
        <w:t>An initial surge in demand for cannabis may result in supply shortages in the short term, while in the longer term, supply of cannabis could exceed demand, which may cause a fluctuation in revenue.</w:t>
      </w:r>
    </w:p>
    <w:p>
      <w:pPr>
        <w:spacing w:after="0" w:line="170"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Changes in the legal status of cannabis may result in an initial surge in demand. As a result of such initial surge, cannabis companies operating under such changed legal regime may not be able to produce enough cannabis to meet demand of the adult-use recreational and medical markets, as applicable. This may result in lower than expected sales and revenues and increased competition for sales and sources of supply.</w:t>
      </w:r>
    </w:p>
    <w:p>
      <w:pPr>
        <w:spacing w:after="0" w:line="149"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However, in the future, cannabis producers may produce more cannabis than is needed to satisfy the collective demand of the adult-use recreational and medical markets, as applicable, and they may be unable to export that oversupply into other markets where cannabis use is fully legal under all applicable jurisdictional laws. As a result, the available supply of cannabis could exceed demand, resulting in a significant decline in the market price for cannabis. If such supply or price fluctuations were to occur, companies operating in the cannabis industry may see revenue and profitability fluctuate materially and their business, financial condition, results of operations and prospects may be adversely affected.</w:t>
      </w:r>
    </w:p>
    <w:p>
      <w:pPr>
        <w:sectPr>
          <w:pgSz w:w="11900" w:h="16838" w:orient="portrait"/>
          <w:cols w:equalWidth="0" w:num="1">
            <w:col w:w="11240"/>
          </w:cols>
          <w:pgMar w:left="320" w:top="122" w:right="339" w:bottom="1440" w:gutter="0" w:footer="0" w:header="0"/>
        </w:sect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b w:val="1"/>
          <w:bCs w:val="1"/>
          <w:i w:val="1"/>
          <w:iCs w:val="1"/>
          <w:color w:val="auto"/>
        </w:rPr>
        <w:t>Consumer preferences may change, and the potential target business may be unsuccessful in acquiring or retaining consumers and keeping pace with changing market developments.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a result of changing consumer preferences, many consumer products attain financial success for a limited period of time. Even if a potential target’s products find success at retail, there can be no assurance that such products will continue to be profitable. A potential target’s success will be significantly dependent upon its ability to develop new and improved product lines and adapt to consumer preferences. Even if a potential target business is successful in introducing new products or developing its current products, a failure to gain consumer acceptance or to update products could cause a decline in the products’ popularity and impair the brands. In addition, a potential target business may be required to invest significant capital in the creation of new product lines, strains, brands, marketing campaigns, packaging and other product features-none of which are guaranteed to be successful. Failure to introduce new features and product lines and to achieve and sustain market acceptance could result in the potential target business being unable to satisfy consumer preferences and generate revenue.</w:t>
      </w:r>
    </w:p>
    <w:p>
      <w:pPr>
        <w:spacing w:after="0" w:line="178"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A potential target’s success depends on its ability to attract and retain consumers. There are many factors which could impact its ability to attract and retain consumers, including its ability to continually produce desirable and effective products, the successful implementation of its consumer acquisition plan and the continued growth in the aggregate number of potential consumers. A potential target business may not be successful in developing effective and safe new products, anticipating shifts in social trends and consumer demands, bringing such products to market in time to be effectively commercialized, or obtaining any required regulatory approvals, which, together with any capital expenditures made in the course of such product development and regulatory approval processes. A potential target’s failure to acquire and retain consumers could have a material adverse effect on the potential target business.</w:t>
      </w:r>
    </w:p>
    <w:p>
      <w:pPr>
        <w:spacing w:after="0" w:line="19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addition, the patterns of cannabis consumption may shift over time due to a variety of factors, including changes in demographics, social trends, public health polices and other leisure or consumption behaviors. If consumer preferences for a potential target’s products or cannabis products in general do not develop, or if once developed, they were to move away from its products or cannabis products in general, or if a potential target business is unable to anticipate and respond effectively to shifts in consumer behaviors, it may be adversely affected.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cannabis industry is highly competitive and evolving.</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market for businesses in the cannabis industry is highly competitive and evolving. There may be no material aspect of our business that is protected by patents, copyrights, trademarks or trade names, and we may face strong competition from larger companies, including in our search for an initial business combination and those that may offer similar products and services to ours following our initial business combination. Our potential competitors may have longer operating histories, significantly greater financial, marketing or other resources and larger client bases than we will, and there can be no assurance that we will be able to successfully compete against these or other competitors. Additionally, because the cannabis industry is at an early stage, a potential target cannabis company may face additional competition from new entrants, including as a result of an increased number of licenses granted under any applicable regulatory regime.</w:t>
      </w:r>
    </w:p>
    <w:p>
      <w:pPr>
        <w:spacing w:after="0" w:line="19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If the number of users of medical cannabis increases, and/or if the national demand for recreational cannabis increases, the demand for products will increase and we expect that competition will become more intense, as current and future competitors begin to offer an increasing number of diversified products. To remain competitive, a target business may require a continued high level of investment in research and development, marketing, sales and client support. However, a potential target business may not have sufficient resources to maintain research and development, marketing, sales and client support efforts on a competitive basis, which could materially and adversely affect the business, financial condition and results of operations of the company. Additionally, as new technologies related to the cultivation, processing, manufacturing and research and development of cannabis are being explored, there is potential for third party competitors to be in possession of superior technology that would reduce any relative competitiveness a potential business target may have.</w:t>
      </w:r>
    </w:p>
    <w:p>
      <w:pPr>
        <w:spacing w:after="0" w:line="19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the legal landscape for cannabis continues to evolve, it is possible that the cannabis industry will undergo consolidation, creating larger companies with greater financial resources, manufacturing and marketing capabilities and product offerings.</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Given the rapid changes affecting the global, national, and regional economies generally and the cannabis industry, in particular, we may not be able to create and maintain a competitive advantage in the marketplace.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success will depend on our ability to keep pace with any changes in our markets, particularly, legal and regulatory changes. For example, it is likely that we, and our competitors, will seek to introduce new products in the future. Our success will also depend on our ability to respond to, among other things, changes in the economy, market conditions, and competitive pressures. Any failure by us to anticipate or respond adequately to such changes could have a material adverse effect on our financial condition and results of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technologies, process and formulations a target company uses may face competition or become obsolete.</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Many businesses in the cannabis industry face rapidly changing markets, technology, emerging industry standards and frequent introduction of new products. The introduction of new products embodying new technologies, including new manufacturing processes or formulations, and the emergence of new industry standards may render a potential business target’s products obsolete, less competitive or less marketable. The process of developing their products is complex and requires significant continuing costs, development efforts and third party commitments, including licensees, researchers, collaborators and lenders. A target company’s failure to develop new technologies and products and the obsolescence of existing technologies or processes could adversely affect its business, financial condition and results of operations. A target company may be unable to anticipate changes in its potential customer requirements that could make its existing technology, processes or formulations obsolete. Its success will depend in part on its ability to continue to enhance its existing technologies, develop new technology that addresses the increasing sophistication and varied news of the market, and respond to technological advances and emerging industry standards and practices on a timely and cost-effective basis. The development of its proprietary technology, processes and formulations may entail significant technical and business risks. A potential target company may not be successful in using its new technologies or exploiting its niche markets effectively or adapting its business to evolving customer or medical requirements or preferences or emerging industry standards.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is uncertainty in pricing and demand for cannabis-based products.</w:t>
      </w:r>
    </w:p>
    <w:p>
      <w:pPr>
        <w:spacing w:after="0" w:line="225" w:lineRule="exact"/>
        <w:rPr>
          <w:sz w:val="20"/>
          <w:szCs w:val="20"/>
          <w:color w:val="auto"/>
        </w:rPr>
      </w:pPr>
    </w:p>
    <w:p>
      <w:pPr>
        <w:ind w:right="200" w:firstLine="324"/>
        <w:spacing w:after="0" w:line="270" w:lineRule="auto"/>
        <w:rPr>
          <w:sz w:val="20"/>
          <w:szCs w:val="20"/>
          <w:color w:val="auto"/>
        </w:rPr>
      </w:pPr>
      <w:r>
        <w:rPr>
          <w:rFonts w:ascii="Arial" w:cs="Arial" w:eastAsia="Arial" w:hAnsi="Arial"/>
          <w:sz w:val="17"/>
          <w:szCs w:val="17"/>
          <w:color w:val="auto"/>
        </w:rPr>
        <w:t>The anticipated pricing of cannabis products may differ substantially from current levels given changes in the competitive and regulatory landscape. The potential target company’s business model may be susceptible to erosion of profitability should cannabis and cannabis-related products experience secular pricing changes. Potential sources of pricing changes include over-production, regulatory action, increased competition or the emergence of new competitors. Additionally, even if pricing of the broader cannabis and cannabis-related product market is sustained, there is no guarantee that a potential target cannabis company will be successful in creating and maintaining consumer demand and estimated pricing levels. To do this, the potential target company may be dependent upon, among other things, continually producing desirable and effective cannabis and cannabis-related products and the continued growth in the aggregate number of cannabis consumers. Campaigns designed to enhance the potential target company’s brand and attract consumers, subject to restrictions imposed by law, can be expensive and may not result in increased sales. If the potential target company is unable to attract new consumers, it may not be able to increase its sales.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potential target company may have difficulty in forecasting sales and other business metrics.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 potential target cannabis business may rely largely on its own market research to forecast sales as detailed forecasts are not generally obtainable from other sources at this early stage of the cannabis industry. If the potential target business underestimates the demand for its products, it may not be able to produce products that meet its stringent requirements, and this could result in delays in the shipment of products and failure to satisfy demand, as well as damage to reputation and partner relationships. If the potential target business overestimates the demand for its products, it could face inventory levels in excess of demand, which could result in inventory write-downs or write-offs and the sale of excess inventory at discounted prices, which would harm the potential target’s gross margins and brand management efforts.</w:t>
      </w:r>
    </w:p>
    <w:p>
      <w:pPr>
        <w:spacing w:after="0" w:line="17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Due to the nascent nature of the market, it could be difficult for the potential target to forecast demand. In particular, it could be difficult to forecast the rate of the illicit cannabis market crossing over to the legal market. If the market does not develop as the potential target business expects, it could have a material adverse effect on its business, results of operations and financial condition. In addition to inherent risks and difficulties forecasting sales, anticipated costs and yields are also challenging to predict with certainty as the cannabis industry is in its relative infancy and rapidly evolving. If we make capital investments based on flawed sales, costs and yields forecasts, the potential target business may not achieve its expected, or any, return on invested capital. Failure to realize forecasted sales, costs and yields could have a material adverse effect on the potential target’s business, results of operations and financial condition.</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and our customers may have difficulty accessing the service of banks, which may make it difficult to sell products and services.</w:t>
      </w:r>
    </w:p>
    <w:p>
      <w:pPr>
        <w:spacing w:after="0" w:line="237"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Financial transactions involving proceeds generated by cannabis-related conduct can form the basis for prosecution under the federal money laundering statutes, unlicensed money transmitter statute and the U.S. Bank Secrecy Act. Guidance issued by the Financial Crimes Enforcement Network (“FinCen”), a division of the U.S. Department of the Treasury (the “FinCen Memo”), clarifies how financial institutions can provide services to cannabis-related businesses consistent with their obligations under the Bank Secrecy Act. Despite the rescission of memoranda that had de-prioritized the enforcement of federal law against marijuana users and businesses that comply with state marijuana laws, FinCen has not rescinded the FinCen Memo. While this memo appears to be a standalone document and is presumptively still in effect, FinCen could elect to rescind the FinCen Memo at any time. Banks remain hesitant to offer banking services to cannabis-related businesses. Consequently, those businesses involved in the cannabis industry continue to encounter difficulty establishing banking relationships. Our inability to maintain bank accounts would make it difficult for us to operate our business, increase our operating costs, and pose additional operational, logistical and security challenges and could result in our inability to implement our business plan.</w:t>
      </w:r>
    </w:p>
    <w:p>
      <w:pPr>
        <w:spacing w:after="0" w:line="194"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b w:val="1"/>
          <w:bCs w:val="1"/>
          <w:i w:val="1"/>
          <w:iCs w:val="1"/>
          <w:color w:val="auto"/>
        </w:rPr>
        <w:t>The development and operation of businesses in the cannabis industry may require additional financing, which may not be available on favorable terms, if at all.</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Due to the growth in the cannabis industry, the continued development and operation of businesses in the cannabis industry may require additional financing. The failure to raise such capital could result in the delay or indefinite postponement of current business objectives or the cessation of business. There can be no assurance that additional capital or other types of financing will be available if needed or that, if available, the terms of such financing will be favorable.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product liability claims.</w:t>
      </w:r>
    </w:p>
    <w:p>
      <w:pPr>
        <w:spacing w:after="0" w:line="22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If we acquire a target business operating as a manufacturer and distributor of products utilizing cannabis for human consumption, we will face an inherent risk of exposure to product liability claims, regulatory action and litigation if our products are alleged to have caused significant loss or injury. In addition, the manufacture and sale of cannabis products involve the risk of injury to consumers due to tampering by unauthorized third parties or product contamination. Previously unknown adverse reactions resulting from human consumption of cannabis products alone or in combination with other medications or substances could occur. We may be subject to various product liability claims, including, among others, that the products we produced caused injury or illness, include inadequate instructions for use or include inadequate warnings concerning possible side effects or interactions with other substances.</w:t>
      </w:r>
    </w:p>
    <w:p>
      <w:pPr>
        <w:spacing w:after="0" w:line="19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A product liability claim or regulatory action against us could result in increased costs, could adversely affect our reputation with our clients and consumers generally, and could have a material adverse effect on our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spacing w:after="0" w:line="176" w:lineRule="exact"/>
        <w:rPr>
          <w:sz w:val="20"/>
          <w:szCs w:val="20"/>
          <w:color w:val="auto"/>
        </w:rPr>
      </w:pPr>
    </w:p>
    <w:p>
      <w:pPr>
        <w:jc w:val="both"/>
        <w:ind w:left="340" w:right="280"/>
        <w:spacing w:after="0" w:line="263" w:lineRule="auto"/>
        <w:rPr>
          <w:sz w:val="20"/>
          <w:szCs w:val="20"/>
          <w:color w:val="auto"/>
        </w:rPr>
      </w:pPr>
      <w:r>
        <w:rPr>
          <w:rFonts w:ascii="Arial" w:cs="Arial" w:eastAsia="Arial" w:hAnsi="Arial"/>
          <w:sz w:val="18"/>
          <w:szCs w:val="18"/>
          <w:b w:val="1"/>
          <w:bCs w:val="1"/>
          <w:i w:val="1"/>
          <w:iCs w:val="1"/>
          <w:color w:val="auto"/>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spacing w:after="0" w:line="184"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Although we expect to have insurance coverage with respect to the assets and operations of our target business, such insurance coverage will be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We, or the cannabis industry more generally, may receive unfavorable publicity or become subject to negative consumer or investor perception.</w:t>
      </w:r>
    </w:p>
    <w:p>
      <w:pPr>
        <w:spacing w:after="0" w:line="26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including Canada,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the cannabis products of a target business we acquire. Further, adverse publicity reports or other media attention regarding the safety, efficacy and quality of cannabis, or the products of a target business we acquire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ectPr>
          <w:pgSz w:w="11900" w:h="16838" w:orient="portrait"/>
          <w:cols w:equalWidth="0" w:num="1">
            <w:col w:w="11240"/>
          </w:cols>
          <w:pgMar w:left="320" w:top="122"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b w:val="1"/>
          <w:bCs w:val="1"/>
          <w:i w:val="1"/>
          <w:iCs w:val="1"/>
          <w:color w:val="auto"/>
        </w:rPr>
        <w:t>Third parties with whom we do business may perceive themselves as being exposed to reputational risk by virtue of their relationship with us and may ultimately elect not to do business with us.</w:t>
      </w:r>
    </w:p>
    <w:p>
      <w:pPr>
        <w:spacing w:after="0" w:line="170"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If we acquire a target business in the cannabis industry, the parties with which we do business may perceive that they are exposed to reputational risk as a result of our cannabis business activities. Failure to establish or maintain business relationships could have a material adverse effect on us.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reputation and ability to do business may be negatively impacted by the improper conduct of our business partners, employees or agents.</w:t>
      </w:r>
    </w:p>
    <w:p>
      <w:pPr>
        <w:spacing w:after="0" w:line="24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cannot provide assurance that our internal controls and compliance systems will always protect us from acts committed by our employees, agents or business partners in violation of applicable laws and regulations in the jurisdictions in which we conduct operations, including those applicable to businesses in the cannabis industry. Any improper acts or allegations could damage our reputation and subject us to civil or criminal investigations and related shareholder lawsuits, could lead to substantial civil and criminal monetary and non-monetary penalties, and could cause us to incur significant legal and investigatory fees.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regulatory, legal or reputational risk associated with potential misuse of our products by our customers.</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cannot provide assurance that our customers will always use our products in the manner in which we intend. Any misuse of our products by our customers could lead to substantial civil and criminal monetary and non-monetary penalties, and could cause us to incur significant legal and investigatory fees.</w:t>
      </w:r>
    </w:p>
    <w:p>
      <w:pPr>
        <w:spacing w:after="0" w:line="184"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b w:val="1"/>
          <w:bCs w:val="1"/>
          <w:i w:val="1"/>
          <w:iCs w:val="1"/>
          <w:color w:val="auto"/>
        </w:rPr>
        <w:t>A potential target company may not succeed in promoting and sustaining its brands, which could have an adverse effect on its future growth and business.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 critical component of a potential target company’s future growth is its ability to promote and sustain its brands, often achieved by providing a high-quality user experience. An important element of a target company’s brand promotion strategy is establishing a relationship of trust with its consumers. In order to provide a high-quality user experience, a potential target company may need to have invested and continue to invest substantial resources in the development of products, infrastructure, fulfilment and customer service operations. Campaigns designed to enhance a potential target company’s brand and attract consumers, subject to restrictions imposed by law, can be expensive and may not result in increased sales. If a potential target company is unable to attract new customers or its consumers are dissatisfied with the quality of the products sold to them or the customer service they receive and their overall customer experience, it could see a decrease in sales, which could have a material adverse effect on the potential target company’s business, financial condition and results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events or developments in the cannabis industry more generally may impact our reputation.</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Damage to our reputation can result from the actual or perceived occurrence of any number of events, including any negative publicity, whether true or not. If we acquire a target business in the cannabis industry, because cannabis has been commonly associated with various other narcotics, violence and criminal activities, there is a risk that our business might attract negative publicity. There is also a risk that the actions of other companies and service providers and customers in the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activities and the cannabis industry in general, whether true or not.</w:t>
      </w:r>
    </w:p>
    <w:p>
      <w:pPr>
        <w:spacing w:after="0" w:line="19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on our growth prospects.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cannabis industry is subject to the risks inherent in an agricultural business, including the risk of crop failure.</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growing of cannabis is an agricultural process. As such, a target business with operations in the cannabis industry is subject to the risks inherent in the agricultural business, including risks of crop failure presented by weather, insects, plant diseases and similar agricultural risks. Although some cannabis production is conducted indoors under climate controlled conditions, cannabis continues to be grown outdoors and there can be no assurance that artificial or natural elements, such as insects and plant diseases, will not entirely interrupt production activities or have an adverse effect on the production of cannabis and, accordingly, the operations of a potential target business.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cannabis industry is subject to transportation disruptions, including those related to an agricultural product.</w:t>
      </w:r>
    </w:p>
    <w:p>
      <w:pPr>
        <w:spacing w:after="0" w:line="22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As a business revolving mainly around the growth of an agricultural product, the ability to obtain speedy, cost effective and efficient transport services will be essential to the prolonged operations of a potential target cannabis company’s business. Should such transportation become unavailable for prolonged periods of time, it could have a material adverse effect on the potential target company’s business, financial condition and results of operations.</w:t>
      </w:r>
    </w:p>
    <w:p>
      <w:pPr>
        <w:spacing w:after="0" w:line="14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Due to the nature of a potential target cannabis company’s products, security of the product during transportation to and from its facilities may be important. A breach of security during transport or delivery could have a material adverse effect on a potential target company’s business, financial condition and results of operations. Any breach of the security measures during transport or delivery, including any failure to comply with recommendations or requirements of regulatory authorities, could also have an impact on the potential target company’s ability to continue operating under its license or the prospect of renewing its licenses.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Many cannabis businesses are subject to significant environmental regulations and risks.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Participants in the cannabis industry are subject to various environmental regulations in the jurisdictions in which they operate. These regulations may mandate, among other things, the maintenance of air and water quality standards and land reclamation. These regulations may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a potential target business.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Many cannabis businesses are dependent on key personnel with sufficient experience in the cannabis industry.</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success of businesses in the cannabis industry is largely dependent on the performance of their respective management teams and key employees and their continuing ability to attract, develop, motivate and retain highly qualified and skilled employees. Qualified individuals are in high demand, and significant costs may be incurred to attract and retain them. The loss of the services of any key personnel, or an inability to attract other suitably qualified persons when needed, could prevent a business from executing on its business plan and strategy, and the business may be unable to find adequate replacements on a timely basis, or at all.</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are a limited number of management teams in the cannabis industry that are familiar with U.S. securities laws.</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There are a limited number of management teams in the cannabis industry that have U.S. public company experience. As a result, management of a target cannabis business, including any key personnel that it hires in the future, may not be familiar with U.S. securities laws. If such management team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It may be difficult to continuously maintain and retain a competitive talent pool with public company standards.</w:t>
      </w:r>
    </w:p>
    <w:p>
      <w:pPr>
        <w:spacing w:after="0" w:line="22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As a target company grows, it may need to hire additional human resources to continue to develop its businesses. However, experienced talent, including senior management, with public company background in the areas of cannabis research and development, growing cannabis and extraction are difficult to source, and there can be no assurance that the appropriate individuals will be available or affordable.</w:t>
      </w:r>
    </w:p>
    <w:p>
      <w:pPr>
        <w:spacing w:after="0" w:line="16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Without adequate personnel and expertise, the growth of the business may suffer. There can be no assurance that a target company will be able to identify, attract, hire and retain qualified personnel and expertise in the future, and any failure to do so could have a material adverse effect on the business, financial condition or results of operations.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potential target company may be dependent on skilled labor and suppliers.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ability of a potential target business to compete and grow will be dependent on it having access, at a reasonable cost and in a timely manner, to skilled labor, equipment, parts and components. No assurances can be given that the potential target business will be successful in maintaining its required supply of skilled labor, equipment, parts and components. Qualified individuals are in high demand, and the potential target business may incur significant costs to attract and retain them. It is also possible that the final costs of the major equipment and materials, including packaging materials, contemplated by the potential target’s capital expenditure program may be significantly greater than anticipated by the potential target’s management, and may be greater than funds available to the potential target business, in which circumstance the potential target business may curtail, or extend the timeframes for completing, its capital expenditure plans. This could have a material adverse effect on the potential target’s business, financial condition and results of operations.</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Fraudulent or illegal activity by employees, contractors and consultants may adversely affect our business, condition or results of operations.</w:t>
      </w:r>
    </w:p>
    <w:p>
      <w:pPr>
        <w:spacing w:after="0" w:line="24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 potential target business may be exposed to the risk that any of its employees, independent contractors or consultants may engage in fraudulent or other illegal activity. Misconduct by these parties could include intentional, reckless and/or negligent conduct or disclosure of unauthorized activities that violate (i) government regulations, (ii) manufacturing standards, (iii) federal, state and provincial healthcare fraud and abuse laws and regulations, or (iv) laws that require the true, complete and accurate reporting of financial information or data. It may not always be possible for the potential target business to identify and deter misconduct by its employees and other third parties, and the precautions taken by the potential target business to detect and prevent this activity may not be effective in controlling unknown or unmanaged risks or losses or in protecting the potential target business from governmental investigations or other actions or lawsuits stemming from a failure to be in compliance with such laws or regulations. If any such actions are instituted against the potential target business, and it is not successful in defending itself or asserting its rights, those actions could have a significant impact on the business of the potential target business, including the imposition of civil, criminal and administrative penalties, damages, monetary fines, contractual damages, reputational harm, diminished profits and future earnings, and curtailment of the operations of the potential target business, any of which could have a material adverse effect on the potential target’s business, financial condition and results of operations.</w:t>
      </w:r>
    </w:p>
    <w:p>
      <w:pPr>
        <w:spacing w:after="0" w:line="172"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b w:val="1"/>
          <w:bCs w:val="1"/>
          <w:i w:val="1"/>
          <w:iCs w:val="1"/>
          <w:color w:val="auto"/>
        </w:rPr>
        <w:t>A potential target cannabis company may be reliant on key inputs and may not be able to realize its cannabis production or capacity targets. The price of production of cannabis will also vary based on a number of factors outside of our control.</w:t>
      </w:r>
    </w:p>
    <w:p>
      <w:pPr>
        <w:spacing w:after="0" w:line="17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A potential target cannabis company’s ability to produce and process cannabis, and the price of production, may be affected by a number of factors, including available space, raw materials plant design errors, non-performance by third party contractors, increases in materials or labor costs, construction performance falling below expected levels of output or efficiency, environmental pollution, contractor or operator errors, breakdowns, processing bottlenecks, aging or failure of equipment or processes and labor disputes, as well as factors specifically related to indoor agricultural practices, such as reliance on provision of energy and utilities to the facility, and potential impacts of major incidents or catastrophic events on the facility, such as fires, explosions, earthquakes or storms. Any significant interruption or negative change in the availability or economics of the supply chain for key inputs could materially impact the business, financial condition and operating results of a potential target company. Some of these inputs may only be available from a single supplier or a limited group of suppliers, including access to the electricity grid. If a sole source supplier were to go out of business, the target company might be unable to find a replacement for such source in a timely manner or at all. If a sole source supplier were to be acquired by a competitor, that competitor may elect not to sell to the potential target company in the future. Any inability to secure required supplies and services or to do so on appropriate terms could have a materially adverse impact on the business, financial condition, results of operations and prospects of such businesses.</w:t>
      </w:r>
    </w:p>
    <w:p>
      <w:pPr>
        <w:spacing w:after="0" w:line="172"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In addition, the price of production, sale and distribution of cannabis will fluctuate widely due to, among other factors, how young the cannabis industry is and the impact of numerous factors beyond the control of such businesses, including international, economic and political trends, expectations of inflation, currency exchange fluctuations, interest rates, global or regional consumptive patterns, speculative activities and increased production due to new production and distribution developments and improved production and distribution methods.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potential target company may be vulnerable to rising energy costs.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Cannabis growing operations consume considerable energy, which makes a potential target cannabis company vulnerable to rising energy costs and/or the availability of stable energy sources. Accordingly, rising or volatile energy costs or the inability to access stable energy sources may have a material adverse effect on the potential target company’s business, financial condition and results of operations.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 the extent we acquire cannabis businesses or assets, there may be a lack of access to U.S. bankruptcy protections.</w:t>
      </w:r>
    </w:p>
    <w:p>
      <w:pPr>
        <w:spacing w:after="0" w:line="22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Because cannabis is illegal under U.S. federal law, many courts have denied cannabis businesses bankruptcy protections, thus making it very difficult for lenders to recoup their investments in the cannabis industry in the event of a bankruptcy. If a company we acquire as part of a qualifying transaction were to experience a bankruptcy, there is no guarantee that U.S. federal bankruptcy protections would be available, which could have a material adverse effect on the financial condition and prospects of such business and on the rights of its lenders and security holders.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as of December 31, 2021.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4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described elsewhere in this Annual Report on Form 10-K, we have identified a material weakness in our internal control over financial reporting related to the Company’s accounting and reporting of complex financial instruments, including application of ASC 480-10-S99-3A to its accounting classification of public shares. As a result of this material weakness, our management has concluded that our disclosure controls and procedures were not effective as of December 31, 2021. We have taken a number of measures to remediate the material weaknesses described herein. However, if we are unable to remediate our material weaknesses in a timely manner or we identify additional material weaknesses, we may be unable to provide required financial information in a timely and reliable manner and we may incorrectly report financial information. Likewise, if our financial statements are not filed on a timely basis, we could be subject to sanctions or investigations by the stock exchange on which our ordinary shares are listed, the SEC or other regulatory authorities. The existence of material weaknesses in internal control over financial reporting could adversely affect our reputation or investor perceptions of us, which could have a negative effect on the trading price of our shares. We can give no assurance that the measures we have taken and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74"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2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We continue to evaluate steps to remediate the material weakness. These remediation measures may be time consuming and costly and there is no assurance that these initiatives will ultimately have the intended effects.</w:t>
      </w:r>
    </w:p>
    <w:p>
      <w:pPr>
        <w:spacing w:after="0" w:line="18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any measures we may take in the future will be sufficient to avoid potential future material weaknesses.</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Property</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currently maintain our executive offices at 655 Third Avenue, 8th Floor, New York, New York 10017. The cost for the space is included in the up to $10,000 monthly fee that we pay our sponsor for office space, administrative and support services. We consider our current office space adequate for our current operations.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To the knowledge of our management, there is no material litigation, arbitration or governmental proceeding currently pending against us or any members of our management team in their capacity as such.</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Market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units, Class A ordinary shares and warrants are each traded on the Nasdaq under the symbols “TCACU,” “TCAC” and “TCACW,”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units commenced public trading on February 12, 2021. Our Class A ordinary shares and warrants began separate trading on April 5, 2021.</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Holders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On March 9, 2021, there was one holder of record of our units, one holder of record of our Class A ordinary shares, four holders of our Class B ordinary shares and two holders of record of our warrants.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Dividends</w:t>
      </w:r>
    </w:p>
    <w:p>
      <w:pPr>
        <w:spacing w:after="0" w:line="22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Further, if we incur any indebtedness in connection with a business combination, our ability to declare dividends may be limited by restrictive covenants we may agree to in connection therewith.</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Securities Authorized for Issuance Under Equity Compensation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 Performance Graph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 Recent Sales of Unregistered Securities; Use of Proceeds from Registered Offerings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Unregistered Sales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February 2020, our sponsor purchased 5,031,250 Class B ordinary shares, par value $0.0001 (“founder shares”) for an aggregate purchase price of $25,000, or $0.006 per share. In February 2021, our sponsor transferred 50,000 founder shares to Richard Taney, 40,000 founder shares to Jeffrey Bornstein and 40,000 founder shares to Aris Kekedjian for the same per share purchase price paid by our sponsor. On April 5, 2021, in connection with the expiration of the underwriters’ over-allotment option, our sponsor surrendered 31,250 founder shares. On May 18, 2021, Aris Kekedjian transferred 40,000 founder shares to our sponsor pursuant to the terms of his resignation from TCAC’s board of directors, and on August 27, 2021, the sponsor transferred 40,000 founder shares to Michael Finkelman in connection with this appointment to TCAC’s board of directors. As a result, our sponsor now owns 4,870,000 founder shares.</w:t>
      </w:r>
    </w:p>
    <w:p>
      <w:pPr>
        <w:spacing w:after="0" w:line="19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on the first business day following the completion of our initial business combination on a one-for-one basis, subject to certain adjustments. In the case that additional Class A ordinary shares, or equity-linked securities convertible or exercisable for Class A ordinary shares, are issued or deemed issued in excess of the amounts issued in our initial public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our initial public offering plus the number of Class A ordinary shares and equity-linked securities issued or deemed issued in connection with our initial business combination (net of redemptions), excluding the representative shares and any Class A ordinary shares or equity-linked securities issued, or to be issued, to any seller in our initial business combination and any private placement warrants issued to our sponsor, an affiliate of our sponsor or any of our officers or directors.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With certain limited exceptions, the founder shares are not transferable, assignable or salable (except to our officers and directors and other persons or entities affiliated with our sponsor, each of whom are subject to the same transfer restrictions) until the earlier of (A) one year after the completion of our initial business combination or (B) subsequent to our initial business combination, (x) if the last reported sale price of the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w:t>
      </w:r>
    </w:p>
    <w:p>
      <w:pPr>
        <w:spacing w:after="0" w:line="16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sponsor purchased 6,000,000 private placement warrants at a price of $1.00 per warrant in a private placement that occurred concurrently with the closing of our initial public offering and generated gross proceeds of $6,000,000. Each private placement warrant is exercisable for one Class A ordinary share at a price of $11.50 per share. The proceeds from the sale of the private placement warrants were added to the net proceeds from the initial public offering held in the trust account. If we do not complete a business combination by February 17, 2023, the private placement warrants will expire worthless. The private placement warrants are non-redeemable and exercisable on a cashless basis so long as they are held by our sponsor or its permitted transferees. The sale of the private placement warrants was made pursuant to the exemption from registration contained in Section 4(a)(2) of the Securities Act.</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Of the $206,000,000 in proceeds we received from our initial public offering and the sale of the private placement warrants, a total of $200,000,000, including $7,000,000 payable to the underwriter for deferred underwriting commissions, was placed in a U.S.-based trust account maintained by Continental Stock Transfer &amp; Trust Company, acting as trustee.</w:t>
      </w:r>
    </w:p>
    <w:p>
      <w:pPr>
        <w:spacing w:after="0" w:line="18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There has been no material change in the planned use of proceeds from such use as described in the Company’s final prospectus (File No. 333-252484), dated February 11, 2021, which was declared effective by the SEC on February 11, 2021.</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 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discussion and analysis of the Company’s financial condition and results of operations should be read in conjunction with our audited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Annual Report on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blank check company incorporated in the Cayman Islands on January 24, 2020 formed for the purpose of effecting a merger, amalgamation, share exchange, asset acquisition, share purchase, reorganization or similar business combination with one or more businesses. We intend to effectuate our Business Combination using cash derived from the proceeds of the Initial Public Offering and the sale of the Private Placement Warrants, our shares, debt or a combination of cash, shares and debt.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November 8, 2021, Tuatara Capital Acquisition Corporation, a Cayman Islands exempted company (“TCAC”), entered into an Agreement and Plan of Merger (as it may be amended, supplemented or otherwise modified from time to time, the “Merger Agreement”), by and among TCAC, HighJump Merger Sub, Inc., a Delaware corporation (“Merger Sub”), and SpringBig, Inc., a Delaware corporation (“SpringBig”).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Merger Agreement and the transactions contemplated thereby were approved by the boards of directors of each of TCAC and SpringBig.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neither engaged in any operations nor generated any revenues to date. Our only activities from January 24, 2020 (inception) through December 31, 2021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income on investments held in the Trust Account. We incur expenses as a result of being a public company (for legal, financial reporting, accounting and auditing compliance), as well as for due diligence expenses.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2021, we had a net income of $7,707,350, which consists of a change in the fair value of warrant liability of $12,960,000 and interest earned on investments held in the Trust Account of $35,810, offset by transaction costs allocated to warrants of $853,386, compensation expense of $2,400,000 and formation and operating cost of $2,035,074.</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from January 24, 2020 (inception) through December 31, 2020, we had a net loss of $5,064 which consists of formation and operational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17, 2021, we consummated the Initial Public Offering of 20,000,000 units, which includes a partial exercise by the underwriters of their overallotment option in the amount of 2,500,000 Units, at $10.00 per Unit, generating gross proceeds of $200,000,000. Simultaneously with the closing of the Initial Public Offering, we consummated the sale of 6,000,000 Private Placement Warrant at a price of $1.00 per Private Placement Warrant in a private placement to the Sponsor, generating gross proceeds of $6,000,000.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Initial Public Offering, the partial exercise of the over-allotment option, and the sale of the Private Placement Warrants, a total of $200,000,000 was placed in the Trust Account. We incurred $11,766,856 in Initial Public Offering related costs, including $4,000,000 of underwriting fees, $7,000,000 of deferred underwriting fees and $766,856 of other costs.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year ended December 31, 2021, cash used in operating activities was $739,608. Net income of $7,707,350 was affected by interest earned on investments held in the Trust Account of $35,810, a change in the fair value of warrant liability of $12,960,000, compensation expense of ($2,400,000) and transaction costs allocable to warrants ($853,386). Changes in operating assets and liabilities used $1,295,466 of cash for operating activities.</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period from January 24, 2020 (inception) through December 31, 2020, cash used in operating activities was $64. Net loss of $5,064 was offset by formation cost paid by Sponsor in exchange for issuance of founder shares of $5,000.</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2021, we had investments held in the Trust Account of $200,035,810 (including $35,810 of interest income) consisting of securities held in a money market fund that invests in U.S. Treasury securities. We may withdraw interest from the Trust Account to pay taxes, if any. We intend to use substantially all of the funds held in the Trust Account, including any amounts representing interest earned on the Trust Account (less income taxes payable), to complete our Business Combination. To the extent that our share capital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we had cash of $621,472.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8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a Business Combination, the Sponsor, or certain of our officers and directors or their affiliates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consummation of our Business Combination, in which case we may issue additional securities or incur debt in connection with such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Going Concern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until February 17, 2023,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the Company’s ability to continue as a going concern. No adjustments have been made to the carrying amounts of assets or liabilities should the Company be required to liquidate after February 17,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the Sponsor up to $10,000 per month for office space, administrative and support services. Upon completion of a Business Combination or its liquidation, the Company will cease paying these monthly fees.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underwriters are entitled to a deferred fee of $0.35 per Unit, or $7,000,000 in the aggregate. The deferred fee will become payable to the underwriters from the amounts held in the Trust Account solely in the event that the Company completes a Business Combination, subject to the terms of the underwriting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8, 2021, Tuatara Capital Acquisition Corporation (“TCAC”) entered into an Agreement and Plan of Merger (as it may be amended, supplemented or otherwise modified from time to time, the “Merger Agreement”), by and among TCAC, HighJump Merger Sub, Inc., a Delaware corporation (“Merger Sub”), and SpringBig, Inc., a Delaware corporation (“SpringBig”).</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Merger Agreement provides for, among other things, the following transactions on or prior to the closing date: (i) TCAC will become a Delaware corporation (the “Domestication”) and, in connection with the Domestication, (A) TCAC’s name will be changed as mutually agreed to between the parties,</w:t>
      </w:r>
    </w:p>
    <w:p>
      <w:pPr>
        <w:jc w:val="both"/>
        <w:ind w:firstLine="8"/>
        <w:spacing w:after="0" w:line="252" w:lineRule="auto"/>
        <w:tabs>
          <w:tab w:leader="none" w:pos="2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then-issued and outstanding TCAC Class A Ordinary Share will convert automatically, on a one-for-one basis, into one share of common stock of TCAC (the “New SpringBig Common Stock”), (C) each then-issued and outstanding TCAC Class B Ordinary Share will convert automatically, on a one-for-one basis, into one share of New SpringBig Common Stock, and (D) each then-issued and outstanding common warrant of TCAC will convert automatically, on a one-for-one basis, into a warrant to purchase one share of New SpringBig Common Stock; and (ii) following the Domestication, Merger Sub will merge with and into SpringBig, with SpringBig as the surviving company in the merger and, after giving effect to such merger, continuing as a wholly-owned subsidiary of TCAC (the “Merger”).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Business Combination is expected to close in mid-2022, following the receipt of the required approval by TCAC’s shareholders, required regulatory approvals and the fulfillment of other customary closing conditions.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the terms and subject to the conditions of the Merger Agreement, based on an implied equity value of $245 million, (i) each share of SpringBig common stock (other than dissenting shares) will be canceled and converted into the right to receive the applicable portion of the merger consideration comprised of New SpringBig Common Stock, as determined in the Merger Agreement (the “Share Conversion Ratio”), and (ii) vested and unvested options of SpringBig outstanding and unexercised immediately prior to the effective time of the Merger will convert into comparable options that are exercisable for shares of New SpringBig Common Stock, with a value determined in accordance with the Share Conversion Ratio.</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the aggregate consideration payable to the SpringBig’s securityholders pursuant to the Merger Agreement, holders of SpringBig’s common stock (including those holders of converted preferred stock of SpringBig) and holders of options of SpringBig’s common stock will also have the right to receive their pro rata portion of up to an aggregate of 9,000,000 shares of New SpringBig Common Stock (“Contingent Shares”) if any of the following stock price conditions are met: (i) 5,500,000 Contingent Shares if the closing price of New SpringBig Common Stock equals or exceeds $12.00 per share (as adjusted for share splits, share dividends, reorganizations, and recapitalizations) on any twenty (20) trading days in a thirty (30)-trading-day period at any time after the closing date and by the third anniversary of the closing date; (ii) 2,250,000 Contingent Shares if the closing price of New SpringBig Common Stock equals or exceeds $15.00 per share (as adjusted for share splits, share dividends, reorganizations, and recapitalizations) on any twenty (20) trading days in a thirty (30)-trading-day period at any time after the closing date and by the third anniversary of the closing date; and (iii) 1,250,000 Contingent Shares if the closing price of the New SpringBig Common Stock equals or exceeds $18.00 per share (as adjusted for share splits, share dividends, reorganizations, and recapitalizations) on any twenty (20) trading days in a thirty (30)-trading-day period at any time after the closing date and by the third anniversary of the closing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Financing (Private Placement)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signing of the Merger Agreement, TCAC entered into subscription agreements (the “Subscription Agreements”) with certain investors (the “PIPE Investors”). Pursuant to the Subscription Agreements, the PIPE Investors agreed to subscribe for and purchase, and TCAC agreed to issue and sell to such investors, on the closing date, an aggregate of 1,310,000 shares of New SpringBig Common Stock for a purchase price of $10.00 per share, for aggregate gross proceeds of $13,100,000 (the “PIPE Financing”).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 Agreement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12, 2021 TCAC entered into an agreement (the “Agreement”) with Cantor Fitzgerald &amp; Co. (“CF&amp;CO) to act as a capital markets advisor in connection with the proposed business combination (the “Business Combination”) with SpringBig, Inc. CF&amp;CO acknowledges that the Company may engage additional advisors in the same capacity (together with CF&amp;CO, the “Capital Markets Advisors”), provided that CF&amp;CO will be the “lead” capital markets advisor and CF&amp;CO shall not be responsible for the actions or inactions of any other capital markets advisor. In consideration of our services pursuant to this Agreement, the Company agrees to pay CF&amp;CO a fee of $5,000,000 (the “Advisory Fee”) upon the consummation of the Business Combination (“Closing”). $2,000,000 of the Advisory Fee shall be payable in cash, and the remainder of the Advisory Fee (“Redemption Dependent Portion”) payable in cash and common stock of the Company (“Common Stock”), with the portions of each to depend on the final amount of redemptions from the Company’s trust account established for the benefit of the Company’s public stockholders (the “Trust Account”) in connection with the Business Combination.</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Subsequent to the Agreement, TCAC entered into a second agreement (“Second Agreement”) with Cantor Fitzgerald &amp; Co. (“CF&amp;CO) to receive one or more financing(s) through the private placement, offering or other sale of equity instruments in any form, including, without limitation, (i) equity instruments in any form, including, without limitation, preferred or common equity, or instruments convertible into preferred or common equity or other related forms of interests or capital of the Company in one or a series of transactions (an “Equity Financing”) and (ii) debt in any form, including, but not limited to, bank debt, high yield debt or mezzanine debt, notes, bonds, debentures or other debt securities, of the Company in one transaction or a series of transactions (a “Debt Financing” and any Equity Financing or Debt Financing, (a “Financing”), in the cases of (i) and (ii), in connection with the business combination contemplated by the Agreement and Plan of Merger between the Company and SpringBig, Inc., dated as of November 8, 2021 (the “Business Combination,” and such agreement, the “Merger Agreement”). The Company hereby engages CF&amp;CO to act as the Company’s financial advisor, placement agent and arranger in connection with any Financing for the Business Combination. In consideration of our services pursuant to this Second Agreement, the Company agrees to pay CF&amp;CO the following compensation: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980" w:hanging="324"/>
        <w:spacing w:after="0" w:line="25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the closing of any Financing (which is contemplated to fund and close concurrently with the closing of the Business Combination), the Company shall pay to CF&amp;CO a non-refundable cash fee equal to 4% of the aggregate maximum gross proceeds received or receivable in connection with such Financing, including, without limitation, aggregate amounts committed by investors to purchase securities, whether or not all securities are issued on the closing date of the Equity Financing.</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no event shall the aggregate amount of the fees payable to CF&amp;CO pursuant to this section 3 be less than $1,500,000.</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fees payable pursuant to this section 3 shall be in addition to any other fees that the Company may be required to pay directly to any prospective investor to secure its financing commitment.</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avoidance of doubt, if the structure of a Financing contemplates multiple issuances, financing availability that is contingent upon the occurrence of some future event or any other delayed consideration structure, such Financing shall be considered a single Financing, and not multiple Financings, and all fees payable pursuant to this section 3 for such Financing shall be payable in full on the closing date of such Financing.</w:t>
      </w:r>
    </w:p>
    <w:p>
      <w:pPr>
        <w:spacing w:after="0" w:line="18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fees payable hereunder will be payable in U.S. dollars in immediately available funds to CF&amp;CO for its own account, or as directed by it, free and clear of and without deduction for any and all present or future applicable taxes, levies, imposts, deductions, charges or withholdings and all liabilities with respect thereto (with appropriate gross-up for withholding taxes) and will not be subject to reduction by way of setoff or counterclaim. Once paid, no fee will be refundable under any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the warrants issued in connection with our Initial Public Offering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 for our ordinary shares subject to possible conversion in accordance with the guidance in Accounting Standards Codification (“ASC”) Topic 480 “Distinguishing Liabilities from Equity.” Ordinary shares subject to mandatory redemption are classified as a liability instrument and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ordinary shares feature certain redemption rights that are considered to be outside of our control and subject to occurrence of uncertain future events. Accordingly, ordinary shares subject to possible redemption are presented at redemption value as temporary equity, outside of the shareholders’ equity section of our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Ordinary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(loss) per ordinary share is computed by dividing net loss by the weighted average number of ordinary shares outstanding during the period. We have two classes of shares, which are referred to as Class A ordinary shares and Class B ordinary shares. Income and losses are shared pro rata between the two classes of shares. Accretion associated with the redeemable shares of Class A ordinary shares is excluded from earnings per share as the redemption value approximates fair value.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We are currently assessing the impact, if any, that ASU 2020-06 would have on our financial position, results of operations or cash flows.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appears following Item 15 of this Report and is included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required by Rules 13a-15 and 15d-15 under the Exchange Act, our Chief Executive Officer and Chief Financial Officer carried out an evaluation of the effectiveness of the design and operation of our disclosure controls and procedures as of December 31, 2021. Based on this evaluation, our Chief Executive Officer and Chief Financial Officer have concluded that our disclosure controls and procedures were not effective, due solely to the material weakness in our internal control over financial reporting related to the Company’s accounting for complex financial instruments. As a result, we performed additional analysis as deemed necessary to ensure that our financial statements were prepared in accordance with U.S. generally accepted accounting principles. Accordingly, management believes that the financial statements included in this Form 10-K present fairly in all material respects our financial position, results of operations and cash flows for the period presented.</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intends to implement remediation steps to improve our disclosure controls and procedures and our internal control over financial reporting. Specifically, we intend to expand and improve our review process for complex securities and related accounting standards. We have improved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have identified two material weaknesses in our internal controls related to the accounting for complex financial instruments, one affecting only the period ended March 31, 2021 and the second affecting (i) the audited balance sheet as of February 17, 2021, (ii) the period ended March 31, 2021 and (iii) the period ended June 30, 2021 ((i), (ii) and (iii) together, the “Affected Periods”).</w:t>
      </w:r>
    </w:p>
    <w:p>
      <w:pPr>
        <w:sectPr>
          <w:pgSz w:w="11900" w:h="16838" w:orient="portrait"/>
          <w:cols w:equalWidth="0" w:num="1">
            <w:col w:w="11240"/>
          </w:cols>
          <w:pgMar w:left="320" w:top="122"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First, we previously accounted for our outstanding public warrants and private placement warrants (collectively, with the public warrants, the “warrants”) issued in connection with our initial public offering as components of equity instead of as derivative liabilities. On April 12, 2021, the Acting Director of the Division of Corporation Finance and Acting Chief Accountant of the Securities and Exchange Commission together issued a statement regarding the accounting and reporting considerations for warrants issued by special purpose acquisition companies entitled “Staff Statement on Accounting and Reporting Considerations for Warrants Issued by Special Purpose Acquisition Companies. Following this issuance of this statement, our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such event is not an input to the fair value of the warrant. Based on management’s evaluation, after consultation with our independent registered public accounting firm, our management and our audit committee concluded that we should have classified the warrants as derivative liabilities in our previously issued financial statement. As a result, we identified a material weakness in our internal controls over financial reporting for the period ended March 31, 2021.</w:t>
      </w:r>
    </w:p>
    <w:p>
      <w:pPr>
        <w:spacing w:after="0" w:line="18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Second, management determined that we had improperly valued our Class A ordinary shares subject to possible redemption. We previously determined the Class A ordinary shares subject to possible redemption to be equal to the redemption value of $10.00 per Class A ordinary share, while also taking into consideration that a redemption cannot result in net tangible assets being less than $5,000,001. Management determined that the public shares underlying the units issued during the initial public offering can be redeemed or become redeemable subject to the occurrence of future events considered outside the Company’s control. Therefore, management concluded that temporary equity should include all Class A ordinary shares subject to possible redemption, resulting in the Class A ordinary shares subject to possible redemption being equal to their redemption value. As a result, on December 2, 2021, Tuatara’s audit committee concluded that the balance sheet and the financial statements for the Affected Periods, as applicable, should be restated to report all Class A ordinary shares issued as part of the units sold in Tuatara’s initial public offering as temporary equity rather than as permanent equity. In light of the restatement of Tuatara’s financial statements for these periods, our management and our audit committee concluded that we identified a material weakness in our internal controls over financial reporting.</w:t>
      </w:r>
    </w:p>
    <w:p>
      <w:pPr>
        <w:spacing w:after="0" w:line="185"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To address these material weaknesses, management has devoted, and plans to continue to devote, significant effort and resources to the remediation and improvement of our internal control over financial reporting. While we have processes to identify and appropriately apply applicable accounting requirements, we plan to enhance these processes to better evaluate our research and understanding of the nuances of the complex accounting standards that apply to our financial statements. We have provided enhanced access to accounting literature, research materials and documents and increased communication among our personnel and third-party professionals with whom we consult regarding complex accounting applications. We have also expanded and improved our review process for complex securities and related accounting standards. We plan to further improve this process by consideration of additional staff with the requisite experience and training to supplement existing accounting professionals. These remediation measures may be time consuming and costly and there is no assurance that these initiatives will ultimately have the intended effects. The elements of our remediation plan can only be accomplished over time, and we can offer no assurance that these initiatives will ultimately have the intended effects. To date, we have not incurred any significant costs with respect to our remediation plans, nor do we expect to incur any significant costs in connection therewith.</w:t>
      </w:r>
    </w:p>
    <w:p>
      <w:pPr>
        <w:spacing w:after="0" w:line="18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53"/>
        </w:trPr>
        <w:tc>
          <w:tcPr>
            <w:tcW w:w="5320" w:type="dxa"/>
            <w:vAlign w:val="bottom"/>
            <w:gridSpan w:val="2"/>
          </w:tcPr>
          <w:p>
            <w:pPr>
              <w:ind w:left="2360"/>
              <w:spacing w:after="0"/>
              <w:rPr>
                <w:sz w:val="20"/>
                <w:szCs w:val="20"/>
                <w:color w:val="auto"/>
              </w:rPr>
            </w:pPr>
            <w:r>
              <w:rPr>
                <w:rFonts w:ascii="Arial" w:cs="Arial" w:eastAsia="Arial" w:hAnsi="Arial"/>
                <w:sz w:val="18"/>
                <w:szCs w:val="18"/>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4"/>
                <w:szCs w:val="24"/>
                <w:color w:val="auto"/>
              </w:rPr>
            </w:pPr>
          </w:p>
        </w:tc>
        <w:tc>
          <w:tcPr>
            <w:tcW w:w="5140" w:type="dxa"/>
            <w:vAlign w:val="bottom"/>
          </w:tcPr>
          <w:p>
            <w:pPr>
              <w:ind w:left="226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Albert Foreman</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Mark Zittman</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5260" w:type="dxa"/>
            <w:vAlign w:val="bottom"/>
            <w:gridSpan w:val="2"/>
          </w:tcPr>
          <w:p>
            <w:pPr>
              <w:ind w:left="120"/>
              <w:spacing w:after="0"/>
              <w:rPr>
                <w:sz w:val="20"/>
                <w:szCs w:val="20"/>
                <w:color w:val="auto"/>
              </w:rPr>
            </w:pPr>
            <w:r>
              <w:rPr>
                <w:rFonts w:ascii="Arial" w:cs="Arial" w:eastAsia="Arial" w:hAnsi="Arial"/>
                <w:sz w:val="18"/>
                <w:szCs w:val="18"/>
                <w:color w:val="auto"/>
              </w:rPr>
              <w:t>Chief Operating Officer and Director</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Sergey Sherman</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Financial Officer</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Jeffrey Bornstein</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52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Finkelman</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5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Richard Taney</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5260" w:type="dxa"/>
            <w:vAlign w:val="bottom"/>
            <w:gridSpan w:val="2"/>
          </w:tcPr>
          <w:p>
            <w:pPr>
              <w:ind w:left="120"/>
              <w:spacing w:after="0"/>
              <w:rPr>
                <w:sz w:val="20"/>
                <w:szCs w:val="20"/>
                <w:color w:val="auto"/>
              </w:rPr>
            </w:pPr>
            <w:r>
              <w:rPr>
                <w:rFonts w:ascii="Arial" w:cs="Arial" w:eastAsia="Arial" w:hAnsi="Arial"/>
                <w:sz w:val="18"/>
                <w:szCs w:val="18"/>
                <w:color w:val="auto"/>
              </w:rPr>
              <w:t>Director and Chairman</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directors and executive officers are as follows:</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b w:val="1"/>
          <w:bCs w:val="1"/>
          <w:i w:val="1"/>
          <w:iCs w:val="1"/>
          <w:color w:val="auto"/>
        </w:rPr>
        <w:t xml:space="preserve">Albert Foreman </w:t>
      </w:r>
      <w:r>
        <w:rPr>
          <w:rFonts w:ascii="Arial" w:cs="Arial" w:eastAsia="Arial" w:hAnsi="Arial"/>
          <w:sz w:val="17"/>
          <w:szCs w:val="17"/>
          <w:color w:val="auto"/>
        </w:rPr>
        <w:t>has served as a member of board of directors and as our Chief Executive Officer since our inception. Mr. Foreman has over 20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professional experience in private equity, corporate finance, financial technology and a broad range of transaction experience that includes the origination, structuring and execution of debt, equity and M&amp;A transactions globally as both a principal and an agent. Mr. Foreman co-founded Tuatara Capital in 2014 and currently acts as Managing Partner and Chief Investment Officer, in which roles he is responsible for formulating Tuatara’s macro-investment strategy and for the structuring and oversight of portfolio investments. Prior to co-founding Tuatara, Mr. Foreman was a Managing Director at Highbridge Principal Strategies, LLC (“Highbridge”), an alternative investment management firm. Before Highbridge, he worked as a Managing Director in J.P. Morgan’s Financial Sponsors Group and he joined the bank as Managing Director and founding member of the management team for the J.P. Morgan Private Equity Fund Services business. Prior to his time at J.P. Morgan, Mr. Foreman was a financial technology executive at Vitech Systems Group and Virtual Growth Incorporated, and he began his career as a Management Associate in Citigroup’s Private Bank, where he co-founded Citibank’s Professional Sports Group. Academically, Mr. Foreman earned a B.S. in Finance from the University of Connecticut, a J.D. from the Sandra Day O’Connor College of Law at Arizona State University, and an MBA from Arizona State University’s W.P. Carey School of Business. We believe Mr. Foreman’s experience in private equity investing, transaction execution and the cannabis sector makes him well qualified to serve as a member of our board of directors.</w:t>
      </w:r>
    </w:p>
    <w:p>
      <w:pPr>
        <w:spacing w:after="0" w:line="18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Mark Zittman </w:t>
      </w:r>
      <w:r>
        <w:rPr>
          <w:rFonts w:ascii="Arial" w:cs="Arial" w:eastAsia="Arial" w:hAnsi="Arial"/>
          <w:sz w:val="16"/>
          <w:szCs w:val="16"/>
          <w:color w:val="auto"/>
        </w:rPr>
        <w:t>has served as a member of our board of directors and as our Chief Operating Officer since our inception. Mr. Zittman has over 35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professional experience with most of that time having been spent in structured finance and private investments. Mark's experience centered around 2 areas: sales, account management, structuring and execution of structured products in fixed income. Additionally he has spent the last 20 years Investing in private equity transactions which lead him to become a General Partner and co-founder of Tuatara Capital in 2014 (for which he recently became a senior advisor). For more than six years, he led the firm's fundraising activity, deal generation and driving the co-investment process, as well as acting as the General Partners' representative on the Limited Partner Advisory Committee. Prior to co-founding Tuatara, Mr. Zittman spent over 15 years as Senior Managing Director in Guggenheim Partners Capital Markets Group, providing customized services to hedge funds, mutual funds, insurance companies and other financial institutions. Before Guggenheim, Mr. Zittman spent three years at Greenwich Capital and specialized in structured products and other fixed income securities after working at Morgan Stanley in mortgage- and asset-backed securities and Kidder Peabody in their mortgage-backed securities sales department. Mr. Zittman began his Wall Street tenure at Merrill Lynch in their Fixed Income Futures and Options Group and prior to Wall Street, worked at Electronic Data Systems (“EDS”) in their Accounting and Financial Development training (AFD) program. At EDS, Mr. Zittman worked in a variety of finance and accounting roles in various locations in the United States and Europe after earning his B.S. in Business Administration from the University of Florida and an MBA in Finance and Marketing from Columbia Business School. We believe Mr. Zittman's experience in private investments and deal generation in the cannabis sector makes him well qualified to serve as a member of our board of directors.</w:t>
      </w:r>
    </w:p>
    <w:p>
      <w:pPr>
        <w:spacing w:after="0" w:line="17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b w:val="1"/>
          <w:bCs w:val="1"/>
          <w:i w:val="1"/>
          <w:iCs w:val="1"/>
          <w:color w:val="auto"/>
        </w:rPr>
        <w:t xml:space="preserve">Sergey Sherman </w:t>
      </w:r>
      <w:r>
        <w:rPr>
          <w:rFonts w:ascii="Arial" w:cs="Arial" w:eastAsia="Arial" w:hAnsi="Arial"/>
          <w:sz w:val="18"/>
          <w:szCs w:val="18"/>
          <w:color w:val="auto"/>
        </w:rPr>
        <w:t>has served as our Chief Financial Officer since our inception. Mr. Sherman brings over 20 years of professional experience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banking and finance with expertise in private equity, mergers and acquisitions, leveraged finance and credit. Mr. Sherman joined Tuatara Capital in 2019 and as Managing Director - Investments is responsible for all aspects of the investment process including origination, transaction structuring, due diligence, financing and portfolio management. Prior to Tuatara, Mr. Sherman was a Managing Director at Société Générale’s investment banking group in the U.S. and was previously in the financial sponsors groups at RBC Capital Markets and J.P. Morgan. Prior to investment banking, he was an executive in the business development/mergers and acquisitions group at GE Capital. Mr. Sherman started his career as a nuclear submarine officer in the U.S. Navy. Mr. Sherman has a B.S. in Electrical Engineering from Carnegie Mellon University and holds an MBA from The George Washington University.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b w:val="1"/>
          <w:bCs w:val="1"/>
          <w:i w:val="1"/>
          <w:iCs w:val="1"/>
          <w:color w:val="auto"/>
        </w:rPr>
        <w:t xml:space="preserve">Jeffrey Bornstein </w:t>
      </w:r>
      <w:r>
        <w:rPr>
          <w:rFonts w:ascii="Arial" w:cs="Arial" w:eastAsia="Arial" w:hAnsi="Arial"/>
          <w:sz w:val="17"/>
          <w:szCs w:val="17"/>
          <w:color w:val="auto"/>
        </w:rPr>
        <w:t>has served as a member of our board of directors since our initial public offering. Mr. Bornstein brings more than 30 years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corporate and investing leadership roles to our board, including as Vice Chairman and Chief Financial Officer at GE. Mr. Bornstein is presently Managing Partner of Generation Capital Partners, a private investment fund that targets small and mid-sized companies, and Managing Partner of Whipstick Ventures, LLC, an advisory firm focused on investing in and advising early stage companies. Prior to serving as Vice Chairman and CFO of General Electric from 2013 to 2017, Mr. Bornstein served in various capacities throughout GE, including as SVP and CFO of GE Capital from 2009 to 2013, SVP and CFO of GE Capital Commercial Finance from 2002 to 2008, CFO of GE Plastics from 2000 to 2002, CFO of GE Aircraft Engine Services from 1996 to 1999, Executive Audit Manager - GE Audit Staff from 1992 to 1996, and a participant of GE’s Financial Management Program from 1989 to 1992. Mr. Bornstein also currently serves as a director of several private companies including Adaptiiv Grow Technologies, Greene Lyon Group and Collegiate Sports Management Group. Mr. Bornstein graduated with a B.S. in Business from Northeastern University in 1989. We believe Mr. Bornstein’s experience in corporate and investing leadership roles makes him well qualified to serve as a director.</w:t>
      </w:r>
    </w:p>
    <w:p>
      <w:pPr>
        <w:spacing w:after="0" w:line="18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b w:val="1"/>
          <w:bCs w:val="1"/>
          <w:i w:val="1"/>
          <w:iCs w:val="1"/>
          <w:color w:val="auto"/>
        </w:rPr>
        <w:t xml:space="preserve">Michael Finkelman </w:t>
      </w:r>
      <w:r>
        <w:rPr>
          <w:rFonts w:ascii="Arial" w:cs="Arial" w:eastAsia="Arial" w:hAnsi="Arial"/>
          <w:sz w:val="17"/>
          <w:szCs w:val="17"/>
          <w:color w:val="auto"/>
        </w:rPr>
        <w:t>has served as a member of our board of directors since August 27, 2021. Mr. Finkelman has been at Societe Generale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Director since 2006, serving in various leadership roles within the Americas, starting with the founding and developing of the Leverage Finance business. In 2009, Mr. Finkelman assumed additional responsibility for the Telecom, Media and Technology banking activity and in 2018 was named head of the newly-created Investment Banking Division, encompassing Leverage Finance, Debt Capital Markets, Equity Capital Markets, M&amp;A, and Acquisition Finance (includes corporate and ratings advisory). Mr. Finkelman is also Chairman of the Leverage Lending Committee, which has oversight responsibility for all leveraged lending in Societe Generale Americas, and is a member of the Executive Committee of the bank’s GLBA (Global Lending Banking Activity) Americas business. Prior to Societe Generale, Mr. Finkelman served as Managing Director within the Merchant Banking Group of BNP Paribas, having been a founding member of the activity when created in 1989 at BNP (the predecessor to BNP Paribas). Prior to BNP Paribas, Mr. Finkelman worked within the Credit team, with a focus on leveraged financings, at Swiss Bank Corporation from 1986 to 1989 and before that, worked for MetLife Insurance Company as a Financial Analyst since 1985. Mr. Finkelman received his Bachelor of Science degree from SUNY at Albany in 1985 and his MBA from The Stern School of Business, New York University in 1991. We believe Mr. Finkelman’s experience in corporate and banking leadership roles makes him well qualified to serve as a director.</w:t>
      </w:r>
    </w:p>
    <w:p>
      <w:pPr>
        <w:spacing w:after="0" w:line="17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b w:val="1"/>
          <w:bCs w:val="1"/>
          <w:i w:val="1"/>
          <w:iCs w:val="1"/>
          <w:color w:val="auto"/>
        </w:rPr>
        <w:t xml:space="preserve">Richard Taney </w:t>
      </w:r>
      <w:r>
        <w:rPr>
          <w:rFonts w:ascii="Arial" w:cs="Arial" w:eastAsia="Arial" w:hAnsi="Arial"/>
          <w:sz w:val="17"/>
          <w:szCs w:val="17"/>
          <w:color w:val="auto"/>
        </w:rPr>
        <w:t>has been a member and the chairman of our board of directors since our inception. From 2017 to 2019 Mr. Taney was a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Tuatara Capital and he currently is a senior advisor to the firm. From its founding in 2010 until 2016, Mr. Taney was the President, Chief Executive Officer and a board member of Curaleaf, Inc., which is a multi-state operator in the U.S. cannabis industry. Curaleaf, Inc. currently produces and/or dispenses cannabinoid-based products in twenty-three states. Since 2019, Mr. Taney has also served on the board of directors of Greenlane Holdings, Inc., a distributor of smoking accessories to the cannabis and tobacco industries. Richard earned a Bachelor of Arts degree from Tufts University and a Juris Doctor from the Temple University School of Law. Mr. Taney brings to our board of directors professional experience in public and private finance, executive management, operations and his expertise in the cannabis industry. We believe Mr. Taney’s experience in the cannabis sector and investing activities makes him well qualified to serve as a member of our board of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Terms of Office and Election of Officers and Directors</w:t>
      </w:r>
    </w:p>
    <w:p>
      <w:pPr>
        <w:spacing w:after="0" w:line="22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Our board of directors consists of five members. Our board of directors is divided into two classes, with only one class of directors being appointed in each year, and with each class (except for those directors appointed prior to our first annual general meeting) serving a two-year term. The term of office of the first class of directors will expire at our first annual general meeting. The term of office of the second class of directors will expire at our second annual general meeting. We may not hold an annual general meeting until after we consummate our initial business combination (unless required by Nasdaq). Subject to any other special rights applicable to the shareholders, any vacancies on our board of directors may be filled by the affirmative vote of a majority of the directors present and voting at the meeting of our board or by a majority of the holders of our ordinary shares (or, prior to our initial business combination, holders of our founder shares).</w:t>
      </w:r>
    </w:p>
    <w:p>
      <w:pPr>
        <w:spacing w:after="0" w:line="19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officers are elected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provides that our officers may consist of a Chairman, a Chief Executive Officer, a President, a Chief Operating Officer, a Chief Financial Officer, Vice Presidents, a Secretary, Assistant Secretaries, a Treasurer and such other offices as may be determined by the board of directors.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Nasdaq listing standards require that a majority of our board of directors be independent within one year of our initial public offering.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Jeffrey Bornstein, Michael Finkelman and Richard Taney are “independent directors” as defined in the Nasdaq listing standards and applicable SEC rules. Our independent directors have regularly scheduled meetings at which only independent directors are present.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None of our executive officers or directors have received or, prior to our initial business combination, will receive any cash compensation for services rendered to us. We pay our sponsor up to $10,000 per month for office space, administrative and support services. Our sponsor, officers and directors, or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 Any such payments prior to an initial business combination will be made using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their respective affiliates, prior to completion of our initial business combination.</w:t>
      </w:r>
    </w:p>
    <w:p>
      <w:pPr>
        <w:spacing w:after="0" w:line="18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management or other compensation from the combined company. All compensation will be fully disclosed to shareholders, to the extent then known, in the tender offer materials or proxy solicitation materials furnished to our shareholders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spacing w:after="0" w:line="17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completion of our initial business combination should be a determining factor in our decision to proceed with any potential business combination.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of directors has three standing committees: an audit committee in compliance with Section 3(a)(58)(A) of the Exchange Act, a compensation committee and a nominating committee, each comprised of independent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established an audit committee of the board of directors. Jeffrey Bornstein, Michael Finkelman and Richard Taney serve as members of our audit committee. Michael Finkelman serves as chairman of the audit committee. Each member of the audit committee is financially literate and our board of directors has determined that Michael Finkelman qualifies as an “audit committee financial expert” as defined in applicable SEC rules and has accounting or related financial management expertise.</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is responsible for:</w:t>
      </w:r>
    </w:p>
    <w:p>
      <w:pPr>
        <w:spacing w:after="0" w:line="225" w:lineRule="exact"/>
        <w:rPr>
          <w:sz w:val="20"/>
          <w:szCs w:val="20"/>
          <w:color w:val="auto"/>
        </w:rPr>
      </w:pPr>
    </w:p>
    <w:p>
      <w:pPr>
        <w:jc w:val="both"/>
        <w:ind w:left="660" w:right="58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w:t>
      </w:r>
    </w:p>
    <w:p>
      <w:pPr>
        <w:spacing w:after="0" w:line="18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and any other independent registered public accounting firm engaged by us;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registered public accounting firm or any other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line="27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71" w:lineRule="exact"/>
        <w:rPr>
          <w:rFonts w:ascii="Arial" w:cs="Arial" w:eastAsia="Arial" w:hAnsi="Arial"/>
          <w:sz w:val="17"/>
          <w:szCs w:val="17"/>
          <w:color w:val="auto"/>
        </w:rPr>
      </w:pPr>
    </w:p>
    <w:p>
      <w:pPr>
        <w:ind w:left="660" w:right="2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registered public accounting firm, including reviewing our specific disclosures under “Management’s Discussion and Analysis of Financial Condition and Results of Operations”;</w:t>
      </w:r>
    </w:p>
    <w:p>
      <w:pPr>
        <w:spacing w:after="0" w:line="18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ind w:left="660" w:right="60" w:hanging="328"/>
        <w:spacing w:after="0" w:line="27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have established a compensation committee of our board of directors. The members of our compensation committee are Jeffrey Bornstein, Michael Finkelman and Richard Taney. Jeffrey Bornstein serves as chairman of the compensation committee.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spacing w:after="0" w:line="225" w:lineRule="exact"/>
        <w:rPr>
          <w:sz w:val="20"/>
          <w:szCs w:val="20"/>
          <w:color w:val="auto"/>
        </w:rPr>
      </w:pPr>
    </w:p>
    <w:p>
      <w:pPr>
        <w:ind w:left="660" w:right="1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spacing w:after="0" w:line="183"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charter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have established a nominating committee of our board of directors. The members of our nominating committee are Jeffrey Bornstein, Michael Finkelman and Richard Taney. Richard Taney serves as chairman of the nominating committee.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a nominating committee charter, which details the purpose and responsibilities of the nominating committee, including: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80" w:hanging="328"/>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identifying, screening and reviewing individuals qualified to serve as directors, consistent with criteria approved by the board, and recommending to the board of directors candidates for nomination for appointment at the annual general meeting or to fill vacancies on the board of directors;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charter also provides that the nominating committee may, in its sole discretion, retain or obtain the advice of, and terminate, any search firm to be used to identify director candidates, and will be directly responsible for approving the search firm’s fees and other retention terms.</w:t>
      </w:r>
    </w:p>
    <w:p>
      <w:pPr>
        <w:spacing w:after="0" w:line="14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w:t>
      </w:r>
      <w:r>
        <w:rPr>
          <w:rFonts w:ascii="Arial" w:cs="Arial" w:eastAsia="Arial" w:hAnsi="Arial"/>
          <w:sz w:val="18"/>
          <w:szCs w:val="18"/>
          <w:color w:val="231F20"/>
        </w:rPr>
        <w:t>shareholders. Prior</w:t>
      </w:r>
      <w:r>
        <w:rPr>
          <w:rFonts w:ascii="Arial" w:cs="Arial" w:eastAsia="Arial" w:hAnsi="Arial"/>
          <w:sz w:val="18"/>
          <w:szCs w:val="18"/>
          <w:color w:val="auto"/>
        </w:rPr>
        <w:t xml:space="preserve"> </w:t>
      </w:r>
      <w:r>
        <w:rPr>
          <w:rFonts w:ascii="Arial" w:cs="Arial" w:eastAsia="Arial" w:hAnsi="Arial"/>
          <w:sz w:val="18"/>
          <w:szCs w:val="18"/>
          <w:color w:val="231F20"/>
        </w:rPr>
        <w:t>to our initial business combination, holders of our public shares will not have the right to recommend director candidates for nomination to our board of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r>
        <w:rPr>
          <w:rFonts w:ascii="Arial" w:cs="Arial" w:eastAsia="Arial" w:hAnsi="Arial"/>
          <w:sz w:val="29"/>
          <w:szCs w:val="29"/>
          <w:b w:val="1"/>
          <w:bCs w:val="1"/>
          <w:color w:val="auto"/>
          <w:vertAlign w:val="superscript"/>
        </w:rPr>
        <w:t>4</w:t>
      </w:r>
    </w:p>
    <w:p>
      <w:pPr>
        <w:spacing w:after="0" w:line="11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 of directors.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r>
        <w:rPr>
          <w:rFonts w:ascii="Arial" w:cs="Arial" w:eastAsia="Arial" w:hAnsi="Arial"/>
          <w:sz w:val="29"/>
          <w:szCs w:val="29"/>
          <w:b w:val="1"/>
          <w:bCs w:val="1"/>
          <w:color w:val="auto"/>
          <w:vertAlign w:val="superscript"/>
        </w:rPr>
        <w:t>5</w:t>
      </w:r>
    </w:p>
    <w:p>
      <w:pPr>
        <w:spacing w:after="0" w:line="112" w:lineRule="exact"/>
        <w:rPr>
          <w:sz w:val="20"/>
          <w:szCs w:val="20"/>
          <w:color w:val="auto"/>
        </w:rPr>
      </w:pPr>
    </w:p>
    <w:p>
      <w:pPr>
        <w:jc w:val="both"/>
        <w:ind w:right="240" w:firstLine="324"/>
        <w:spacing w:after="0" w:line="311" w:lineRule="auto"/>
        <w:rPr>
          <w:sz w:val="20"/>
          <w:szCs w:val="20"/>
          <w:color w:val="auto"/>
        </w:rPr>
      </w:pPr>
      <w:r>
        <w:rPr>
          <w:rFonts w:ascii="Arial" w:cs="Arial" w:eastAsia="Arial" w:hAnsi="Arial"/>
          <w:sz w:val="16"/>
          <w:szCs w:val="16"/>
          <w:color w:val="auto"/>
        </w:rPr>
        <w:t>Section 16(a) of the Exchange Act requires our officers, directors and persons who beneficially own more than ten percent of our ordinary shares to file reports of ownership and changes in ownership with the SEC. These reporting persons are also required to furnish us with copies of all Section 16(a) forms they file. Based solely upon a review of such forms, we believe that during the year ended December 31, 2021, there were no delinquent filers.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adopted a Code of Ethics applicable to our directors, officers and employees. A copy of the Code of Ethics is available on our website. Our Code of Ethics is a “code of ethics,” as defined in Item 406(b) of Regulation S-K. We will make any legally required disclosures regarding amendments to, or waivers of, provisions of our Code of Ethics on our website.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7830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6" w:lineRule="exact"/>
        <w:rPr>
          <w:sz w:val="20"/>
          <w:szCs w:val="20"/>
          <w:color w:val="auto"/>
        </w:rPr>
      </w:pPr>
    </w:p>
    <w:p>
      <w:pPr>
        <w:ind w:left="120" w:hanging="112"/>
        <w:spacing w:after="0"/>
        <w:tabs>
          <w:tab w:leader="none" w:pos="120"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NTD: To confirm.</w:t>
      </w:r>
    </w:p>
    <w:p>
      <w:pPr>
        <w:spacing w:after="0" w:line="1" w:lineRule="exact"/>
        <w:rPr>
          <w:rFonts w:ascii="Arial" w:cs="Arial" w:eastAsia="Arial" w:hAnsi="Arial"/>
          <w:sz w:val="30"/>
          <w:szCs w:val="30"/>
          <w:color w:val="auto"/>
          <w:vertAlign w:val="superscript"/>
        </w:rPr>
      </w:pPr>
    </w:p>
    <w:p>
      <w:pPr>
        <w:spacing w:after="0"/>
        <w:rPr>
          <w:rFonts w:ascii="Arial" w:cs="Arial" w:eastAsia="Arial" w:hAnsi="Arial"/>
          <w:sz w:val="30"/>
          <w:szCs w:val="30"/>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NTD: To confirm.</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25" w:lineRule="exact"/>
        <w:rPr>
          <w:sz w:val="20"/>
          <w:szCs w:val="20"/>
          <w:color w:val="auto"/>
        </w:rPr>
      </w:pPr>
    </w:p>
    <w:p>
      <w:pPr>
        <w:jc w:val="both"/>
        <w:ind w:right="380" w:firstLine="324"/>
        <w:spacing w:after="0" w:line="31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14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As set out above, directors have a duty not to put themselves in a position of conflict and this includes a duty not to engage in self-dealing, or to otherwise benefit as a result of their position at the expense of the company.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15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also be aware of the following potential conflicts of interest:</w:t>
      </w:r>
    </w:p>
    <w:p>
      <w:pPr>
        <w:spacing w:after="0" w:line="225" w:lineRule="exact"/>
        <w:rPr>
          <w:sz w:val="20"/>
          <w:szCs w:val="20"/>
          <w:color w:val="auto"/>
        </w:rPr>
      </w:pPr>
    </w:p>
    <w:p>
      <w:pPr>
        <w:ind w:left="660" w:righ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70"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that may be appropriate for presentation to us as well as the other entities with which they are affiliated. Our management may have conflicts of interest in determining to which entity a particular business opportunity should be presented.</w:t>
      </w:r>
    </w:p>
    <w:p>
      <w:pPr>
        <w:spacing w:after="0" w:line="183" w:lineRule="exact"/>
        <w:rPr>
          <w:rFonts w:ascii="Arial" w:cs="Arial" w:eastAsia="Arial" w:hAnsi="Arial"/>
          <w:sz w:val="18"/>
          <w:szCs w:val="18"/>
          <w:color w:val="auto"/>
        </w:rPr>
      </w:pPr>
    </w:p>
    <w:p>
      <w:pPr>
        <w:ind w:left="660" w:hanging="328"/>
        <w:spacing w:after="0" w:line="285"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initial shareholders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Additionally, our initial shareholders have agreed to waive their redemption rights with respect to their founder shares if we fail to consummate our initial business combination by February 17, 2023. However, if our initial shareholders or any of our officers, directors or affiliates acquire public shares, they will be entitled to liquidating distributions from the trust account with respect to such public shares if we fail to consummate our initial business combination within the prescribed time frame.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shareholders until the earlier of (1) one year after the completion of our initial business combination and (2) subsequent to our initial business combination, (x)if the last reported sale price of our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on which we consummate a liquidation, merger, amalgamation, share exchange, reorganization, or other similar transaction that results in all of our shareholders having the right to exchange their ordinary shares for cash, securities or other property. With certain limited exceptions, the private placement warrants and the Class A ordinary shares underlying such warrants, will not be transferable, assignable or salable by our sponsor until 30 days after the completion of our initial business combination. Since our sponsor and officers and directors may directly or indirectly own ordinary shares and warrants, our officers and directors may have a conflict of interest in determining whether a particular target business is an appropriate business with which to effectuate our initial business combination.</w:t>
      </w:r>
    </w:p>
    <w:p>
      <w:pPr>
        <w:spacing w:after="0" w:line="171" w:lineRule="exact"/>
        <w:rPr>
          <w:rFonts w:ascii="Arial" w:cs="Arial" w:eastAsia="Arial" w:hAnsi="Arial"/>
          <w:sz w:val="16"/>
          <w:szCs w:val="16"/>
          <w:color w:val="auto"/>
        </w:rPr>
      </w:pPr>
    </w:p>
    <w:p>
      <w:pPr>
        <w:jc w:val="both"/>
        <w:ind w:left="660" w:right="320" w:hanging="328"/>
        <w:spacing w:after="0" w:line="28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table summarizing the entities to which our officers and directors currently have fiduciary duties or contractual obligations:</w:t>
      </w:r>
      <w:r>
        <w:rPr>
          <w:rFonts w:ascii="Arial" w:cs="Arial" w:eastAsia="Arial" w:hAnsi="Arial"/>
          <w:sz w:val="29"/>
          <w:szCs w:val="29"/>
          <w:color w:val="auto"/>
          <w:vertAlign w:val="superscript"/>
        </w:rPr>
        <w:t>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700" w:type="dxa"/>
            <w:vAlign w:val="bottom"/>
          </w:tcPr>
          <w:p>
            <w:pPr>
              <w:spacing w:after="0"/>
              <w:rPr>
                <w:sz w:val="20"/>
                <w:szCs w:val="20"/>
                <w:color w:val="auto"/>
              </w:rPr>
            </w:pPr>
            <w:r>
              <w:rPr>
                <w:rFonts w:ascii="Arial" w:cs="Arial" w:eastAsia="Arial" w:hAnsi="Arial"/>
                <w:sz w:val="18"/>
                <w:szCs w:val="18"/>
                <w:color w:val="auto"/>
              </w:rPr>
              <w:t>Individual</w:t>
            </w:r>
          </w:p>
        </w:tc>
        <w:tc>
          <w:tcPr>
            <w:tcW w:w="120" w:type="dxa"/>
            <w:vAlign w:val="bottom"/>
          </w:tcPr>
          <w:p>
            <w:pPr>
              <w:spacing w:after="0"/>
              <w:rPr>
                <w:sz w:val="22"/>
                <w:szCs w:val="22"/>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Entity</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Entity’s Business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Affiliation</w:t>
            </w:r>
          </w:p>
        </w:tc>
      </w:tr>
      <w:tr>
        <w:trPr>
          <w:trHeight w:val="195"/>
        </w:trPr>
        <w:tc>
          <w:tcPr>
            <w:tcW w:w="2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Albert Foreman</w:t>
            </w:r>
          </w:p>
        </w:tc>
        <w:tc>
          <w:tcPr>
            <w:tcW w:w="1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Tuatara Capital, L.P.</w:t>
            </w:r>
          </w:p>
        </w:tc>
        <w:tc>
          <w:tcPr>
            <w:tcW w:w="12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Private equity firm focused on</w:t>
            </w:r>
          </w:p>
        </w:tc>
        <w:tc>
          <w:tcPr>
            <w:tcW w:w="120" w:type="dxa"/>
            <w:vAlign w:val="bottom"/>
            <w:tcBorders>
              <w:top w:val="single" w:sz="8" w:color="CCEEFF"/>
            </w:tcBorders>
            <w:shd w:val="clear" w:color="auto" w:fill="CCEEFF"/>
          </w:tcPr>
          <w:p>
            <w:pPr>
              <w:spacing w:after="0"/>
              <w:rPr>
                <w:sz w:val="16"/>
                <w:szCs w:val="16"/>
                <w:color w:val="auto"/>
              </w:rPr>
            </w:pPr>
          </w:p>
        </w:tc>
        <w:tc>
          <w:tcPr>
            <w:tcW w:w="2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Managing Partner, Chief Investment</w:t>
            </w:r>
          </w:p>
        </w:tc>
      </w:tr>
      <w:tr>
        <w:trPr>
          <w:trHeight w:val="216"/>
        </w:trPr>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cannabis and related health and</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Officer</w:t>
            </w:r>
          </w:p>
        </w:tc>
      </w:tr>
      <w:tr>
        <w:trPr>
          <w:trHeight w:val="230"/>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wellness industries</w:t>
            </w: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02"/>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GCH, Inc.</w:t>
            </w: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2"/>
              </w:rPr>
              <w:t>Specialized IP development company</w:t>
            </w:r>
          </w:p>
        </w:tc>
        <w:tc>
          <w:tcPr>
            <w:tcW w:w="28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Member of Compensation</w:t>
            </w: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focused on cannabis brands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Committee</w:t>
            </w:r>
          </w:p>
        </w:tc>
      </w:tr>
      <w:tr>
        <w:trPr>
          <w:trHeight w:val="202"/>
        </w:trPr>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Willow Biosciences Inc.</w:t>
            </w:r>
          </w:p>
        </w:tc>
        <w:tc>
          <w:tcPr>
            <w:tcW w:w="29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Biotech company focused on</w:t>
            </w:r>
          </w:p>
        </w:tc>
        <w:tc>
          <w:tcPr>
            <w:tcW w:w="28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Member of Compensation</w:t>
            </w:r>
          </w:p>
        </w:tc>
      </w:tr>
      <w:tr>
        <w:trPr>
          <w:trHeight w:val="216"/>
        </w:trPr>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pharmaceutical products derived from</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Committee</w:t>
            </w:r>
          </w:p>
        </w:tc>
      </w:tr>
      <w:tr>
        <w:trPr>
          <w:trHeight w:val="230"/>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cannabis</w:t>
            </w: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02"/>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w w:val="94"/>
              </w:rPr>
              <w:t>Teewinot Life Sciences Corporation</w:t>
            </w: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4"/>
              </w:rPr>
              <w:t>Cannabinoid production company for</w:t>
            </w:r>
          </w:p>
        </w:tc>
        <w:tc>
          <w:tcPr>
            <w:tcW w:w="28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Chairman</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consumer and pharmaceutical</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products</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02"/>
        </w:trPr>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Green Dot Labs</w:t>
            </w:r>
          </w:p>
        </w:tc>
        <w:tc>
          <w:tcPr>
            <w:tcW w:w="29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Cannabis cultivation and extraction</w:t>
            </w:r>
          </w:p>
        </w:tc>
        <w:tc>
          <w:tcPr>
            <w:tcW w:w="28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company</w:t>
            </w: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NS Holdings LLC</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Investment firm</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02"/>
        </w:trPr>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CanAscen Group</w:t>
            </w:r>
          </w:p>
        </w:tc>
        <w:tc>
          <w:tcPr>
            <w:tcW w:w="29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Distributor of recreational use</w:t>
            </w:r>
          </w:p>
        </w:tc>
        <w:tc>
          <w:tcPr>
            <w:tcW w:w="28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marijuana in Canada</w:t>
            </w: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02"/>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Sumapaz Enterprises</w:t>
            </w: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Producer of medicant cannabis in</w:t>
            </w:r>
          </w:p>
        </w:tc>
        <w:tc>
          <w:tcPr>
            <w:tcW w:w="28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Colombia</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02"/>
        </w:trPr>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Green Flower Media</w:t>
            </w:r>
          </w:p>
        </w:tc>
        <w:tc>
          <w:tcPr>
            <w:tcW w:w="29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Cannabis media and education</w:t>
            </w:r>
          </w:p>
        </w:tc>
        <w:tc>
          <w:tcPr>
            <w:tcW w:w="28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company</w:t>
            </w: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Hana Meds</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Distributor of cannabis in Arizona</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02"/>
        </w:trPr>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Parent Company</w:t>
            </w:r>
          </w:p>
        </w:tc>
        <w:tc>
          <w:tcPr>
            <w:tcW w:w="29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Retailer and producer of cannabis</w:t>
            </w:r>
          </w:p>
        </w:tc>
        <w:tc>
          <w:tcPr>
            <w:tcW w:w="28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brands</w:t>
            </w: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Mark Zittman</w:t>
            </w:r>
          </w:p>
        </w:tc>
        <w:tc>
          <w:tcPr>
            <w:tcW w:w="1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Tuatara Capital, L.P.</w:t>
            </w: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Private equity firm focused on</w:t>
            </w:r>
          </w:p>
        </w:tc>
        <w:tc>
          <w:tcPr>
            <w:tcW w:w="28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Co-Founder, Senior advisor</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cannabis and related health and</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wellness industries</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02"/>
        </w:trPr>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GCH, Inc.</w:t>
            </w:r>
          </w:p>
        </w:tc>
        <w:tc>
          <w:tcPr>
            <w:tcW w:w="29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Specialized IP development company</w:t>
            </w:r>
          </w:p>
        </w:tc>
        <w:tc>
          <w:tcPr>
            <w:tcW w:w="28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focused on cannabis brands</w:t>
            </w: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Sergey Sherman</w:t>
            </w:r>
          </w:p>
        </w:tc>
        <w:tc>
          <w:tcPr>
            <w:tcW w:w="1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Tuatara Capital, L.P.</w:t>
            </w: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Private equity firm focused on</w:t>
            </w:r>
          </w:p>
        </w:tc>
        <w:tc>
          <w:tcPr>
            <w:tcW w:w="28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Managing Director - Investments</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cannabis and related health and</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wellness industries</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02"/>
        </w:trPr>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Hana Meds</w:t>
            </w:r>
          </w:p>
        </w:tc>
        <w:tc>
          <w:tcPr>
            <w:tcW w:w="29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Distributor of cannabis in Arizona</w:t>
            </w:r>
          </w:p>
        </w:tc>
        <w:tc>
          <w:tcPr>
            <w:tcW w:w="28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Member of Compensation</w:t>
            </w:r>
          </w:p>
        </w:tc>
      </w:tr>
      <w:tr>
        <w:trPr>
          <w:trHeight w:val="230"/>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Committee</w:t>
            </w: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Jeffrey Bornstein</w:t>
            </w:r>
          </w:p>
        </w:tc>
        <w:tc>
          <w:tcPr>
            <w:tcW w:w="1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Generation Capital Partners</w:t>
            </w: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8"/>
              </w:rPr>
              <w:t>Private investment fund that targets</w:t>
            </w:r>
          </w:p>
        </w:tc>
        <w:tc>
          <w:tcPr>
            <w:tcW w:w="28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Managing Partner</w:t>
            </w: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small and mid-sized companies</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02"/>
        </w:trPr>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Whipstick Ventures LLC</w:t>
            </w:r>
          </w:p>
        </w:tc>
        <w:tc>
          <w:tcPr>
            <w:tcW w:w="29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Advisory firm focused on investing in</w:t>
            </w:r>
          </w:p>
        </w:tc>
        <w:tc>
          <w:tcPr>
            <w:tcW w:w="28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Managing Partner</w:t>
            </w:r>
          </w:p>
        </w:tc>
      </w:tr>
      <w:tr>
        <w:trPr>
          <w:trHeight w:val="230"/>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and advising early stage companies</w:t>
            </w: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02"/>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line="201" w:lineRule="exact"/>
              <w:rPr>
                <w:sz w:val="20"/>
                <w:szCs w:val="20"/>
                <w:color w:val="auto"/>
              </w:rPr>
            </w:pPr>
            <w:r>
              <w:rPr>
                <w:rFonts w:ascii="Arial" w:cs="Arial" w:eastAsia="Arial" w:hAnsi="Arial"/>
                <w:sz w:val="18"/>
                <w:szCs w:val="18"/>
                <w:color w:val="auto"/>
              </w:rPr>
              <w:t>AlloVir</w:t>
            </w:r>
          </w:p>
        </w:tc>
        <w:tc>
          <w:tcPr>
            <w:tcW w:w="292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9"/>
              </w:rPr>
              <w:t>Biotech company focused on T-cell</w:t>
            </w:r>
          </w:p>
        </w:tc>
        <w:tc>
          <w:tcPr>
            <w:tcW w:w="28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Director and Chair of the Audit</w:t>
            </w: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immunotherapies</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Committee</w:t>
            </w:r>
          </w:p>
        </w:tc>
      </w:tr>
      <w:tr>
        <w:trPr>
          <w:trHeight w:val="317"/>
        </w:trPr>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60"/>
        </w:trPr>
        <w:tc>
          <w:tcPr>
            <w:tcW w:w="2700" w:type="dxa"/>
            <w:vAlign w:val="bottom"/>
          </w:tcPr>
          <w:p>
            <w:pPr>
              <w:spacing w:after="0"/>
              <w:rPr>
                <w:sz w:val="20"/>
                <w:szCs w:val="20"/>
                <w:color w:val="auto"/>
              </w:rPr>
            </w:pPr>
            <w:r>
              <w:rPr>
                <w:rFonts w:ascii="Arial" w:cs="Arial" w:eastAsia="Arial" w:hAnsi="Arial"/>
                <w:sz w:val="29"/>
                <w:szCs w:val="29"/>
                <w:color w:val="auto"/>
                <w:w w:val="97"/>
                <w:vertAlign w:val="superscript"/>
              </w:rPr>
              <w:t>6</w:t>
            </w:r>
            <w:r>
              <w:rPr>
                <w:rFonts w:ascii="Arial" w:cs="Arial" w:eastAsia="Arial" w:hAnsi="Arial"/>
                <w:sz w:val="18"/>
                <w:szCs w:val="18"/>
                <w:color w:val="auto"/>
                <w:w w:val="97"/>
              </w:rPr>
              <w:t xml:space="preserve"> NTD: TCAC/directors to confirm.</w:t>
            </w: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9"/>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920" w:type="dxa"/>
            <w:vAlign w:val="bottom"/>
            <w:gridSpan w:val="2"/>
          </w:tcPr>
          <w:p>
            <w:pPr>
              <w:ind w:left="40"/>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6"/>
        </w:trPr>
        <w:tc>
          <w:tcPr>
            <w:tcW w:w="2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shd w:val="clear" w:color="auto" w:fill="CCEEFF"/>
          </w:tcPr>
          <w:p>
            <w:pPr>
              <w:spacing w:after="0"/>
              <w:rPr>
                <w:sz w:val="17"/>
                <w:szCs w:val="17"/>
                <w:color w:val="auto"/>
              </w:rPr>
            </w:pPr>
          </w:p>
        </w:tc>
        <w:tc>
          <w:tcPr>
            <w:tcW w:w="3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Adaptiiv Grow Technologies</w:t>
            </w:r>
          </w:p>
        </w:tc>
        <w:tc>
          <w:tcPr>
            <w:tcW w:w="31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Manufacturer of commercial growth</w:t>
            </w:r>
          </w:p>
        </w:tc>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194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3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systems</w:t>
            </w:r>
          </w:p>
        </w:tc>
        <w:tc>
          <w:tcPr>
            <w:tcW w:w="2800" w:type="dxa"/>
            <w:vAlign w:val="bottom"/>
            <w:shd w:val="clear" w:color="auto" w:fill="CCEEFF"/>
          </w:tcPr>
          <w:p>
            <w:pPr>
              <w:spacing w:after="0"/>
              <w:rPr>
                <w:sz w:val="20"/>
                <w:szCs w:val="20"/>
                <w:color w:val="auto"/>
              </w:rPr>
            </w:pPr>
          </w:p>
        </w:tc>
      </w:tr>
      <w:tr>
        <w:trPr>
          <w:trHeight w:val="202"/>
        </w:trPr>
        <w:tc>
          <w:tcPr>
            <w:tcW w:w="1940" w:type="dxa"/>
            <w:vAlign w:val="bottom"/>
          </w:tcPr>
          <w:p>
            <w:pPr>
              <w:spacing w:after="0"/>
              <w:rPr>
                <w:sz w:val="17"/>
                <w:szCs w:val="17"/>
                <w:color w:val="auto"/>
              </w:rPr>
            </w:pPr>
          </w:p>
        </w:tc>
        <w:tc>
          <w:tcPr>
            <w:tcW w:w="3400" w:type="dxa"/>
            <w:vAlign w:val="bottom"/>
          </w:tcPr>
          <w:p>
            <w:pPr>
              <w:ind w:left="880"/>
              <w:spacing w:after="0" w:line="201" w:lineRule="exact"/>
              <w:rPr>
                <w:sz w:val="20"/>
                <w:szCs w:val="20"/>
                <w:color w:val="auto"/>
              </w:rPr>
            </w:pPr>
            <w:r>
              <w:rPr>
                <w:rFonts w:ascii="Arial" w:cs="Arial" w:eastAsia="Arial" w:hAnsi="Arial"/>
                <w:sz w:val="18"/>
                <w:szCs w:val="18"/>
                <w:color w:val="auto"/>
              </w:rPr>
              <w:t>Collegiate Sports Management</w:t>
            </w:r>
          </w:p>
        </w:tc>
        <w:tc>
          <w:tcPr>
            <w:tcW w:w="3100" w:type="dxa"/>
            <w:vAlign w:val="bottom"/>
          </w:tcPr>
          <w:p>
            <w:pPr>
              <w:ind w:left="300"/>
              <w:spacing w:after="0" w:line="201" w:lineRule="exact"/>
              <w:rPr>
                <w:sz w:val="20"/>
                <w:szCs w:val="20"/>
                <w:color w:val="auto"/>
              </w:rPr>
            </w:pPr>
            <w:r>
              <w:rPr>
                <w:rFonts w:ascii="Arial" w:cs="Arial" w:eastAsia="Arial" w:hAnsi="Arial"/>
                <w:sz w:val="18"/>
                <w:szCs w:val="18"/>
                <w:color w:val="auto"/>
              </w:rPr>
              <w:t>Collegiate sports management</w:t>
            </w:r>
          </w:p>
        </w:tc>
        <w:tc>
          <w:tcPr>
            <w:tcW w:w="2800" w:type="dxa"/>
            <w:vAlign w:val="bottom"/>
          </w:tcPr>
          <w:p>
            <w:pPr>
              <w:ind w:left="12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1940" w:type="dxa"/>
            <w:vAlign w:val="bottom"/>
          </w:tcPr>
          <w:p>
            <w:pPr>
              <w:spacing w:after="0"/>
              <w:rPr>
                <w:sz w:val="20"/>
                <w:szCs w:val="20"/>
                <w:color w:val="auto"/>
              </w:rPr>
            </w:pPr>
          </w:p>
        </w:tc>
        <w:tc>
          <w:tcPr>
            <w:tcW w:w="3400" w:type="dxa"/>
            <w:vAlign w:val="bottom"/>
          </w:tcPr>
          <w:p>
            <w:pPr>
              <w:ind w:left="880"/>
              <w:spacing w:after="0"/>
              <w:rPr>
                <w:sz w:val="20"/>
                <w:szCs w:val="20"/>
                <w:color w:val="auto"/>
              </w:rPr>
            </w:pPr>
            <w:r>
              <w:rPr>
                <w:rFonts w:ascii="Arial" w:cs="Arial" w:eastAsia="Arial" w:hAnsi="Arial"/>
                <w:sz w:val="18"/>
                <w:szCs w:val="18"/>
                <w:color w:val="auto"/>
              </w:rPr>
              <w:t>Group</w:t>
            </w:r>
          </w:p>
        </w:tc>
        <w:tc>
          <w:tcPr>
            <w:tcW w:w="3100" w:type="dxa"/>
            <w:vAlign w:val="bottom"/>
          </w:tcPr>
          <w:p>
            <w:pPr>
              <w:ind w:left="300"/>
              <w:spacing w:after="0"/>
              <w:rPr>
                <w:sz w:val="20"/>
                <w:szCs w:val="20"/>
                <w:color w:val="auto"/>
              </w:rPr>
            </w:pPr>
            <w:r>
              <w:rPr>
                <w:rFonts w:ascii="Arial" w:cs="Arial" w:eastAsia="Arial" w:hAnsi="Arial"/>
                <w:sz w:val="18"/>
                <w:szCs w:val="18"/>
                <w:color w:val="auto"/>
              </w:rPr>
              <w:t>company</w:t>
            </w:r>
          </w:p>
        </w:tc>
        <w:tc>
          <w:tcPr>
            <w:tcW w:w="2800" w:type="dxa"/>
            <w:vAlign w:val="bottom"/>
          </w:tcPr>
          <w:p>
            <w:pPr>
              <w:spacing w:after="0"/>
              <w:rPr>
                <w:sz w:val="20"/>
                <w:szCs w:val="20"/>
                <w:color w:val="auto"/>
              </w:rPr>
            </w:pPr>
          </w:p>
        </w:tc>
      </w:tr>
      <w:tr>
        <w:trPr>
          <w:trHeight w:val="202"/>
        </w:trPr>
        <w:tc>
          <w:tcPr>
            <w:tcW w:w="1940" w:type="dxa"/>
            <w:vAlign w:val="bottom"/>
            <w:shd w:val="clear" w:color="auto" w:fill="CCEEFF"/>
          </w:tcPr>
          <w:p>
            <w:pPr>
              <w:spacing w:after="0"/>
              <w:rPr>
                <w:sz w:val="17"/>
                <w:szCs w:val="17"/>
                <w:color w:val="auto"/>
              </w:rPr>
            </w:pPr>
          </w:p>
        </w:tc>
        <w:tc>
          <w:tcPr>
            <w:tcW w:w="3400" w:type="dxa"/>
            <w:vAlign w:val="bottom"/>
            <w:shd w:val="clear" w:color="auto" w:fill="CCEEFF"/>
          </w:tcPr>
          <w:p>
            <w:pPr>
              <w:ind w:left="880"/>
              <w:spacing w:after="0" w:line="201" w:lineRule="exact"/>
              <w:rPr>
                <w:sz w:val="20"/>
                <w:szCs w:val="20"/>
                <w:color w:val="auto"/>
              </w:rPr>
            </w:pPr>
            <w:r>
              <w:rPr>
                <w:rFonts w:ascii="Arial" w:cs="Arial" w:eastAsia="Arial" w:hAnsi="Arial"/>
                <w:sz w:val="18"/>
                <w:szCs w:val="18"/>
                <w:color w:val="auto"/>
              </w:rPr>
              <w:t>Greene Lyon Group</w:t>
            </w:r>
          </w:p>
        </w:tc>
        <w:tc>
          <w:tcPr>
            <w:tcW w:w="31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2"/>
              </w:rPr>
              <w:t>Company focused on precious metals</w:t>
            </w:r>
          </w:p>
        </w:tc>
        <w:tc>
          <w:tcPr>
            <w:tcW w:w="28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194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3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recycling</w:t>
            </w:r>
          </w:p>
        </w:tc>
        <w:tc>
          <w:tcPr>
            <w:tcW w:w="2800" w:type="dxa"/>
            <w:vAlign w:val="bottom"/>
            <w:shd w:val="clear" w:color="auto" w:fill="CCEEFF"/>
          </w:tcPr>
          <w:p>
            <w:pPr>
              <w:spacing w:after="0"/>
              <w:rPr>
                <w:sz w:val="20"/>
                <w:szCs w:val="20"/>
                <w:color w:val="auto"/>
              </w:rPr>
            </w:pPr>
          </w:p>
        </w:tc>
      </w:tr>
      <w:tr>
        <w:trPr>
          <w:trHeight w:val="216"/>
        </w:trPr>
        <w:tc>
          <w:tcPr>
            <w:tcW w:w="1940" w:type="dxa"/>
            <w:vAlign w:val="bottom"/>
          </w:tcPr>
          <w:p>
            <w:pPr>
              <w:spacing w:after="0"/>
              <w:rPr>
                <w:sz w:val="18"/>
                <w:szCs w:val="18"/>
                <w:color w:val="auto"/>
              </w:rPr>
            </w:pPr>
          </w:p>
        </w:tc>
        <w:tc>
          <w:tcPr>
            <w:tcW w:w="3400" w:type="dxa"/>
            <w:vAlign w:val="bottom"/>
          </w:tcPr>
          <w:p>
            <w:pPr>
              <w:ind w:left="880"/>
              <w:spacing w:after="0"/>
              <w:rPr>
                <w:sz w:val="20"/>
                <w:szCs w:val="20"/>
                <w:color w:val="auto"/>
              </w:rPr>
            </w:pPr>
            <w:r>
              <w:rPr>
                <w:rFonts w:ascii="Arial" w:cs="Arial" w:eastAsia="Arial" w:hAnsi="Arial"/>
                <w:sz w:val="18"/>
                <w:szCs w:val="18"/>
                <w:color w:val="auto"/>
              </w:rPr>
              <w:t>Northeastern University</w:t>
            </w:r>
          </w:p>
        </w:tc>
        <w:tc>
          <w:tcPr>
            <w:tcW w:w="3100" w:type="dxa"/>
            <w:vAlign w:val="bottom"/>
          </w:tcPr>
          <w:p>
            <w:pPr>
              <w:ind w:left="300"/>
              <w:spacing w:after="0"/>
              <w:rPr>
                <w:sz w:val="20"/>
                <w:szCs w:val="20"/>
                <w:color w:val="auto"/>
              </w:rPr>
            </w:pPr>
            <w:r>
              <w:rPr>
                <w:rFonts w:ascii="Arial" w:cs="Arial" w:eastAsia="Arial" w:hAnsi="Arial"/>
                <w:sz w:val="18"/>
                <w:szCs w:val="18"/>
                <w:color w:val="auto"/>
              </w:rPr>
              <w:t>University (not-for-profit)</w:t>
            </w:r>
          </w:p>
        </w:tc>
        <w:tc>
          <w:tcPr>
            <w:tcW w:w="2800" w:type="dxa"/>
            <w:vAlign w:val="bottom"/>
          </w:tcPr>
          <w:p>
            <w:pPr>
              <w:ind w:left="120"/>
              <w:spacing w:after="0"/>
              <w:rPr>
                <w:sz w:val="20"/>
                <w:szCs w:val="20"/>
                <w:color w:val="auto"/>
              </w:rPr>
            </w:pPr>
            <w:r>
              <w:rPr>
                <w:rFonts w:ascii="Arial" w:cs="Arial" w:eastAsia="Arial" w:hAnsi="Arial"/>
                <w:sz w:val="18"/>
                <w:szCs w:val="18"/>
                <w:color w:val="auto"/>
              </w:rPr>
              <w:t>Trustee</w:t>
            </w:r>
          </w:p>
        </w:tc>
      </w:tr>
      <w:tr>
        <w:trPr>
          <w:trHeight w:val="216"/>
        </w:trPr>
        <w:tc>
          <w:tcPr>
            <w:tcW w:w="19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Richard Taney</w:t>
            </w:r>
          </w:p>
        </w:tc>
        <w:tc>
          <w:tcPr>
            <w:tcW w:w="3400" w:type="dxa"/>
            <w:vAlign w:val="bottom"/>
          </w:tcPr>
          <w:p>
            <w:pPr>
              <w:ind w:left="880"/>
              <w:spacing w:after="0" w:line="201" w:lineRule="exact"/>
              <w:rPr>
                <w:sz w:val="20"/>
                <w:szCs w:val="20"/>
                <w:color w:val="auto"/>
              </w:rPr>
            </w:pPr>
            <w:r>
              <w:rPr>
                <w:rFonts w:ascii="Arial" w:cs="Arial" w:eastAsia="Arial" w:hAnsi="Arial"/>
                <w:sz w:val="18"/>
                <w:szCs w:val="18"/>
                <w:color w:val="auto"/>
              </w:rPr>
              <w:t>Tuatara Capital, L.P.</w:t>
            </w:r>
          </w:p>
        </w:tc>
        <w:tc>
          <w:tcPr>
            <w:tcW w:w="3100" w:type="dxa"/>
            <w:vAlign w:val="bottom"/>
          </w:tcPr>
          <w:p>
            <w:pPr>
              <w:ind w:left="300"/>
              <w:spacing w:after="0" w:line="201" w:lineRule="exact"/>
              <w:rPr>
                <w:sz w:val="20"/>
                <w:szCs w:val="20"/>
                <w:color w:val="auto"/>
              </w:rPr>
            </w:pPr>
            <w:r>
              <w:rPr>
                <w:rFonts w:ascii="Arial" w:cs="Arial" w:eastAsia="Arial" w:hAnsi="Arial"/>
                <w:sz w:val="18"/>
                <w:szCs w:val="18"/>
                <w:color w:val="auto"/>
              </w:rPr>
              <w:t>Private equity firm focused on</w:t>
            </w:r>
          </w:p>
        </w:tc>
        <w:tc>
          <w:tcPr>
            <w:tcW w:w="2800" w:type="dxa"/>
            <w:vAlign w:val="bottom"/>
          </w:tcPr>
          <w:p>
            <w:pPr>
              <w:ind w:left="120"/>
              <w:spacing w:after="0" w:line="201" w:lineRule="exact"/>
              <w:rPr>
                <w:sz w:val="20"/>
                <w:szCs w:val="20"/>
                <w:color w:val="auto"/>
              </w:rPr>
            </w:pPr>
            <w:r>
              <w:rPr>
                <w:rFonts w:ascii="Arial" w:cs="Arial" w:eastAsia="Arial" w:hAnsi="Arial"/>
                <w:sz w:val="18"/>
                <w:szCs w:val="18"/>
                <w:color w:val="auto"/>
              </w:rPr>
              <w:t>Senior advisor</w:t>
            </w:r>
          </w:p>
        </w:tc>
      </w:tr>
      <w:tr>
        <w:trPr>
          <w:trHeight w:val="216"/>
        </w:trPr>
        <w:tc>
          <w:tcPr>
            <w:tcW w:w="19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100" w:type="dxa"/>
            <w:vAlign w:val="bottom"/>
          </w:tcPr>
          <w:p>
            <w:pPr>
              <w:ind w:left="300"/>
              <w:spacing w:after="0"/>
              <w:rPr>
                <w:sz w:val="20"/>
                <w:szCs w:val="20"/>
                <w:color w:val="auto"/>
              </w:rPr>
            </w:pPr>
            <w:r>
              <w:rPr>
                <w:rFonts w:ascii="Arial" w:cs="Arial" w:eastAsia="Arial" w:hAnsi="Arial"/>
                <w:sz w:val="18"/>
                <w:szCs w:val="18"/>
                <w:color w:val="auto"/>
              </w:rPr>
              <w:t>cannabis and related health and</w:t>
            </w:r>
          </w:p>
        </w:tc>
        <w:tc>
          <w:tcPr>
            <w:tcW w:w="2800" w:type="dxa"/>
            <w:vAlign w:val="bottom"/>
          </w:tcPr>
          <w:p>
            <w:pPr>
              <w:spacing w:after="0"/>
              <w:rPr>
                <w:sz w:val="18"/>
                <w:szCs w:val="18"/>
                <w:color w:val="auto"/>
              </w:rPr>
            </w:pPr>
          </w:p>
        </w:tc>
      </w:tr>
      <w:tr>
        <w:trPr>
          <w:trHeight w:val="230"/>
        </w:trPr>
        <w:tc>
          <w:tcPr>
            <w:tcW w:w="19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100" w:type="dxa"/>
            <w:vAlign w:val="bottom"/>
          </w:tcPr>
          <w:p>
            <w:pPr>
              <w:ind w:left="300"/>
              <w:spacing w:after="0"/>
              <w:rPr>
                <w:sz w:val="20"/>
                <w:szCs w:val="20"/>
                <w:color w:val="auto"/>
              </w:rPr>
            </w:pPr>
            <w:r>
              <w:rPr>
                <w:rFonts w:ascii="Arial" w:cs="Arial" w:eastAsia="Arial" w:hAnsi="Arial"/>
                <w:sz w:val="18"/>
                <w:szCs w:val="18"/>
                <w:color w:val="auto"/>
              </w:rPr>
              <w:t>wellness industries</w:t>
            </w:r>
          </w:p>
        </w:tc>
        <w:tc>
          <w:tcPr>
            <w:tcW w:w="2800" w:type="dxa"/>
            <w:vAlign w:val="bottom"/>
          </w:tcPr>
          <w:p>
            <w:pPr>
              <w:spacing w:after="0"/>
              <w:rPr>
                <w:sz w:val="20"/>
                <w:szCs w:val="20"/>
                <w:color w:val="auto"/>
              </w:rPr>
            </w:pPr>
          </w:p>
        </w:tc>
      </w:tr>
      <w:tr>
        <w:trPr>
          <w:trHeight w:val="202"/>
        </w:trPr>
        <w:tc>
          <w:tcPr>
            <w:tcW w:w="1940" w:type="dxa"/>
            <w:vAlign w:val="bottom"/>
            <w:shd w:val="clear" w:color="auto" w:fill="CCEEFF"/>
          </w:tcPr>
          <w:p>
            <w:pPr>
              <w:spacing w:after="0"/>
              <w:rPr>
                <w:sz w:val="17"/>
                <w:szCs w:val="17"/>
                <w:color w:val="auto"/>
              </w:rPr>
            </w:pPr>
          </w:p>
        </w:tc>
        <w:tc>
          <w:tcPr>
            <w:tcW w:w="3400" w:type="dxa"/>
            <w:vAlign w:val="bottom"/>
            <w:shd w:val="clear" w:color="auto" w:fill="CCEEFF"/>
          </w:tcPr>
          <w:p>
            <w:pPr>
              <w:ind w:left="880"/>
              <w:spacing w:after="0" w:line="201" w:lineRule="exact"/>
              <w:rPr>
                <w:sz w:val="20"/>
                <w:szCs w:val="20"/>
                <w:color w:val="auto"/>
              </w:rPr>
            </w:pPr>
            <w:r>
              <w:rPr>
                <w:rFonts w:ascii="Arial" w:cs="Arial" w:eastAsia="Arial" w:hAnsi="Arial"/>
                <w:sz w:val="18"/>
                <w:szCs w:val="18"/>
                <w:color w:val="auto"/>
              </w:rPr>
              <w:t>Greenlane Holdings, Inc.</w:t>
            </w:r>
          </w:p>
        </w:tc>
        <w:tc>
          <w:tcPr>
            <w:tcW w:w="31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4"/>
              </w:rPr>
              <w:t>Distributor of smoking accessories to</w:t>
            </w:r>
          </w:p>
        </w:tc>
        <w:tc>
          <w:tcPr>
            <w:tcW w:w="28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Lead Director, Chairman of</w:t>
            </w:r>
          </w:p>
        </w:tc>
      </w:tr>
      <w:tr>
        <w:trPr>
          <w:trHeight w:val="216"/>
        </w:trPr>
        <w:tc>
          <w:tcPr>
            <w:tcW w:w="19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cannabis and tobacco industries</w:t>
            </w:r>
          </w:p>
        </w:tc>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Compensation Committee, Member</w:t>
            </w:r>
          </w:p>
        </w:tc>
      </w:tr>
      <w:tr>
        <w:trPr>
          <w:trHeight w:val="216"/>
        </w:trPr>
        <w:tc>
          <w:tcPr>
            <w:tcW w:w="19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of Audit and Corporate Governance</w:t>
            </w:r>
          </w:p>
        </w:tc>
      </w:tr>
      <w:tr>
        <w:trPr>
          <w:trHeight w:val="230"/>
        </w:trPr>
        <w:tc>
          <w:tcPr>
            <w:tcW w:w="194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Committees</w:t>
            </w:r>
          </w:p>
        </w:tc>
      </w:tr>
    </w:tbl>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Accordingly, if any of the above officers or directors become aware of a business combination opportunity which is suitable for any of the above entities to which he or she has then-current fiduciary duties or contractual obligations, he or she may need to honor his or her fiduciary duties or contractual obligations to present such business combination opportunity to such entity, and only present it to us if such entity chooses not to pursue the opportunity, subject to their fiduciary duties under Cayman Islands law. We do not believe, however, that any of the foregoing fiduciary duties or contractual obligations will materially affect our ability to complete our initial business combination.</w:t>
      </w:r>
    </w:p>
    <w:p>
      <w:pPr>
        <w:spacing w:after="0" w:line="188" w:lineRule="exact"/>
        <w:rPr>
          <w:sz w:val="20"/>
          <w:szCs w:val="20"/>
          <w:color w:val="auto"/>
        </w:rPr>
      </w:pPr>
    </w:p>
    <w:p>
      <w:pPr>
        <w:jc w:val="both"/>
        <w:ind w:right="340" w:firstLine="324"/>
        <w:spacing w:after="0" w:line="311"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our sponsor, officers or directors. In the event we seek to complete our initial business combination with such a company, we would obtain an opinion from an independent investment banking firm or from an independent accounting firm, that such an initial business combination is fair to our company from a financial point of view.</w:t>
      </w:r>
    </w:p>
    <w:p>
      <w:pPr>
        <w:spacing w:after="0" w:line="14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In addition, our sponsor or any of its affiliates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16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the event that we submit our initial business combination to our public shareholders for a vote, our initial shareholders have agreed, pursuant to the terms of a letter agreement entered into with us, to vote their founder shares (and their permitted transferees will agree) and any public shares held by them in favor of our initial business combination. Our directors and officers have also entered into the letter agreement, imposing similar obligations on them with respect to public shares acquired by them, if 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w:t>
      </w:r>
    </w:p>
    <w:p>
      <w:pPr>
        <w:spacing w:after="0" w:line="18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we (i) have sufficient funds outside of the trust account or (ii) consummate an initial business combination. Furthermore, a shareholder’s investment may be adversely affected to the extent we pay the costs of settlement and damage awards against our officers and directors pursuant to these indemnification provisions.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7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and officers or persons controlling us pursuant to the foregoing provisions, we have been informed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None of our officers or directors have received or, prior to our initial business combination, will receive any cash compensation for services rendered to us. We pay our sponsor up to $10,000 per month for office space, administrative and support services.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w:t>
      </w:r>
    </w:p>
    <w:p>
      <w:pPr>
        <w:spacing w:after="0" w:line="17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management or other compensation from the combined company. All compensation will be fully disclosed to shareholders, to the extent then known, in the tender offer materials or proxy solicitation materials furnished to our shareholders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completion of our initial business combination should be a determining factor in our decision to proceed with any potential business combination.</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ordinary shares available to us at March 9, 2022, with respect to our ordinary shares held by:</w:t>
      </w:r>
    </w:p>
    <w:p>
      <w:pPr>
        <w:spacing w:after="0" w:line="170" w:lineRule="exact"/>
        <w:rPr>
          <w:sz w:val="20"/>
          <w:szCs w:val="20"/>
          <w:color w:val="auto"/>
        </w:rPr>
      </w:pPr>
    </w:p>
    <w:p>
      <w:pPr>
        <w:ind w:left="980" w:hanging="432"/>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our officers and directors as a group.</w:t>
      </w:r>
    </w:p>
    <w:p>
      <w:pPr>
        <w:spacing w:after="0" w:line="225"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ordinary shares beneficially owned by them. The following table does not reflect record or beneficial ownership of the private placement warrants as these warrants are not exercisable within 60 days of March 9, 2022.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5"/>
          </w:tcPr>
          <w:p>
            <w:pPr>
              <w:ind w:left="360"/>
              <w:spacing w:after="0"/>
              <w:rPr>
                <w:sz w:val="20"/>
                <w:szCs w:val="20"/>
                <w:color w:val="auto"/>
              </w:rPr>
            </w:pPr>
            <w:r>
              <w:rPr>
                <w:rFonts w:ascii="Arial" w:cs="Arial" w:eastAsia="Arial" w:hAnsi="Arial"/>
                <w:sz w:val="18"/>
                <w:szCs w:val="18"/>
                <w:b w:val="1"/>
                <w:bCs w:val="1"/>
                <w:color w:val="auto"/>
              </w:rPr>
              <w:t>Class A Ordinary Shares</w:t>
            </w:r>
          </w:p>
        </w:tc>
        <w:tc>
          <w:tcPr>
            <w:tcW w:w="28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9"/>
              </w:rPr>
              <w:t>Class B Ordinary Shares</w:t>
            </w:r>
            <w:r>
              <w:rPr>
                <w:rFonts w:ascii="Arial" w:cs="Arial" w:eastAsia="Arial" w:hAnsi="Arial"/>
                <w:sz w:val="29"/>
                <w:szCs w:val="29"/>
                <w:b w:val="1"/>
                <w:bCs w:val="1"/>
                <w:color w:val="auto"/>
                <w:w w:val="99"/>
                <w:vertAlign w:val="superscript"/>
              </w:rPr>
              <w:t>(2)</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Approximate</w:t>
            </w:r>
          </w:p>
        </w:tc>
        <w:tc>
          <w:tcPr>
            <w:tcW w:w="22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Number of</w:t>
            </w:r>
          </w:p>
        </w:tc>
        <w:tc>
          <w:tcPr>
            <w:tcW w:w="13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Approximate</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Percentage of</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Percentage of</w:t>
            </w:r>
          </w:p>
        </w:tc>
        <w:tc>
          <w:tcPr>
            <w:tcW w:w="6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Beneficially</w:t>
            </w:r>
          </w:p>
        </w:tc>
        <w:tc>
          <w:tcPr>
            <w:tcW w:w="16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Class A Ordinary</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Class B Ordinary</w:t>
            </w:r>
          </w:p>
        </w:tc>
        <w:tc>
          <w:tcPr>
            <w:tcW w:w="6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34"/>
        </w:trPr>
        <w:tc>
          <w:tcPr>
            <w:tcW w:w="3900" w:type="dxa"/>
            <w:vAlign w:val="bottom"/>
          </w:tcPr>
          <w:p>
            <w:pPr>
              <w:ind w:left="800"/>
              <w:spacing w:after="0"/>
              <w:rPr>
                <w:sz w:val="20"/>
                <w:szCs w:val="20"/>
                <w:color w:val="auto"/>
              </w:rPr>
            </w:pPr>
            <w:r>
              <w:rPr>
                <w:rFonts w:ascii="Arial" w:cs="Arial" w:eastAsia="Arial" w:hAnsi="Arial"/>
                <w:sz w:val="18"/>
                <w:szCs w:val="18"/>
                <w:b w:val="1"/>
                <w:bCs w:val="1"/>
                <w:color w:val="auto"/>
              </w:rPr>
              <w:t>Name of Beneficial Owners(1)</w:t>
            </w: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Owned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Owned(2)</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20"/>
                <w:szCs w:val="20"/>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Ordinary Shares</w:t>
            </w:r>
          </w:p>
        </w:tc>
      </w:tr>
      <w:tr>
        <w:trPr>
          <w:trHeight w:val="27"/>
        </w:trPr>
        <w:tc>
          <w:tcPr>
            <w:tcW w:w="3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39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TCAC Sponsor, LLC</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4,870,000</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Albert Foreman</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Zittman</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Sergey Sherman</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4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Jeffrey Bornstein</w:t>
            </w:r>
            <w:r>
              <w:rPr>
                <w:rFonts w:ascii="Arial" w:cs="Arial" w:eastAsia="Arial" w:hAnsi="Arial"/>
                <w:sz w:val="29"/>
                <w:szCs w:val="29"/>
                <w:color w:val="auto"/>
                <w:vertAlign w:val="superscript"/>
              </w:rPr>
              <w:t>(4)</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Michael Finkelman</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Taney</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All officers and directors as a group (6 individuals)</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130,000</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0712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83"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0"/>
          <w:szCs w:val="20"/>
          <w:color w:val="auto"/>
        </w:rPr>
      </w:pPr>
    </w:p>
    <w:p>
      <w:pPr>
        <w:ind w:left="440" w:right="160" w:hanging="432"/>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and individuals is 655 Third Avenue, 8th Floor, New York, New York 10017.</w:t>
      </w:r>
    </w:p>
    <w:p>
      <w:pPr>
        <w:spacing w:after="0" w:line="170" w:lineRule="exact"/>
        <w:rPr>
          <w:rFonts w:ascii="Arial" w:cs="Arial" w:eastAsia="Arial" w:hAnsi="Arial"/>
          <w:sz w:val="18"/>
          <w:szCs w:val="18"/>
          <w:color w:val="auto"/>
        </w:rPr>
      </w:pPr>
    </w:p>
    <w:p>
      <w:pPr>
        <w:ind w:left="440" w:right="180" w:hanging="432"/>
        <w:spacing w:after="0" w:line="263"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concurrently with or immediately following the consummation of our initial business combination on a one-for-one basis, subject to adjustment, as described in the section entitled “Description of Securities.”</w:t>
      </w:r>
    </w:p>
    <w:p>
      <w:pPr>
        <w:spacing w:after="0" w:line="183" w:lineRule="exact"/>
        <w:rPr>
          <w:rFonts w:ascii="Arial" w:cs="Arial" w:eastAsia="Arial" w:hAnsi="Arial"/>
          <w:sz w:val="18"/>
          <w:szCs w:val="18"/>
          <w:color w:val="auto"/>
        </w:rPr>
      </w:pPr>
    </w:p>
    <w:p>
      <w:pPr>
        <w:ind w:left="440" w:right="40" w:hanging="432"/>
        <w:spacing w:after="0" w:line="275"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officers are the three managers of our sponsor’s board of managers. Any action by our sponsor with respect to our company or the founder shares, including voting and dispositive decisions, requires a majority vote of the managers of the board of managers. Under the so-called “rule of three,” because voting and dispositive decisions are made by a majority of our sponsor’s managers, none of the managers of our sponsor is deemed to be a beneficial owner of our sponsor’s securities, even those in which he holds a pecuniary interest. Accordingly, none of our executive officers is deemed to have or share beneficial ownership of the founder shares held by our sponsor.</w:t>
      </w:r>
    </w:p>
    <w:p>
      <w:pPr>
        <w:spacing w:after="0" w:line="176" w:lineRule="exact"/>
        <w:rPr>
          <w:rFonts w:ascii="Arial" w:cs="Arial" w:eastAsia="Arial" w:hAnsi="Arial"/>
          <w:sz w:val="17"/>
          <w:szCs w:val="17"/>
          <w:color w:val="auto"/>
        </w:rPr>
      </w:pPr>
    </w:p>
    <w:p>
      <w:pPr>
        <w:ind w:left="440" w:right="80" w:hanging="432"/>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Shares held by Whipstick Ventures, LLC. Jeffrey Bornstein has a controlling interest in Whipstick Ventures, LLC and may be deemed to beneficially own these shares.</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initial shareholders beneficially own 20% of the issued and outstanding ordinary shares. Prior to our initial business combination, only holders of our founder shares will have the right to vote on the appointment of directors, and holders of a majority of our founder shares may remove a member of the board of directors for any reason. In addition, because of their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sponsor purchased an aggregate of 6,000,000 private placement warrants at a price of $1.00 per warrant ($5,000,000 in the aggregate) in a private placement that concurrently with our initial public offering. Each private placement warrant entitles the holder to purchase one Class A ordinary share at a price of $11.50 per share, subject to adjustment as provided herein. If we do not complete our initial business combination by February 17, 2021, the proceeds of the sale of the private placement warrants held in the trust account will be used to fund the redemption of our public shares, and the private placement warrants will expire worthless. The private placement warrants are subject to the transfer restrictions described below. The private placement warrants will not be redeemable by us (except as described above adjacent to “Description of Securities—Warrants—Redemption of Warrants When the Price per Class A Ordinary Share Equals or Exceeds $10.00”) so 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Otherwise, the private placement warrants have terms and provisions that are identical to those of the warrants being sold as part of the units.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sponsor and our officers and directors are deemed to be our “promoters” as such term is defined under the federal securities laws. See “Item 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Certain Relationships and Related Transactions, and Director Independence” for additional information regarding our relationships with our promoters.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229"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The founder shares, private placement warrants and any Class A ordinary shares issued upon conversion or exercise thereof are each subject to transfer restrictions pursuant to lock-up provisions in the letter agreement with us entered into by our initial shareholders. Those lock-up provisions provide that such securities are not transferable or salable (1) in the case of the founder shares, until the earlier of (A) one year after the completion of our initial business combination and (B) subsequent to our initial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shareholders having the right to exchange their Class A ordinary shares for cash, securities or other property, and (2) in the case of the private placement warrants and the respective Class A ordinary shares underlying such warrants,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the individual’s immediate family or to a trust, the beneficiary of which is a member of the individual’s immediate family or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securities were originally purchased; (f) in the event of our liquidation prior to our completion of our initial business combination; (g) by virtue of the laws of Delaware or our sponsor’s limited liability company agreement, as amended, upon dissolution of our sponsor; or (h) in the event of our completion of a liquidation, merger, amalgamation, share exchange, reorganization or other similar transaction which results in all of our shareholders having the right to exchange their Class A ordinary shares for cash, securities or other property subsequent to our completion of our initial business combination; provided, however, that in the case of clauses (a) through (e) and (g) these permitted transferees must enter into a written agreement agreeing to be bound by these transfer restrictions.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160" w:firstLine="324"/>
        <w:spacing w:after="0" w:line="268" w:lineRule="auto"/>
        <w:rPr>
          <w:sz w:val="20"/>
          <w:szCs w:val="20"/>
          <w:color w:val="auto"/>
        </w:rPr>
      </w:pPr>
      <w:r>
        <w:rPr>
          <w:rFonts w:ascii="Arial" w:cs="Arial" w:eastAsia="Arial" w:hAnsi="Arial"/>
          <w:sz w:val="17"/>
          <w:szCs w:val="17"/>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are entitled to registration rights pursuant to a registration rights agreement to be signed in connection with our initial public offering requiring us to register such securities for resale.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 and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 (2)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As of December 31, 2021, we had no compensation plans (including individual compensation arrangements) under which equity securities were authorized for issuance.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February 2020, our sponsor purchased 5,031,250 founder shares for an aggregate purchase price of $25,000, or $0.006 per share. In February 2021, our sponsor transferred 50,000 founder shares to Mr. Taney, 40,000 founder shares to Mr. Bornstein and 40,000 founder shares to Aris Kekedjian for the same per share purchase price paid by our sponsor. On April 5, 2021, in connection with the expiration of the underwriters’ over-allotment option, our sponsor surrendered 31,250 founder shares. On May 18, 2021, Aris Kekedjian transferred 40,000 founder shares to our sponsor pursuant to the terms of his resignation from TCAC’s board of directors, and on August 27, 2021, the sponsor transferred 40,000 founder shares to Mr. Finkelman in connection with this appointment to TCAC’s board of directors. As such, our initial shareholders collectively own 20% of our issued and outstanding shares as of our initial public offering.</w:t>
      </w:r>
    </w:p>
    <w:p>
      <w:pPr>
        <w:spacing w:after="0" w:line="19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In connection with our initial public offering, our sponsor purchased an aggregate of 6,000,000 private placement warrants at a price of $1.00 per warrant. Each private placement warrant may be exercised for one Class A ordinary share at a price of $11.50 per share, subject to adjustment as provided herein. The private placement warrants (including the Class A ordinary shares issuable upon exercise of the private placement warrants) may not, subject to certain limited exceptions, be transferred, assigned or sold by it until 30 days after the completion of our initial business combination.</w:t>
      </w:r>
    </w:p>
    <w:p>
      <w:pPr>
        <w:spacing w:after="0" w:line="15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more fully discussed in “Item 10. Directors, Executive Officers and Corporate Governance —Conflicts of Interest,” if any of our officers or directors becomes aware of a business combination opportunity that falls within the line of business of any entity to which he or she has then-current fiduciary duties or contractual obligations, he or she may be required to present such business combination opportunity to such entity prior to presenting such business combination opportunity to us. Certain of our officers and directors presently have, and any of them in the future may have, additional, fiduciary duties or contractual obligations to other entities pursuant to which such officer or director is or will be required to present a business combination opportunity to such entity.</w:t>
      </w:r>
    </w:p>
    <w:p>
      <w:pPr>
        <w:spacing w:after="0" w:line="192"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We entered into an Administrative Services Agreement pursuant to which we pay our sponsor up to $10,000 per month for office space, administrative and support services. Upon completion of our initial business combination or our liquidation, we will cease paying any of these monthly fees. Accordingly, in the event the consummation of our initial business combination takes until February 17, 2023, our sponsor will be paid an aggregate of up to $240,000 ($10,000 per month) for office space, administrative and support services and will be entitled to be reimbursed for any out-of-pocket expenses.</w:t>
      </w:r>
    </w:p>
    <w:p>
      <w:pPr>
        <w:spacing w:after="0" w:line="15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Tuatara’s sponsor agreed to loan Tuatara up to $250,000 under an unsecured promissory note to be used for a portion of the expenses of its initial public offering. The loan was repaid upon completion of Tuatara’s initial public offering out of the $1,000,000 of offering proceeds that has been allocated for the payment of offering expenses (other than underwriting commissions) not held in the trust account.</w:t>
      </w:r>
    </w:p>
    <w:p>
      <w:pPr>
        <w:spacing w:after="0" w:line="184"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the sponsor or certain of our officers and directors may, but are not obligated to, loan our funds as may be required. Any such loans may be repaid only from funds held outside the trust account or from funds released to us upon completion of its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its sponsor or an affiliate of its sponsor as it does not believe third parties will be willing to loan such funds and provide a waiver against any and all rights to seek access to funds in our trust account.</w:t>
      </w:r>
    </w:p>
    <w:p>
      <w:pPr>
        <w:spacing w:after="0" w:line="17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After our initial business combination, members of our management team who remain with the company may be paid consulting, management or other fees from the combined company with any and all amounts being fully disclosed to its shareholders, to the extent then known, in the proxy solicitation materials furnished to its shareholders. It is unlikely the amount of such compensation will be known at the time of a general meeting held to consider our initial business combination as it will be up to the directors of the post-combination business to determine executive and director compensation.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entered into a registration rights agreement with respect to the founder shares, private placement warrants and warrants issued upon conversion of working capital loans (if any), which is described under the heading “Item 12. Security Ownership of Certain Beneficial Owners and Management and Related Stockholder Matters—Registration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a related party transaction policy, and the above transactions comply with the policy.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Code of Ethics requires that it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our audit committee, pursuant to its written charter, is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Our audit committee will review on a quarterly basis all payments that were made to our sponsor, officers or directors, or our or any of their affiliates.</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has obtained an opinion from an independent investment banking firm or an independent accounting firm that the initial business combination is fair to us from a financial point of view.</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no finder’s fees, reimbursements or cash payments will be made by Tuatara to its sponsor, officers or directors, or its or any of their affiliates, for services rendered to Tuatara prior to or in connection with the completion of its initial business combination, other than the following payments:</w:t>
      </w:r>
    </w:p>
    <w:p>
      <w:pPr>
        <w:spacing w:after="0" w:line="184"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Repayment of an aggregate of up to $250,000 in loans made to us by our sponsor to cover offering-related and organizational expenses;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 to our sponsor of up to $10,000 per month for office space, administrative and support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 and</w:t>
      </w:r>
    </w:p>
    <w:p>
      <w:pPr>
        <w:spacing w:after="0" w:line="236"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at a price of $1.00 per warrant at the option of the lender.</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above payments may be funded using the net proceeds of the initial public offering and the sale of the private placement warrants not held in the trust account or, upon completion of the initial business combination, from any amounts remaining from the proceeds of the trust account released to us in connection therewith.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Nasdaq listing standards require that a majority of our board of directors be independent within one year of our initial public offering.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Jeffrey Bornstein, Michael Finkelman, and Richard Taney are “independent directors” as defined in the Nasdaq listing standards and applicable SEC rules. Our independent directors have regularly scheduled meetings at which only independent directors are present.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firm of WithumSmith+Brown, PC, or Withum, acts as our independent registered public accounting firm. The following is a summary of fees paid to Withum for services rendered.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For the year ended December 31, 2021 and 2020, fees for our independent registered public accounting firm were approximately $100,000 and</w:t>
      </w:r>
      <w:r>
        <w:rPr>
          <w:rFonts w:ascii="Arial" w:cs="Arial" w:eastAsia="Arial" w:hAnsi="Arial"/>
          <w:sz w:val="18"/>
          <w:szCs w:val="18"/>
          <w:i w:val="1"/>
          <w:iCs w:val="1"/>
          <w:color w:val="auto"/>
        </w:rPr>
        <w:t xml:space="preserve"> </w:t>
      </w:r>
      <w:r>
        <w:rPr>
          <w:rFonts w:ascii="Arial" w:cs="Arial" w:eastAsia="Arial" w:hAnsi="Arial"/>
          <w:sz w:val="18"/>
          <w:szCs w:val="18"/>
          <w:color w:val="auto"/>
        </w:rPr>
        <w:t>$41,000, respectively, for the services Withum performed in connection with our Initial Public Offering and the audit of our December 31, 2021 and 2020 financial statements included in this Annual Report on Form 10-K.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For the year ended December 31, 2021 and 2020, our independent registered public accounting firm did not render assurance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services related to the performance of the audit or review of financial statements.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For the year ended December 31, 2021 and 2020, our independent registered public accounting firm performed approximately $4,000 of tax</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us for tax compliance, tax advice and tax planning.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For the year ended December 31, 2021 and 2020, there were no fees billed for products and services provided by our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other than those set forth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980" w:hanging="486"/>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25" w:lineRule="exact"/>
        <w:rPr>
          <w:rFonts w:ascii="Arial" w:cs="Arial" w:eastAsia="Arial" w:hAnsi="Arial"/>
          <w:sz w:val="18"/>
          <w:szCs w:val="18"/>
          <w:color w:val="auto"/>
        </w:rPr>
      </w:pPr>
    </w:p>
    <w:p>
      <w:pPr>
        <w:ind w:left="1460" w:hanging="480"/>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20" w:type="dxa"/>
            <w:vAlign w:val="bottom"/>
            <w:tcBorders>
              <w:bottom w:val="single" w:sz="8" w:color="CCEEFF"/>
            </w:tcBorders>
          </w:tcPr>
          <w:p>
            <w:pPr>
              <w:spacing w:after="0"/>
              <w:rPr>
                <w:sz w:val="20"/>
                <w:szCs w:val="20"/>
                <w:color w:val="auto"/>
              </w:rPr>
            </w:pPr>
          </w:p>
        </w:tc>
        <w:tc>
          <w:tcPr>
            <w:tcW w:w="92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r>
      <w:tr>
        <w:trPr>
          <w:trHeight w:val="216"/>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Balance Sheet</w:t>
            </w:r>
          </w:p>
        </w:tc>
        <w:tc>
          <w:tcPr>
            <w:tcW w:w="92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6"/>
              </w:rPr>
              <w:t>F-3</w:t>
            </w:r>
          </w:p>
        </w:tc>
      </w:tr>
      <w:tr>
        <w:trPr>
          <w:trHeight w:val="216"/>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 of Operations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F-4</w:t>
            </w:r>
          </w:p>
        </w:tc>
      </w:tr>
      <w:tr>
        <w:trPr>
          <w:trHeight w:val="216"/>
        </w:trPr>
        <w:tc>
          <w:tcPr>
            <w:tcW w:w="10580" w:type="dxa"/>
            <w:vAlign w:val="bottom"/>
            <w:gridSpan w:val="2"/>
          </w:tcPr>
          <w:p>
            <w:pPr>
              <w:spacing w:after="0"/>
              <w:rPr>
                <w:sz w:val="20"/>
                <w:szCs w:val="20"/>
                <w:color w:val="auto"/>
              </w:rPr>
            </w:pPr>
            <w:r>
              <w:rPr>
                <w:rFonts w:ascii="Arial" w:cs="Arial" w:eastAsia="Arial" w:hAnsi="Arial"/>
                <w:sz w:val="18"/>
                <w:szCs w:val="18"/>
                <w:color w:val="auto"/>
              </w:rPr>
              <w:t>Statement of Changes in Shareholders’ Equity</w:t>
            </w:r>
          </w:p>
        </w:tc>
        <w:tc>
          <w:tcPr>
            <w:tcW w:w="660" w:type="dxa"/>
            <w:vAlign w:val="bottom"/>
          </w:tcPr>
          <w:p>
            <w:pPr>
              <w:jc w:val="center"/>
              <w:spacing w:after="0"/>
              <w:rPr>
                <w:sz w:val="20"/>
                <w:szCs w:val="20"/>
                <w:color w:val="auto"/>
              </w:rPr>
            </w:pPr>
            <w:r>
              <w:rPr>
                <w:rFonts w:ascii="Arial" w:cs="Arial" w:eastAsia="Arial" w:hAnsi="Arial"/>
                <w:sz w:val="18"/>
                <w:szCs w:val="18"/>
                <w:color w:val="auto"/>
                <w:w w:val="96"/>
              </w:rPr>
              <w:t>F-5</w:t>
            </w:r>
          </w:p>
        </w:tc>
      </w:tr>
      <w:tr>
        <w:trPr>
          <w:trHeight w:val="216"/>
        </w:trPr>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F-6</w:t>
            </w:r>
          </w:p>
        </w:tc>
      </w:tr>
      <w:tr>
        <w:trPr>
          <w:trHeight w:val="230"/>
        </w:trPr>
        <w:tc>
          <w:tcPr>
            <w:tcW w:w="10580" w:type="dxa"/>
            <w:vAlign w:val="bottom"/>
            <w:gridSpan w:val="2"/>
          </w:tcPr>
          <w:p>
            <w:pPr>
              <w:spacing w:after="0"/>
              <w:rPr>
                <w:sz w:val="20"/>
                <w:szCs w:val="20"/>
                <w:color w:val="auto"/>
              </w:rPr>
            </w:pPr>
            <w:r>
              <w:rPr>
                <w:rFonts w:ascii="Arial" w:cs="Arial" w:eastAsia="Arial" w:hAnsi="Arial"/>
                <w:sz w:val="18"/>
                <w:szCs w:val="18"/>
                <w:color w:val="auto"/>
              </w:rPr>
              <w:t>Notes to Financial Statements</w:t>
            </w:r>
          </w:p>
        </w:tc>
        <w:tc>
          <w:tcPr>
            <w:tcW w:w="660" w:type="dxa"/>
            <w:vAlign w:val="bottom"/>
          </w:tcPr>
          <w:p>
            <w:pPr>
              <w:jc w:val="center"/>
              <w:spacing w:after="0"/>
              <w:rPr>
                <w:sz w:val="20"/>
                <w:szCs w:val="20"/>
                <w:color w:val="auto"/>
              </w:rPr>
            </w:pPr>
            <w:r>
              <w:rPr>
                <w:rFonts w:ascii="Arial" w:cs="Arial" w:eastAsia="Arial" w:hAnsi="Arial"/>
                <w:sz w:val="18"/>
                <w:szCs w:val="18"/>
                <w:color w:val="auto"/>
                <w:w w:val="96"/>
              </w:rPr>
              <w:t>F-7</w:t>
            </w:r>
          </w:p>
        </w:tc>
      </w:tr>
      <w:tr>
        <w:trPr>
          <w:trHeight w:val="418"/>
        </w:trPr>
        <w:tc>
          <w:tcPr>
            <w:tcW w:w="1320" w:type="dxa"/>
            <w:vAlign w:val="bottom"/>
          </w:tcPr>
          <w:p>
            <w:pPr>
              <w:ind w:left="980"/>
              <w:spacing w:after="0"/>
              <w:rPr>
                <w:sz w:val="20"/>
                <w:szCs w:val="20"/>
                <w:color w:val="auto"/>
              </w:rPr>
            </w:pPr>
            <w:r>
              <w:rPr>
                <w:rFonts w:ascii="Arial" w:cs="Arial" w:eastAsia="Arial" w:hAnsi="Arial"/>
                <w:sz w:val="18"/>
                <w:szCs w:val="18"/>
                <w:color w:val="auto"/>
              </w:rPr>
              <w:t>(2)</w:t>
            </w:r>
          </w:p>
        </w:tc>
        <w:tc>
          <w:tcPr>
            <w:tcW w:w="9260" w:type="dxa"/>
            <w:vAlign w:val="bottom"/>
          </w:tcPr>
          <w:p>
            <w:pPr>
              <w:ind w:left="140"/>
              <w:spacing w:after="0"/>
              <w:rPr>
                <w:sz w:val="20"/>
                <w:szCs w:val="20"/>
                <w:color w:val="auto"/>
              </w:rPr>
            </w:pPr>
            <w:r>
              <w:rPr>
                <w:rFonts w:ascii="Arial" w:cs="Arial" w:eastAsia="Arial" w:hAnsi="Arial"/>
                <w:sz w:val="18"/>
                <w:szCs w:val="18"/>
                <w:color w:val="auto"/>
              </w:rPr>
              <w:t>Financial Statement Schedules:</w:t>
            </w:r>
          </w:p>
        </w:tc>
        <w:tc>
          <w:tcPr>
            <w:tcW w:w="660" w:type="dxa"/>
            <w:vAlign w:val="bottom"/>
          </w:tcPr>
          <w:p>
            <w:pPr>
              <w:spacing w:after="0"/>
              <w:rPr>
                <w:sz w:val="24"/>
                <w:szCs w:val="24"/>
                <w:color w:val="auto"/>
              </w:rPr>
            </w:pPr>
          </w:p>
        </w:tc>
      </w:tr>
      <w:tr>
        <w:trPr>
          <w:trHeight w:val="432"/>
        </w:trPr>
        <w:tc>
          <w:tcPr>
            <w:tcW w:w="1320" w:type="dxa"/>
            <w:vAlign w:val="bottom"/>
          </w:tcPr>
          <w:p>
            <w:pPr>
              <w:spacing w:after="0"/>
              <w:rPr>
                <w:sz w:val="24"/>
                <w:szCs w:val="24"/>
                <w:color w:val="auto"/>
              </w:rPr>
            </w:pPr>
          </w:p>
        </w:tc>
        <w:tc>
          <w:tcPr>
            <w:tcW w:w="9260" w:type="dxa"/>
            <w:vAlign w:val="bottom"/>
          </w:tcPr>
          <w:p>
            <w:pPr>
              <w:ind w:left="120"/>
              <w:spacing w:after="0"/>
              <w:rPr>
                <w:sz w:val="20"/>
                <w:szCs w:val="20"/>
                <w:color w:val="auto"/>
              </w:rPr>
            </w:pPr>
            <w:r>
              <w:rPr>
                <w:rFonts w:ascii="Arial" w:cs="Arial" w:eastAsia="Arial" w:hAnsi="Arial"/>
                <w:sz w:val="18"/>
                <w:szCs w:val="18"/>
                <w:color w:val="auto"/>
              </w:rPr>
              <w:t>None.</w:t>
            </w:r>
          </w:p>
        </w:tc>
        <w:tc>
          <w:tcPr>
            <w:tcW w:w="660" w:type="dxa"/>
            <w:vAlign w:val="bottom"/>
          </w:tcPr>
          <w:p>
            <w:pPr>
              <w:spacing w:after="0"/>
              <w:rPr>
                <w:sz w:val="24"/>
                <w:szCs w:val="24"/>
                <w:color w:val="auto"/>
              </w:rPr>
            </w:pPr>
          </w:p>
        </w:tc>
      </w:tr>
      <w:tr>
        <w:trPr>
          <w:trHeight w:val="432"/>
        </w:trPr>
        <w:tc>
          <w:tcPr>
            <w:tcW w:w="1320" w:type="dxa"/>
            <w:vAlign w:val="bottom"/>
          </w:tcPr>
          <w:p>
            <w:pPr>
              <w:ind w:left="960"/>
              <w:spacing w:after="0"/>
              <w:rPr>
                <w:sz w:val="20"/>
                <w:szCs w:val="20"/>
                <w:color w:val="auto"/>
              </w:rPr>
            </w:pPr>
            <w:r>
              <w:rPr>
                <w:rFonts w:ascii="Arial" w:cs="Arial" w:eastAsia="Arial" w:hAnsi="Arial"/>
                <w:sz w:val="18"/>
                <w:szCs w:val="18"/>
                <w:color w:val="auto"/>
              </w:rPr>
              <w:t>(3)</w:t>
            </w:r>
          </w:p>
        </w:tc>
        <w:tc>
          <w:tcPr>
            <w:tcW w:w="9260" w:type="dxa"/>
            <w:vAlign w:val="bottom"/>
          </w:tcPr>
          <w:p>
            <w:pPr>
              <w:ind w:left="140"/>
              <w:spacing w:after="0"/>
              <w:rPr>
                <w:sz w:val="20"/>
                <w:szCs w:val="20"/>
                <w:color w:val="auto"/>
              </w:rPr>
            </w:pPr>
            <w:r>
              <w:rPr>
                <w:rFonts w:ascii="Arial" w:cs="Arial" w:eastAsia="Arial" w:hAnsi="Arial"/>
                <w:sz w:val="18"/>
                <w:szCs w:val="18"/>
                <w:color w:val="auto"/>
              </w:rPr>
              <w:t>Exhibits</w:t>
            </w:r>
          </w:p>
        </w:tc>
        <w:tc>
          <w:tcPr>
            <w:tcW w:w="660" w:type="dxa"/>
            <w:vAlign w:val="bottom"/>
          </w:tcPr>
          <w:p>
            <w:pPr>
              <w:spacing w:after="0"/>
              <w:rPr>
                <w:sz w:val="24"/>
                <w:szCs w:val="24"/>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hereby file as part of this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10100" w:type="dxa"/>
            <w:vAlign w:val="bottom"/>
          </w:tcPr>
          <w:p>
            <w:pPr>
              <w:spacing w:after="0"/>
              <w:rPr>
                <w:sz w:val="18"/>
                <w:szCs w:val="18"/>
                <w:color w:val="auto"/>
              </w:rPr>
            </w:pPr>
          </w:p>
        </w:tc>
      </w:tr>
      <w:tr>
        <w:trPr>
          <w:trHeight w:val="241"/>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No.</w:t>
            </w:r>
          </w:p>
        </w:tc>
        <w:tc>
          <w:tcPr>
            <w:tcW w:w="10100" w:type="dxa"/>
            <w:vAlign w:val="bottom"/>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Borders>
              <w:top w:val="single" w:sz="8" w:color="auto"/>
            </w:tcBorders>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96">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6"/>
              </w:rPr>
              <w:t>Amended and Restated Memorandum and Articles of Association (incorporated herein by reference to Exhibit 3.1 of the Company’s</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 filed with the SEC on February 17, 2021)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9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Description of Securities Registered Pursuant to Section 12 of the Securities Exchange Act of 1934, As Amended*</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100" w:type="dxa"/>
            <w:vAlign w:val="bottom"/>
            <w:tcBorders>
              <w:top w:val="single" w:sz="8" w:color="CCEEFF"/>
            </w:tcBorders>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97">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Warrant Agreement, dated February 11, 2021, between the Company and Continental Stock Transfer &amp; Trust Company, as warrant agent</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(incorporated herein by reference to Exhibit 4.1 of the Company’s Current Report on Form 8-K filed with the SEC on February 17, 2021)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1020" w:type="dxa"/>
            <w:vAlign w:val="bottom"/>
            <w:gridSpan w:val="3"/>
            <w:shd w:val="clear" w:color="auto" w:fill="CCEEFF"/>
          </w:tcPr>
          <w:p>
            <w:pPr>
              <w:spacing w:after="0" w:line="176" w:lineRule="exact"/>
              <w:rPr>
                <w:rFonts w:ascii="Arial" w:cs="Arial" w:eastAsia="Arial" w:hAnsi="Arial"/>
                <w:sz w:val="18"/>
                <w:szCs w:val="18"/>
                <w:color w:val="0000EE"/>
              </w:rPr>
            </w:pPr>
            <w:hyperlink r:id="rId98">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A Letter Agreement, dated February 11, 2021, among the Company and its officers and directors and TCAC Sponsor, LLC (incorporated</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herein by reference to Exhibit 10.1 of the Company’s Current Report on Form 8-K filed with the SEC on February 17, 2021)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1020" w:type="dxa"/>
            <w:vAlign w:val="bottom"/>
            <w:gridSpan w:val="3"/>
            <w:shd w:val="clear" w:color="auto" w:fill="CCEEFF"/>
          </w:tcPr>
          <w:p>
            <w:pPr>
              <w:spacing w:after="0" w:line="176" w:lineRule="exact"/>
              <w:rPr>
                <w:rFonts w:ascii="Arial" w:cs="Arial" w:eastAsia="Arial" w:hAnsi="Arial"/>
                <w:sz w:val="18"/>
                <w:szCs w:val="18"/>
                <w:color w:val="0000EE"/>
              </w:rPr>
            </w:pPr>
            <w:hyperlink r:id="rId99">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Investment Management Trust Agreement, dated February 11, 2021, between the Company and Continental Stock Transfer &amp; Trust</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Company, as trustee (incorporated herein by reference to Exhibit 10.2 of the Company’s Current Report on Form 8-K filed with the SEC on</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February 17, 2021)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1020" w:type="dxa"/>
            <w:vAlign w:val="bottom"/>
            <w:gridSpan w:val="3"/>
            <w:shd w:val="clear" w:color="auto" w:fill="CCEEFF"/>
          </w:tcPr>
          <w:p>
            <w:pPr>
              <w:spacing w:after="0" w:line="176" w:lineRule="exact"/>
              <w:rPr>
                <w:rFonts w:ascii="Arial" w:cs="Arial" w:eastAsia="Arial" w:hAnsi="Arial"/>
                <w:sz w:val="18"/>
                <w:szCs w:val="18"/>
                <w:color w:val="0000EE"/>
              </w:rPr>
            </w:pPr>
            <w:hyperlink r:id="rId100">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6"/>
              </w:rPr>
              <w:t>Registration Rights Agreement, dated February 11, 2021, among the Company and certain security holders (incorporated herein by</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10.3 of the Company’s Current Report on Form 8-K filed with the SEC on February 17, 2021)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1020" w:type="dxa"/>
            <w:vAlign w:val="bottom"/>
            <w:gridSpan w:val="3"/>
            <w:shd w:val="clear" w:color="auto" w:fill="CCEEFF"/>
          </w:tcPr>
          <w:p>
            <w:pPr>
              <w:spacing w:after="0" w:line="176" w:lineRule="exact"/>
              <w:rPr>
                <w:rFonts w:ascii="Arial" w:cs="Arial" w:eastAsia="Arial" w:hAnsi="Arial"/>
                <w:sz w:val="18"/>
                <w:szCs w:val="18"/>
                <w:color w:val="0000EE"/>
              </w:rPr>
            </w:pPr>
            <w:hyperlink r:id="rId101">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Administrative Services Agreement, dated February 11, 2021, between the Company and TCAC Sponsor, LLC (incorporated herein by</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10.4 of the Company’s Current Report on Form 8-K filed with the SEC on February 17, 2021)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1020" w:type="dxa"/>
            <w:vAlign w:val="bottom"/>
            <w:gridSpan w:val="3"/>
            <w:shd w:val="clear" w:color="auto" w:fill="CCEEFF"/>
          </w:tcPr>
          <w:p>
            <w:pPr>
              <w:spacing w:after="0" w:line="176" w:lineRule="exact"/>
              <w:rPr>
                <w:rFonts w:ascii="Arial" w:cs="Arial" w:eastAsia="Arial" w:hAnsi="Arial"/>
                <w:sz w:val="18"/>
                <w:szCs w:val="18"/>
                <w:color w:val="0000EE"/>
              </w:rPr>
            </w:pPr>
            <w:hyperlink r:id="rId102">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Private Placement Warrants Purchase Agreement, dated February 11, 2021, between the Company and TCAC Sponsor, LLC (incorporated</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herein by reference to Exhibit 10.5 of the Company’s Current Report on Form 8-K filed with the SEC on February 17, 2021)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1020" w:type="dxa"/>
            <w:vAlign w:val="bottom"/>
            <w:gridSpan w:val="3"/>
            <w:shd w:val="clear" w:color="auto" w:fill="CCEEFF"/>
          </w:tcPr>
          <w:p>
            <w:pPr>
              <w:spacing w:after="0" w:line="176" w:lineRule="exact"/>
              <w:rPr>
                <w:rFonts w:ascii="Arial" w:cs="Arial" w:eastAsia="Arial" w:hAnsi="Arial"/>
                <w:sz w:val="18"/>
                <w:szCs w:val="18"/>
                <w:color w:val="0000EE"/>
              </w:rPr>
            </w:pPr>
            <w:hyperlink r:id="rId103">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Merger Agreement, dated November 8, 2021, by and among the Company, Merger Sub and SpringBig (incorporated herein by reference to</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Exhibit 2.1 of the Company’s Current Report on Form 8-K filed with the SEC on November 9, 2021)</w:t>
            </w:r>
          </w:p>
        </w:tc>
      </w:tr>
      <w:tr>
        <w:trPr>
          <w:trHeight w:val="569"/>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ind w:left="4420"/>
              <w:spacing w:after="0"/>
              <w:rPr>
                <w:sz w:val="20"/>
                <w:szCs w:val="20"/>
                <w:color w:val="auto"/>
              </w:rPr>
            </w:pPr>
            <w:r>
              <w:rPr>
                <w:rFonts w:ascii="Arial" w:cs="Arial" w:eastAsia="Arial" w:hAnsi="Arial"/>
                <w:sz w:val="14"/>
                <w:szCs w:val="14"/>
                <w:color w:val="auto"/>
              </w:rPr>
              <w:t>74</w:t>
            </w:r>
          </w:p>
        </w:tc>
      </w:tr>
      <w:tr>
        <w:trPr>
          <w:trHeight w:val="46"/>
        </w:trPr>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4"/>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4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4720" w:type="dxa"/>
            <w:vAlign w:val="bottom"/>
          </w:tcPr>
          <w:p>
            <w:pPr>
              <w:spacing w:after="0"/>
              <w:rPr>
                <w:sz w:val="24"/>
                <w:szCs w:val="24"/>
                <w:color w:val="auto"/>
              </w:rPr>
            </w:pPr>
          </w:p>
        </w:tc>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700" w:type="dxa"/>
            <w:vAlign w:val="bottom"/>
            <w:gridSpan w:val="3"/>
          </w:tcPr>
          <w:p>
            <w:pPr>
              <w:jc w:val="center"/>
              <w:ind w:right="320"/>
              <w:spacing w:after="0" w:line="160" w:lineRule="exact"/>
              <w:rPr>
                <w:sz w:val="20"/>
                <w:szCs w:val="20"/>
                <w:color w:val="auto"/>
              </w:rPr>
            </w:pPr>
            <w:r>
              <w:rPr>
                <w:rFonts w:ascii="Arial" w:cs="Arial" w:eastAsia="Arial" w:hAnsi="Arial"/>
                <w:sz w:val="18"/>
                <w:szCs w:val="18"/>
                <w:b w:val="1"/>
                <w:bCs w:val="1"/>
                <w:color w:val="auto"/>
                <w:w w:val="89"/>
              </w:rPr>
              <w:t>No.</w:t>
            </w:r>
          </w:p>
        </w:tc>
        <w:tc>
          <w:tcPr>
            <w:tcW w:w="4720" w:type="dxa"/>
            <w:vAlign w:val="bottom"/>
          </w:tcPr>
          <w:p>
            <w:pPr>
              <w:spacing w:after="0"/>
              <w:rPr>
                <w:sz w:val="15"/>
                <w:szCs w:val="15"/>
                <w:color w:val="auto"/>
              </w:rPr>
            </w:pPr>
          </w:p>
        </w:tc>
        <w:tc>
          <w:tcPr>
            <w:tcW w:w="5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72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4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r:id="rId104">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1"/>
              </w:rPr>
              <w:t>Sponsor Agreement (incorporated herein by reference to Exhibit 10.1 of the Company’s Current Report on Form 8-K filed with the SEC on</w:t>
            </w: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November 9, 2021)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r:id="rId105">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4"/>
              </w:rPr>
              <w:t>Form of Subscription Agreement (incorporated herein by reference to Exhibit 10.2 of the Company’s Current Report on Form 8-K filed</w:t>
            </w: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with the SEC on November 9, 2021)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r:id="rId106">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3"/>
              </w:rPr>
              <w:t>Form of Voting and Support Agreement (incorporated herein by reference to Exhibit 10.3 of the Company’s Current Report on Form 8-K</w:t>
            </w: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filed with the SEC on November 9, 2021)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r:id="rId107">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02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4"/>
              </w:rPr>
              <w:t>Amended and Restated Promissory Note, dated January 26, 2021, issued to TCAC Sponsor, LLC (incorporated herein by reference to</w:t>
            </w: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Exhibit 10.1 of the Company’s Registration Statement on Form S-1 (333-242484) filed with the SEC on January 27, 2021)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w w:val="88"/>
              </w:rPr>
            </w:pPr>
            <w:hyperlink r:id="rId10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600" w:type="dxa"/>
            <w:vAlign w:val="bottom"/>
            <w:shd w:val="clear" w:color="auto" w:fill="CCEEFF"/>
          </w:tcPr>
          <w:p>
            <w:pPr>
              <w:spacing w:after="0"/>
              <w:rPr>
                <w:sz w:val="15"/>
                <w:szCs w:val="15"/>
                <w:color w:val="auto"/>
              </w:rPr>
            </w:pPr>
          </w:p>
        </w:tc>
        <w:tc>
          <w:tcPr>
            <w:tcW w:w="102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1"/>
              </w:rPr>
              <w:t>Form of Amended and Restated Registration Rights Agreement (incorporated herein by reference to Exhibit 10.4 of the Company’s Current</w:t>
            </w: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Report on Form 8-K filed with the SEC on November 9, 2021)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Certification of the Registrant’s Chief Executive Officer (Principal Executive Officer) Pursuant to Rules 13a-14(a) and 15d-14(a) under the</w:t>
            </w: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Securities Exchange Act of 1934, as Adopted Pursuant to Section 302 of the Sarbanes-Oxley Act of 2002.*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Certification of the Registrant’s Chief Financial Officer (Principal Financial and Accounting Officer) Pursuant to Rules 13a-14(a) and 15d-</w:t>
            </w: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14(a) under the Securities Exchange Act of 1934, as Adopted Pursuant to Section 302 of the Sarbanes-Oxley Act of 2002.*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5"/>
              </w:rPr>
              <w:t>Certification of the Registrant’s Chief Executive Officer (Principal Executive Officer) Pursuant to 18 U.S.C. Section 1350, as Adopted</w:t>
            </w:r>
          </w:p>
        </w:tc>
        <w:tc>
          <w:tcPr>
            <w:tcW w:w="0" w:type="dxa"/>
            <w:vAlign w:val="bottom"/>
          </w:tcPr>
          <w:p>
            <w:pPr>
              <w:spacing w:after="0"/>
              <w:rPr>
                <w:sz w:val="1"/>
                <w:szCs w:val="1"/>
                <w:color w:val="auto"/>
              </w:rPr>
            </w:pP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Pursuant to Section 906 of the Sarbanes-Oxley Act of 2002.*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2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3"/>
              </w:rPr>
              <w:t>Certification of the Registrant’s Chief Financial Officer (Principal Financial and Accounting Officer) Pursuant to 18 U.S.C. Section 1350,</w:t>
            </w: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as Adopted Pursuant to Section 906 of the Sarbanes-Oxley Act of 2002.*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7124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8"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Act of 1934, as amended, the registrant has duly caused this Annual Report on Form 10-K to be signed on its behalf by the undersigned, thereunto duly authorized, on March 11, 2022.</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Tuatara Capital Acquisition Corporation</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/s/ Albert Foreman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23495</wp:posOffset>
            </wp:positionV>
            <wp:extent cx="299148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Albert Foreman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by the following persons in the capacity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586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5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Foreman</w:t>
            </w:r>
          </w:p>
        </w:tc>
        <w:tc>
          <w:tcPr>
            <w:tcW w:w="10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Albert Foreman</w:t>
            </w: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Zittman</w:t>
            </w:r>
          </w:p>
        </w:tc>
        <w:tc>
          <w:tcPr>
            <w:tcW w:w="10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Mark Zittman</w:t>
            </w: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Sergey Sherman</w:t>
            </w:r>
          </w:p>
        </w:tc>
        <w:tc>
          <w:tcPr>
            <w:tcW w:w="10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Sergey Sherman</w:t>
            </w: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Bornstein</w:t>
            </w:r>
          </w:p>
        </w:tc>
        <w:tc>
          <w:tcPr>
            <w:tcW w:w="10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Jeffrey Bornstein</w:t>
            </w: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Finkelman</w:t>
            </w:r>
          </w:p>
        </w:tc>
        <w:tc>
          <w:tcPr>
            <w:tcW w:w="10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Michael Finkelman</w:t>
            </w: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Taney</w:t>
            </w:r>
          </w:p>
        </w:tc>
        <w:tc>
          <w:tcPr>
            <w:tcW w:w="10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March 11, 2022</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Richard Taney</w:t>
            </w:r>
          </w:p>
        </w:tc>
        <w:tc>
          <w:tcPr>
            <w:tcW w:w="1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554"/>
        </w:trPr>
        <w:tc>
          <w:tcPr>
            <w:tcW w:w="3440" w:type="dxa"/>
            <w:vAlign w:val="bottom"/>
          </w:tcPr>
          <w:p>
            <w:pPr>
              <w:spacing w:after="0"/>
              <w:rPr>
                <w:sz w:val="24"/>
                <w:szCs w:val="24"/>
                <w:color w:val="auto"/>
              </w:rPr>
            </w:pPr>
          </w:p>
        </w:tc>
        <w:tc>
          <w:tcPr>
            <w:tcW w:w="5960" w:type="dxa"/>
            <w:vAlign w:val="bottom"/>
            <w:gridSpan w:val="2"/>
          </w:tcPr>
          <w:p>
            <w:pPr>
              <w:jc w:val="right"/>
              <w:ind w:right="361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6"/>
        </w:trPr>
        <w:tc>
          <w:tcPr>
            <w:tcW w:w="3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9"/>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6800" w:type="dxa"/>
            <w:vAlign w:val="bottom"/>
          </w:tcPr>
          <w:p>
            <w:pPr>
              <w:spacing w:after="0"/>
              <w:rPr>
                <w:sz w:val="14"/>
                <w:szCs w:val="14"/>
                <w:color w:val="auto"/>
              </w:rPr>
            </w:pPr>
          </w:p>
        </w:tc>
      </w:tr>
      <w:tr>
        <w:trPr>
          <w:trHeight w:val="385"/>
        </w:trPr>
        <w:tc>
          <w:tcPr>
            <w:tcW w:w="1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0" w:type="dxa"/>
            <w:vAlign w:val="bottom"/>
          </w:tcPr>
          <w:p>
            <w:pPr>
              <w:jc w:val="center"/>
              <w:ind w:right="4352"/>
              <w:spacing w:after="0"/>
              <w:rPr>
                <w:sz w:val="20"/>
                <w:szCs w:val="20"/>
                <w:color w:val="auto"/>
              </w:rPr>
            </w:pPr>
            <w:r>
              <w:rPr>
                <w:rFonts w:ascii="Arial" w:cs="Arial" w:eastAsia="Arial" w:hAnsi="Arial"/>
                <w:sz w:val="18"/>
                <w:szCs w:val="18"/>
                <w:b w:val="1"/>
                <w:bCs w:val="1"/>
                <w:color w:val="auto"/>
                <w:w w:val="98"/>
              </w:rPr>
              <w:t>TABLE OF CONTENTS</w:t>
            </w:r>
          </w:p>
        </w:tc>
      </w:tr>
      <w:tr>
        <w:trPr>
          <w:trHeight w:val="216"/>
        </w:trPr>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0" w:type="dxa"/>
            <w:vAlign w:val="bottom"/>
          </w:tcPr>
          <w:p>
            <w:pPr>
              <w:spacing w:after="0"/>
              <w:rPr>
                <w:sz w:val="18"/>
                <w:szCs w:val="18"/>
                <w:color w:val="auto"/>
              </w:rPr>
            </w:pPr>
          </w:p>
        </w:tc>
      </w:tr>
      <w:tr>
        <w:trPr>
          <w:trHeight w:val="196"/>
        </w:trPr>
        <w:tc>
          <w:tcPr>
            <w:tcW w:w="4440" w:type="dxa"/>
            <w:vAlign w:val="bottom"/>
            <w:gridSpan w:val="9"/>
            <w:shd w:val="clear" w:color="auto" w:fill="CCEEFF"/>
          </w:tcPr>
          <w:p>
            <w:pPr>
              <w:spacing w:after="0" w:line="176" w:lineRule="exact"/>
              <w:rPr>
                <w:rFonts w:ascii="Arial" w:cs="Arial" w:eastAsia="Arial" w:hAnsi="Arial"/>
                <w:sz w:val="18"/>
                <w:szCs w:val="18"/>
                <w:color w:val="0000EE"/>
                <w:w w:val="96"/>
              </w:rPr>
            </w:pPr>
            <w:hyperlink w:anchor="page83">
              <w:r>
                <w:rPr>
                  <w:rFonts w:ascii="Arial" w:cs="Arial" w:eastAsia="Arial" w:hAnsi="Arial"/>
                  <w:sz w:val="18"/>
                  <w:szCs w:val="18"/>
                  <w:color w:val="0000EE"/>
                  <w:w w:val="96"/>
                </w:rPr>
                <w:t>Report of Independent Registered Public Accounting Firm</w:t>
              </w:r>
            </w:hyperlink>
          </w:p>
        </w:tc>
        <w:tc>
          <w:tcPr>
            <w:tcW w:w="6800" w:type="dxa"/>
            <w:vAlign w:val="bottom"/>
            <w:shd w:val="clear" w:color="auto" w:fill="CCEEFF"/>
          </w:tcPr>
          <w:p>
            <w:pPr>
              <w:jc w:val="center"/>
              <w:ind w:left="5532"/>
              <w:spacing w:after="0" w:line="176" w:lineRule="exact"/>
              <w:rPr>
                <w:sz w:val="20"/>
                <w:szCs w:val="20"/>
                <w:color w:val="auto"/>
              </w:rPr>
            </w:pPr>
            <w:r>
              <w:rPr>
                <w:rFonts w:ascii="Arial" w:cs="Arial" w:eastAsia="Arial" w:hAnsi="Arial"/>
                <w:sz w:val="18"/>
                <w:szCs w:val="18"/>
                <w:color w:val="auto"/>
                <w:w w:val="96"/>
              </w:rPr>
              <w:t>F-2</w:t>
            </w:r>
          </w:p>
        </w:tc>
      </w:tr>
      <w:tr>
        <w:trPr>
          <w:trHeight w:val="216"/>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220" w:type="dxa"/>
            <w:vAlign w:val="bottom"/>
            <w:tcBorders>
              <w:top w:val="single" w:sz="8" w:color="CCEEFF"/>
            </w:tcBorders>
            <w:gridSpan w:val="2"/>
          </w:tcPr>
          <w:p>
            <w:pPr>
              <w:spacing w:after="0"/>
              <w:rPr>
                <w:sz w:val="18"/>
                <w:szCs w:val="18"/>
                <w:color w:val="auto"/>
              </w:rPr>
            </w:pPr>
          </w:p>
        </w:tc>
        <w:tc>
          <w:tcPr>
            <w:tcW w:w="6800" w:type="dxa"/>
            <w:vAlign w:val="bottom"/>
            <w:tcBorders>
              <w:top w:val="single" w:sz="8" w:color="CCEEFF"/>
            </w:tcBorders>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4280" w:type="dxa"/>
            <w:vAlign w:val="bottom"/>
            <w:gridSpan w:val="8"/>
            <w:shd w:val="clear" w:color="auto" w:fill="CCEEFF"/>
          </w:tcPr>
          <w:p>
            <w:pPr>
              <w:ind w:left="20"/>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Balance Sheets</w:t>
              </w:r>
            </w:hyperlink>
          </w:p>
        </w:tc>
        <w:tc>
          <w:tcPr>
            <w:tcW w:w="6800" w:type="dxa"/>
            <w:vAlign w:val="bottom"/>
            <w:shd w:val="clear" w:color="auto" w:fill="CCEEFF"/>
          </w:tcPr>
          <w:p>
            <w:pPr>
              <w:jc w:val="center"/>
              <w:ind w:left="5532"/>
              <w:spacing w:after="0" w:line="176" w:lineRule="exact"/>
              <w:rPr>
                <w:sz w:val="20"/>
                <w:szCs w:val="20"/>
                <w:color w:val="auto"/>
              </w:rPr>
            </w:pPr>
            <w:r>
              <w:rPr>
                <w:rFonts w:ascii="Arial" w:cs="Arial" w:eastAsia="Arial" w:hAnsi="Arial"/>
                <w:sz w:val="18"/>
                <w:szCs w:val="18"/>
                <w:color w:val="auto"/>
                <w:w w:val="96"/>
              </w:rPr>
              <w:t>F-3</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4280" w:type="dxa"/>
            <w:vAlign w:val="bottom"/>
            <w:gridSpan w:val="8"/>
          </w:tcPr>
          <w:p>
            <w:pPr>
              <w:ind w:left="20"/>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Statements of Operations</w:t>
              </w:r>
            </w:hyperlink>
          </w:p>
        </w:tc>
        <w:tc>
          <w:tcPr>
            <w:tcW w:w="6800" w:type="dxa"/>
            <w:vAlign w:val="bottom"/>
          </w:tcPr>
          <w:p>
            <w:pPr>
              <w:jc w:val="center"/>
              <w:ind w:left="5532"/>
              <w:spacing w:after="0" w:line="176" w:lineRule="exact"/>
              <w:rPr>
                <w:sz w:val="20"/>
                <w:szCs w:val="20"/>
                <w:color w:val="auto"/>
              </w:rPr>
            </w:pPr>
            <w:r>
              <w:rPr>
                <w:rFonts w:ascii="Arial" w:cs="Arial" w:eastAsia="Arial" w:hAnsi="Arial"/>
                <w:sz w:val="18"/>
                <w:szCs w:val="18"/>
                <w:color w:val="auto"/>
                <w:w w:val="96"/>
              </w:rPr>
              <w:t>F-4</w:t>
            </w:r>
          </w:p>
        </w:tc>
      </w:tr>
      <w:tr>
        <w:trPr>
          <w:trHeight w:val="20"/>
        </w:trPr>
        <w:tc>
          <w:tcPr>
            <w:tcW w:w="16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080" w:type="dxa"/>
            <w:vAlign w:val="bottom"/>
            <w:tcBorders>
              <w:bottom w:val="single" w:sz="8" w:color="0000EE"/>
            </w:tcBorders>
            <w:gridSpan w:val="7"/>
            <w:shd w:val="clear" w:color="auto" w:fill="CCEEFF"/>
          </w:tcPr>
          <w:p>
            <w:pPr>
              <w:ind w:left="20"/>
              <w:spacing w:after="0" w:line="17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Statements of Changes in Shareholders’ Equity (Deficit)</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6800" w:type="dxa"/>
            <w:vAlign w:val="bottom"/>
            <w:tcBorders>
              <w:bottom w:val="single" w:sz="8" w:color="CCEEFF"/>
            </w:tcBorders>
            <w:shd w:val="clear" w:color="auto" w:fill="CCEEFF"/>
          </w:tcPr>
          <w:p>
            <w:pPr>
              <w:jc w:val="center"/>
              <w:ind w:left="5532"/>
              <w:spacing w:after="0" w:line="176" w:lineRule="exact"/>
              <w:rPr>
                <w:sz w:val="20"/>
                <w:szCs w:val="20"/>
                <w:color w:val="auto"/>
              </w:rPr>
            </w:pPr>
            <w:r>
              <w:rPr>
                <w:rFonts w:ascii="Arial" w:cs="Arial" w:eastAsia="Arial" w:hAnsi="Arial"/>
                <w:sz w:val="18"/>
                <w:szCs w:val="18"/>
                <w:color w:val="auto"/>
                <w:w w:val="96"/>
              </w:rPr>
              <w:t>F-5</w:t>
            </w:r>
          </w:p>
        </w:tc>
      </w:tr>
      <w:tr>
        <w:trPr>
          <w:trHeight w:val="175"/>
        </w:trPr>
        <w:tc>
          <w:tcPr>
            <w:tcW w:w="160" w:type="dxa"/>
            <w:vAlign w:val="bottom"/>
          </w:tcPr>
          <w:p>
            <w:pPr>
              <w:spacing w:after="0"/>
              <w:rPr>
                <w:sz w:val="15"/>
                <w:szCs w:val="15"/>
                <w:color w:val="auto"/>
              </w:rPr>
            </w:pPr>
          </w:p>
        </w:tc>
        <w:tc>
          <w:tcPr>
            <w:tcW w:w="4280" w:type="dxa"/>
            <w:vAlign w:val="bottom"/>
            <w:gridSpan w:val="8"/>
          </w:tcPr>
          <w:p>
            <w:pPr>
              <w:ind w:left="20"/>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Statements of Cash Flows</w:t>
              </w:r>
            </w:hyperlink>
          </w:p>
        </w:tc>
        <w:tc>
          <w:tcPr>
            <w:tcW w:w="6800" w:type="dxa"/>
            <w:vAlign w:val="bottom"/>
          </w:tcPr>
          <w:p>
            <w:pPr>
              <w:jc w:val="center"/>
              <w:ind w:left="5532"/>
              <w:spacing w:after="0" w:line="176" w:lineRule="exact"/>
              <w:rPr>
                <w:sz w:val="20"/>
                <w:szCs w:val="20"/>
                <w:color w:val="auto"/>
              </w:rPr>
            </w:pPr>
            <w:r>
              <w:rPr>
                <w:rFonts w:ascii="Arial" w:cs="Arial" w:eastAsia="Arial" w:hAnsi="Arial"/>
                <w:sz w:val="18"/>
                <w:szCs w:val="18"/>
                <w:color w:val="auto"/>
                <w:w w:val="96"/>
              </w:rPr>
              <w:t>F-6</w:t>
            </w:r>
          </w:p>
        </w:tc>
      </w:tr>
      <w:tr>
        <w:trPr>
          <w:trHeight w:val="21"/>
        </w:trPr>
        <w:tc>
          <w:tcPr>
            <w:tcW w:w="16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4280" w:type="dxa"/>
            <w:vAlign w:val="bottom"/>
            <w:gridSpan w:val="8"/>
            <w:shd w:val="clear" w:color="auto" w:fill="CCEEFF"/>
          </w:tcPr>
          <w:p>
            <w:pPr>
              <w:ind w:left="20"/>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Notes to Financial Statements</w:t>
              </w:r>
            </w:hyperlink>
          </w:p>
        </w:tc>
        <w:tc>
          <w:tcPr>
            <w:tcW w:w="6800" w:type="dxa"/>
            <w:vAlign w:val="bottom"/>
            <w:shd w:val="clear" w:color="auto" w:fill="CCEEFF"/>
          </w:tcPr>
          <w:p>
            <w:pPr>
              <w:jc w:val="center"/>
              <w:ind w:left="5532"/>
              <w:spacing w:after="0" w:line="176" w:lineRule="exact"/>
              <w:rPr>
                <w:sz w:val="20"/>
                <w:szCs w:val="20"/>
                <w:color w:val="auto"/>
              </w:rPr>
            </w:pPr>
            <w:r>
              <w:rPr>
                <w:rFonts w:ascii="Arial" w:cs="Arial" w:eastAsia="Arial" w:hAnsi="Arial"/>
                <w:sz w:val="18"/>
                <w:szCs w:val="18"/>
                <w:color w:val="auto"/>
                <w:w w:val="92"/>
              </w:rPr>
              <w:t>F-7 to F-20</w:t>
            </w:r>
          </w:p>
        </w:tc>
      </w:tr>
      <w:tr>
        <w:trPr>
          <w:trHeight w:val="568"/>
        </w:trPr>
        <w:tc>
          <w:tcPr>
            <w:tcW w:w="160" w:type="dxa"/>
            <w:vAlign w:val="bottom"/>
            <w:tcBorders>
              <w:top w:val="single" w:sz="8" w:color="CCEEFF"/>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800" w:type="dxa"/>
            <w:vAlign w:val="bottom"/>
            <w:tcBorders>
              <w:top w:val="single" w:sz="8" w:color="CCEEFF"/>
            </w:tcBorders>
          </w:tcPr>
          <w:p>
            <w:pPr>
              <w:jc w:val="center"/>
              <w:ind w:right="4352"/>
              <w:spacing w:after="0"/>
              <w:rPr>
                <w:sz w:val="20"/>
                <w:szCs w:val="20"/>
                <w:color w:val="auto"/>
              </w:rPr>
            </w:pPr>
            <w:r>
              <w:rPr>
                <w:rFonts w:ascii="Arial" w:cs="Arial" w:eastAsia="Arial" w:hAnsi="Arial"/>
                <w:sz w:val="14"/>
                <w:szCs w:val="14"/>
                <w:color w:val="auto"/>
                <w:w w:val="95"/>
              </w:rPr>
              <w:t>F-1</w:t>
            </w:r>
          </w:p>
        </w:tc>
      </w:tr>
      <w:tr>
        <w:trPr>
          <w:trHeight w:val="46"/>
        </w:trPr>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Tuatara Capital Acquisition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audited the accompanying balance sheet of Tuatara Capital Acquisition Corporation (the “Company”) as of December 31, 2021 and 2020, the related statements of operations, changes in shareholders’ equity (deficit) and cash flows for the year ended December 31, 2021 and the period from January 24,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January 24, 2020 (inception) through December 31, 2020,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February 17, 2023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PCAOB ID Number 100</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rPr>
              <w:t>TUATARA CAPITAL ACQUISITION CORPORATION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98"/>
              </w:rPr>
              <w:t>BALANCE SHEETS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185,752</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259,939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881,411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417,083</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200,035,810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200,917,221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602,835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LIABILITIES, CLASS A ORDINARY SHARES SUBJECT TO POSSIBLE REDEMPTION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SHAREHOLDERS’ EQUITY (DEFICIT)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1,555,405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offering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332,899</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Promissory note – related party</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1,663,405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582,899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Warrant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9,440,000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18,103,405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582,899</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0"/>
              </w:rPr>
              <w:t>Class A ordinary shares subject to possible redemption 20,000,000 and no shares at $10.00 per share at December 31,</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2021 and 2020, respectively</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200,000,000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 (Deficit)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shares, $0.0001 par value; 1,000,000 shares authorized; none issued or outstanding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6"/>
              </w:rPr>
              <w:t>Class A ordinary shares, $0.0001 par value; 200,000,000 shares authorized -0- shares issued and outstanding at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December 31, 2021 and 2020</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Class B ordinary shares, $0.0001 par value; 20,000,000 shares authorized; 5,000,000 and 5,031,250 (1) shares issued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outstanding at December 31, 2021 and 2020,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24,497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(17,186,684)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(Deficit)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(17,186,184)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19,936</w:t>
            </w: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LIABILITIES, CLASS A ORDINARY SHARES SUBJECT TO POSSIBLE REDEMPTION AND</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SHAREHOLDERS’ EQUITY (DEFICIT)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200,917,221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602,835</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5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Excludes an aggregate of up to 656,250 shares that are subject to forfeiture if the over-allotment option is not exercised in full or in part by the underwriters (see Note 5). On January 26, 2021, the Sponsor returned 1,437,500 Class B ordinary shares to the Company, which were canceled, and on February 11, 2021 the Company effected a share capitalization pursuant to which an additional 718,750 Founder Shares were issued resulting in an aggregate of 5,031,250 Class B ordinary shares outstanding (see Note 5). All share and per-share amounts have been retroactively restated to reflect the share cancellation.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TUATARA CAPITAL ACQUISITION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18"/>
                <w:szCs w:val="18"/>
                <w:color w:val="auto"/>
              </w:rPr>
            </w:pPr>
          </w:p>
        </w:tc>
        <w:tc>
          <w:tcPr>
            <w:tcW w:w="202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Period from January 24,</w:t>
            </w:r>
          </w:p>
        </w:tc>
      </w:tr>
      <w:tr>
        <w:trPr>
          <w:trHeight w:val="216"/>
        </w:trPr>
        <w:tc>
          <w:tcPr>
            <w:tcW w:w="6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94"/>
              </w:rPr>
              <w:t>December 31,   2020 (Inception) through</w:t>
            </w:r>
          </w:p>
        </w:tc>
      </w:tr>
      <w:tr>
        <w:trPr>
          <w:trHeight w:val="241"/>
        </w:trPr>
        <w:tc>
          <w:tcPr>
            <w:tcW w:w="6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and formation costs</w:t>
            </w: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2,035,074</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646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(2,035,074)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(5,064)</w:t>
            </w:r>
          </w:p>
        </w:tc>
      </w:tr>
      <w:tr>
        <w:trPr>
          <w:trHeight w:val="216"/>
        </w:trPr>
        <w:tc>
          <w:tcPr>
            <w:tcW w:w="6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Other income (expense):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Transaction costs allocated to warrant liabilities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(853,386)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Pr>
          <w:p>
            <w:pPr>
              <w:ind w:left="180"/>
              <w:spacing w:after="0"/>
              <w:rPr>
                <w:sz w:val="20"/>
                <w:szCs w:val="20"/>
                <w:color w:val="auto"/>
              </w:rPr>
            </w:pPr>
            <w:r>
              <w:rPr>
                <w:rFonts w:ascii="Arial" w:cs="Arial" w:eastAsia="Arial" w:hAnsi="Arial"/>
                <w:sz w:val="18"/>
                <w:szCs w:val="18"/>
                <w:color w:val="auto"/>
              </w:rPr>
              <w:t>Interest earned on investments held in Trust Account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9,742,424</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46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60" w:type="dxa"/>
            <w:vAlign w:val="bottom"/>
            <w:gridSpan w:val="2"/>
          </w:tcPr>
          <w:p>
            <w:pPr>
              <w:spacing w:after="0"/>
              <w:rPr>
                <w:sz w:val="18"/>
                <w:szCs w:val="18"/>
                <w:color w:val="auto"/>
              </w:rPr>
            </w:pPr>
          </w:p>
        </w:tc>
      </w:tr>
      <w:tr>
        <w:trPr>
          <w:trHeight w:val="257"/>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7,707,350</w:t>
            </w: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(5,064)</w:t>
            </w:r>
          </w:p>
        </w:tc>
      </w:tr>
      <w:tr>
        <w:trPr>
          <w:trHeight w:val="209"/>
        </w:trPr>
        <w:tc>
          <w:tcPr>
            <w:tcW w:w="64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weighted average shares outstanding, Class A ordinary shares</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17,369,863</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46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60" w:type="dxa"/>
            <w:vAlign w:val="bottom"/>
            <w:gridSpan w:val="2"/>
          </w:tcPr>
          <w:p>
            <w:pPr>
              <w:spacing w:after="0"/>
              <w:rPr>
                <w:sz w:val="18"/>
                <w:szCs w:val="18"/>
                <w:color w:val="auto"/>
              </w:rPr>
            </w:pPr>
          </w:p>
        </w:tc>
      </w:tr>
      <w:tr>
        <w:trPr>
          <w:trHeight w:val="256"/>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net income per share, Class A ordinary shares</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r>
      <w:tr>
        <w:trPr>
          <w:trHeight w:val="257"/>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weighted average shares outstanding, Class B ordinary shares</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4,917,808</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646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60" w:type="dxa"/>
            <w:vAlign w:val="bottom"/>
            <w:gridSpan w:val="2"/>
          </w:tcPr>
          <w:p>
            <w:pPr>
              <w:spacing w:after="0"/>
              <w:rPr>
                <w:sz w:val="18"/>
                <w:szCs w:val="18"/>
                <w:color w:val="auto"/>
              </w:rPr>
            </w:pPr>
          </w:p>
        </w:tc>
      </w:tr>
      <w:tr>
        <w:trPr>
          <w:trHeight w:val="257"/>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net income per share, Class B ordinary shares</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6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r>
      <w:tr>
        <w:trPr>
          <w:trHeight w:val="257"/>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shares outstanding, Class B ordinary shares</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5,000,000</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646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60" w:type="dxa"/>
            <w:vAlign w:val="bottom"/>
            <w:gridSpan w:val="2"/>
          </w:tcPr>
          <w:p>
            <w:pPr>
              <w:spacing w:after="0"/>
              <w:rPr>
                <w:sz w:val="18"/>
                <w:szCs w:val="18"/>
                <w:color w:val="auto"/>
              </w:rPr>
            </w:pPr>
          </w:p>
        </w:tc>
      </w:tr>
      <w:tr>
        <w:trPr>
          <w:trHeight w:val="257"/>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net income per share, Class B ordinary shares</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TUATARA CAPITAL ACQUISITION CORPORATION STATEMENTS OF CHANGES IN SHAREHOLDERS’ EQUITY (DEFICIT) December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6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Class B Ordinary Shares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Shareholders’</w:t>
            </w:r>
          </w:p>
        </w:tc>
      </w:tr>
      <w:tr>
        <w:trPr>
          <w:trHeight w:val="241"/>
        </w:trPr>
        <w:tc>
          <w:tcPr>
            <w:tcW w:w="462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Equity (Deficit)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24, 2020 (inception)</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Class B ordinary shares to Sponsor</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5,031,250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46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(5,064)</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(5,064)</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5,031,250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24,497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(5,064)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19,936</w:t>
            </w:r>
          </w:p>
        </w:tc>
      </w:tr>
      <w:tr>
        <w:trPr>
          <w:trHeight w:val="216"/>
        </w:trPr>
        <w:tc>
          <w:tcPr>
            <w:tcW w:w="46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Forfeiture of Founder Shares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46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6"/>
              </w:rPr>
              <w:t>Accretion for Class A ordinary shares to redemption amount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(24,888,973)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(24,913,470)</w:t>
            </w:r>
          </w:p>
        </w:tc>
      </w:tr>
      <w:tr>
        <w:trPr>
          <w:trHeight w:val="216"/>
        </w:trPr>
        <w:tc>
          <w:tcPr>
            <w:tcW w:w="46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7,707,350</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7,707,350</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(17,186,684)</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(17,186,184)</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TUATARA CAPITAL ACQUISITION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18"/>
                <w:szCs w:val="18"/>
                <w:color w:val="auto"/>
              </w:rPr>
            </w:pPr>
          </w:p>
        </w:tc>
        <w:tc>
          <w:tcPr>
            <w:tcW w:w="202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Period from January 24,</w:t>
            </w:r>
          </w:p>
        </w:tc>
      </w:tr>
      <w:tr>
        <w:trPr>
          <w:trHeight w:val="216"/>
        </w:trPr>
        <w:tc>
          <w:tcPr>
            <w:tcW w:w="7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9"/>
          </w:tcPr>
          <w:p>
            <w:pPr>
              <w:jc w:val="right"/>
              <w:ind w:right="100"/>
              <w:spacing w:after="0"/>
              <w:rPr>
                <w:sz w:val="20"/>
                <w:szCs w:val="20"/>
                <w:color w:val="auto"/>
              </w:rPr>
            </w:pPr>
            <w:r>
              <w:rPr>
                <w:rFonts w:ascii="Arial" w:cs="Arial" w:eastAsia="Arial" w:hAnsi="Arial"/>
                <w:sz w:val="18"/>
                <w:szCs w:val="18"/>
                <w:b w:val="1"/>
                <w:bCs w:val="1"/>
                <w:color w:val="auto"/>
                <w:w w:val="93"/>
              </w:rPr>
              <w:t>December 31,   2020 (Inception) through</w:t>
            </w:r>
          </w:p>
        </w:tc>
      </w:tr>
      <w:tr>
        <w:trPr>
          <w:trHeight w:val="241"/>
        </w:trPr>
        <w:tc>
          <w:tcPr>
            <w:tcW w:w="7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2020</w:t>
            </w: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7,707,350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(5,064)</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Formation cost paid by Sponsor in exchange for issuance of founder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Interest earned on investments securities held in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(35,810)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(12,960,000)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Transaction costs allocated to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
              <w:spacing w:after="0"/>
              <w:rPr>
                <w:sz w:val="20"/>
                <w:szCs w:val="20"/>
                <w:color w:val="auto"/>
              </w:rPr>
            </w:pPr>
            <w:r>
              <w:rPr>
                <w:rFonts w:ascii="Arial" w:cs="Arial" w:eastAsia="Arial" w:hAnsi="Arial"/>
                <w:sz w:val="18"/>
                <w:szCs w:val="18"/>
                <w:color w:val="auto"/>
              </w:rPr>
              <w:t>853,386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2,400,000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(259,939)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1"/>
              <w:spacing w:after="0"/>
              <w:rPr>
                <w:sz w:val="20"/>
                <w:szCs w:val="20"/>
                <w:color w:val="auto"/>
              </w:rPr>
            </w:pPr>
            <w:r>
              <w:rPr>
                <w:rFonts w:ascii="Arial" w:cs="Arial" w:eastAsia="Arial" w:hAnsi="Arial"/>
                <w:sz w:val="18"/>
                <w:szCs w:val="18"/>
                <w:color w:val="auto"/>
              </w:rPr>
              <w:t>1,555,405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9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3"/>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(739,608)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shd w:val="clear" w:color="auto" w:fill="CCEEFF"/>
          </w:tcPr>
          <w:p>
            <w:pPr>
              <w:spacing w:after="0"/>
              <w:rPr>
                <w:sz w:val="19"/>
                <w:szCs w:val="19"/>
                <w:color w:val="auto"/>
              </w:rPr>
            </w:pPr>
          </w:p>
        </w:tc>
      </w:tr>
      <w:tr>
        <w:trPr>
          <w:trHeight w:val="216"/>
        </w:trPr>
        <w:tc>
          <w:tcPr>
            <w:tcW w:w="7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900" w:type="dxa"/>
            <w:vAlign w:val="bottom"/>
          </w:tcPr>
          <w:p>
            <w:pPr>
              <w:ind w:left="180"/>
              <w:spacing w:after="0"/>
              <w:rPr>
                <w:sz w:val="20"/>
                <w:szCs w:val="20"/>
                <w:color w:val="auto"/>
              </w:rPr>
            </w:pPr>
            <w:r>
              <w:rPr>
                <w:rFonts w:ascii="Arial" w:cs="Arial" w:eastAsia="Arial" w:hAnsi="Arial"/>
                <w:sz w:val="18"/>
                <w:szCs w:val="18"/>
                <w:color w:val="auto"/>
              </w:rPr>
              <w:t>Investment of cash in Trust Account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w w:val="94"/>
              </w:rPr>
              <w:t>(200,000,000)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9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(200,000,000</w:t>
            </w:r>
          </w:p>
        </w:tc>
        <w:tc>
          <w:tcPr>
            <w:tcW w:w="12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6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16"/>
        </w:trPr>
        <w:tc>
          <w:tcPr>
            <w:tcW w:w="7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issuance of Class B ordinary shares to Sponsor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
              <w:spacing w:after="0"/>
              <w:rPr>
                <w:sz w:val="20"/>
                <w:szCs w:val="20"/>
                <w:color w:val="auto"/>
              </w:rPr>
            </w:pPr>
            <w:r>
              <w:rPr>
                <w:rFonts w:ascii="Arial" w:cs="Arial" w:eastAsia="Arial" w:hAnsi="Arial"/>
                <w:sz w:val="18"/>
                <w:szCs w:val="18"/>
                <w:color w:val="auto"/>
                <w:w w:val="99"/>
              </w:rPr>
              <w:t>196,000,000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Private Placements Warrants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6,000,000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promissory note –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promissory note – related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900" w:type="dxa"/>
            <w:vAlign w:val="bottom"/>
          </w:tcPr>
          <w:p>
            <w:pPr>
              <w:ind w:left="180"/>
              <w:spacing w:after="0"/>
              <w:rPr>
                <w:sz w:val="20"/>
                <w:szCs w:val="20"/>
                <w:color w:val="auto"/>
              </w:rPr>
            </w:pPr>
            <w:r>
              <w:rPr>
                <w:rFonts w:ascii="Arial" w:cs="Arial" w:eastAsia="Arial" w:hAnsi="Arial"/>
                <w:sz w:val="18"/>
                <w:szCs w:val="18"/>
                <w:color w:val="auto"/>
              </w:rPr>
              <w:t>Payment of offering costs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(574,672)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(49,184)</w:t>
            </w:r>
          </w:p>
        </w:tc>
      </w:tr>
      <w:tr>
        <w:trPr>
          <w:trHeight w:val="223"/>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201,175,328</w:t>
            </w:r>
          </w:p>
        </w:tc>
        <w:tc>
          <w:tcPr>
            <w:tcW w:w="40" w:type="dxa"/>
            <w:vAlign w:val="bottom"/>
            <w:tcBorders>
              <w:top w:val="single" w:sz="8" w:color="auto"/>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185,816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435,720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185,752</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1"/>
              <w:spacing w:after="0"/>
              <w:rPr>
                <w:sz w:val="20"/>
                <w:szCs w:val="20"/>
                <w:color w:val="auto"/>
              </w:rPr>
            </w:pPr>
            <w:r>
              <w:rPr>
                <w:rFonts w:ascii="Arial" w:cs="Arial" w:eastAsia="Arial" w:hAnsi="Arial"/>
                <w:sz w:val="18"/>
                <w:szCs w:val="18"/>
                <w:color w:val="auto"/>
              </w:rPr>
              <w:t>185,752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20" w:type="dxa"/>
            <w:vAlign w:val="bottom"/>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gridSpan w:val="3"/>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621,472</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185,752</w:t>
            </w:r>
          </w:p>
        </w:tc>
        <w:tc>
          <w:tcPr>
            <w:tcW w:w="100" w:type="dxa"/>
            <w:vAlign w:val="bottom"/>
            <w:shd w:val="clear" w:color="auto" w:fill="CCEEFF"/>
          </w:tcPr>
          <w:p>
            <w:pPr>
              <w:spacing w:after="0"/>
              <w:rPr>
                <w:sz w:val="22"/>
                <w:szCs w:val="22"/>
                <w:color w:val="auto"/>
              </w:rPr>
            </w:pPr>
          </w:p>
        </w:tc>
      </w:tr>
      <w:tr>
        <w:trPr>
          <w:trHeight w:val="210"/>
        </w:trPr>
        <w:tc>
          <w:tcPr>
            <w:tcW w:w="7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Offering costs included in accrued offering costs</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8"/>
                <w:szCs w:val="18"/>
                <w:color w:val="auto"/>
              </w:rPr>
              <w:t>108,000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332,899</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costs paid through promissory note</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3"/>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1"/>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TUATARA CAPITAL ACQUISITION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Tuatara Capital Acquisition Corporation (the “Company”) was incorporated in the Cayman Islands on January 24, 2020. The Company was formed for the purpose of effecting a merger, amalgamation, share exchange, asset acquisition, share purchase, reorganization or similar business combination with one or more businesses (the “Business Combination”).</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the Company is not limited to a particular industry or geographic region for purposes of consummating a Business Combination, the Company intends to focus its search for businesses in the cannabis industry that are compliant with all applicable laws and regulations within the jurisdictions in which they are located or operate. The Company is an early stage and emerging growth company and, as such, the Company is subject to all of the risks associated with early stage and emerging growth companies.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2021, the Company had not commenced any operations. All activity through December 31, 2021 relates to the Company’s formation, initial public offering (the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February 11, 2021. On February 17, 2021, the Company consummated the Initial Public Offering of 20,000,000 units (the “Units” and, with respect to the Class A ordinary shares included in the Units sold, the “Public Shares”), which includes the partial exercise by the underwriter of its over-allotment option in the amount of 2,500,000 Units, at $10.00 per Unit, generating gross proceeds of $200,000,000 which is described in Note 3.</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6,000,000 warrants (the “Private Placement Warrants”) at a price of $1.00 per Private Placement Warrant in a private placement to TCAC Sponsor, LLC (the “Sponsor”), generating gross proceeds of $6,000,000, which is described in Note 4.</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Transaction costs amounted to $11,766,856, consisting of $4,000,000 in cash underwriting fees, $7,000,000 of deferred underwriting fees and $766,856 of other offering costs.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closing of the Initial Public Offering on February 17, 2021, an amount of $200,000,000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and (ii) the distribution of the funds held in the Trust Account, as described below.</w:t>
      </w:r>
    </w:p>
    <w:p>
      <w:pPr>
        <w:spacing w:after="0" w:line="16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 rules of the stock exchange that the Company will list its securities on will require that the Company’s initial Business Combination must be with one or more target businesses that together have an aggregate fair market value of at least 80% of the assets held in the Trust Account (as defined below) (excluding the deferred underwriting commissions and taxes payable on the income earned on the Trust Account) at the time of the agreement to enter into the initial Business Combination. The Company will only complete a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complete a Business Combination successfully.</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will provide the holders of its issued and outstanding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The public shareholders will be entitled to redeem their Public Shares for a pro rata portion of the amount then in the Trust Account (initially $10.00 per Public Share, plus any pro rata interest earned on the funds held in the Trust Account and not previously released to the Company to its tax obligations), calculated as of two business days prior to the completion of the Business Combination. The per-share amount to be distributed to Public Shareholders who redeem their Public Shares will not be reduced by the deferred underwriting commissions the Company will pay to the underwriters (as discussed in Note 6). There will be no redemption rights upon the completion of a Business Combination with respect to the Company’s warrants.</w:t>
      </w:r>
    </w:p>
    <w:p>
      <w:pPr>
        <w:sectPr>
          <w:pgSz w:w="11900" w:h="16838" w:orient="portrait"/>
          <w:cols w:equalWidth="0" w:num="1">
            <w:col w:w="11240"/>
          </w:cols>
          <w:pgMar w:left="320" w:top="121" w:right="3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upon such consummation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applicable by law or stock exchange listing requirements and the Company does not decide to hold a shareholder vote for business or other reasons, the Company will, pursuant to its Amended and Restated Memorandum and Articles of Association, conduct the redemptions pursuant to the tender offer rules of the U.S. Securities and Exchange Commission (the “SEC”) and file tender offer documents with the SEC prior to completing a Business Combination. If, however, shareholder approval of the transactions is required by applicable law or stock exchange listing requirements, or the Company decides to obtain shareholder approval for business or other reasons, the Company will offer to redeem shares in conjunction with a proxy solicitation pursuant to the proxy rules and not pursuant to the tender offer rules. If the Company seeks shareholder approval in connection with a Business Combination, the Sponsor, officers and directors (the “initial shareholders”) have agreed to vote any Founder Shares (as defined in Note 5) and Public Shares held by them in favor of approving a Business Combination. Additionally, each public shareholder may elect to redeem their Public Shares, without voting, and if they do vote, irrespective of whether they vote for or against a Business Combination.</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foregoing, if the Company seeks shareholder approval of a Business Combination and it does not conduct redemptions pursuant to the tender offer rules, the Company’s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prior consent of the Company.</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initial shareholders have agreed to waive: (i) their redemption rights with respect to any Founder Shares and Public Shares held by them in connection with the completion of the Company’s initial Business Combination (and not seek to sell its shares to the Company in any tender offer the Company undertakes in connection with its initial Business Combination) and (ii) their redemption rights with respect to their Founder Shares and any Public Shares held by them in connection with a shareholder vote to approve an amendment to the Company’s Amended and Restated Memorandum and Articles of Association (A) to modify the substance or timing of the Company’s obligation to allow redemption in connection with its initial Business Combination or to redeem 100% of the Public Shares if the Company does not complete its initial Business Combination within 24 months from the closing of the Initial Public Offering or (B) with respect to any other provision relating to shareholders’ rights or pre-initial business combination activity.</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will have until February 17, 2023 to complete a Business Combination (the “Combination Period”). 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the Company’s remaining shareholders and the Company’s board of directors, dissolve and liquidate,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8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per-share value of the assets remaining available for distribution will be less than the Initial Public Offering price per Unit ($10.00).</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(except for the Company’s the independent registered public accounting firm) for services rendered or products sold to the Company, or a prospective target business with which the Company has discussed entering into a transaction agreement, reduce the amounts in the Trust Account to below (i) $10.00 per Public Share or (ii)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intends to complete a Business Combination by February 17, 2023. However, in the absence of a completed Business Combination, the Company may require additional capital. 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until February 17, 2023,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the Company’s ability to continue as a going concern. No adjustments have been made to the carrying amounts of assets or liabilities should the Company be required to liquidate after February 17,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Securities and Exchange Commission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warrant liability. Accordingly, the actual results could differ significantly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Offering costs consist of legal, accounting, underwriting fees and other costs incurred through the balance sheet date that are directly related to the Initial Public Offering. Offering costs are allocated to the separable financial instruments issued in the Initial Public Offering based on a relative fair value basis, compared to total proceeds received. Offering costs associated with warrant liabilities are expensed as incurred, presented as non-operating expenses in the statement of operations. Offering costs associated with the Class A ordinary shares issued were initially charged to temporary equity and then accreted to common stock subject to redemption upon the completion of the Initial Public Offering. Offering costs amounted to $11,766,856, of which $10,913,470 were charged to shareholders’ equity upon the completion of the Initial Public Offering and $853,386 were expensed to the statement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accounts for its Class A ordinary shares subject to possible redemption in accordance with the guidance in Accounting Standards Codification (“ASC”) Topic 480, “Distinguishing Liabilities from Equity.” Shares of Class A ordinary shares subject to mandatory redemption is classified as a liability instrument and is measured at fair value. Conditionally redeemable ordinary shares (including ordinary shares that features redemption rights that is either within the control of the holder or subject to redemption upon the occurrence of uncertain events not solely within the Company’s control) is classified as temporary equity. At all other times, ordinary shares is classified as shareholders’ equity. The Company’s Class A ordinary shares features certain redemption rights that are considered to be outside of the Company’s control and subject to occurrence of uncertain future events. Accordingly, at December 31, 2021 and December 31, 2020 there were 20,000,000 and 0, respectively, Class A ordinary shares subject to possible redemption are presented as temporary equity, outside of the shareholders’ equity (deficit) section of the Company’s balance sheets.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ordinary shares to equal the redemption value at the end of each reporting period. Immediately upon the closing of the Initial Public Offering, the Company recognized the accretion from initial book value to redemption amount value. The change in the carrying value of redeemable Class A ordinary shares resulted in charges against additional paid-in capital and accumulated deficit.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the Class A ordinary shares reflected in the balance sheets are reconciled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200,000,000</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Less:</w:t>
            </w: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allocated to Public Warrants</w:t>
            </w:r>
          </w:p>
        </w:tc>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(14,000,000)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Class A ordinary shares issuance costs</w:t>
            </w: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(10,913,470)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5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860" w:type="dxa"/>
            <w:vAlign w:val="bottom"/>
          </w:tcPr>
          <w:p>
            <w:pPr>
              <w:ind w:left="180"/>
              <w:spacing w:after="0"/>
              <w:rPr>
                <w:sz w:val="20"/>
                <w:szCs w:val="20"/>
                <w:color w:val="auto"/>
              </w:rPr>
            </w:pPr>
            <w:r>
              <w:rPr>
                <w:rFonts w:ascii="Arial" w:cs="Arial" w:eastAsia="Arial" w:hAnsi="Arial"/>
                <w:sz w:val="18"/>
                <w:szCs w:val="18"/>
                <w:color w:val="auto"/>
              </w:rPr>
              <w:t>Accretion of carrying value to redemption value</w:t>
            </w:r>
          </w:p>
        </w:tc>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24,913,470</w:t>
            </w:r>
          </w:p>
        </w:tc>
      </w:tr>
      <w:tr>
        <w:trPr>
          <w:trHeight w:val="257"/>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Class A ordinary shares subject to possible redemption</w:t>
            </w:r>
          </w:p>
        </w:tc>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200,000,000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4860" w:type="dxa"/>
            <w:vAlign w:val="bottom"/>
          </w:tcPr>
          <w:p>
            <w:pPr>
              <w:spacing w:after="0"/>
              <w:rPr>
                <w:sz w:val="24"/>
                <w:szCs w:val="24"/>
                <w:color w:val="auto"/>
              </w:rPr>
            </w:pPr>
          </w:p>
        </w:tc>
        <w:tc>
          <w:tcPr>
            <w:tcW w:w="5320" w:type="dxa"/>
            <w:vAlign w:val="bottom"/>
            <w:gridSpan w:val="2"/>
          </w:tcPr>
          <w:p>
            <w:pPr>
              <w:jc w:val="right"/>
              <w:ind w:right="4330"/>
              <w:spacing w:after="0"/>
              <w:rPr>
                <w:sz w:val="20"/>
                <w:szCs w:val="20"/>
                <w:color w:val="auto"/>
              </w:rPr>
            </w:pPr>
            <w:r>
              <w:rPr>
                <w:rFonts w:ascii="Arial" w:cs="Arial" w:eastAsia="Arial" w:hAnsi="Arial"/>
                <w:sz w:val="14"/>
                <w:szCs w:val="14"/>
                <w:color w:val="auto"/>
              </w:rPr>
              <w:t>F-10</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86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accounts for the Warrants in accordance with the guidance contained in ASC 815-40 under which the Warrants do not meet the criteria for equity treatment and must be recorded as liabilities. Accordingly, the Company classifies the Warrants as liabilities at their fair value and adjust the Warrants to fair value at each reporting period. This liability is subject to re-measurement at each balance sheet date until exercised, and any change in fair value is recognized in our statement of operations. The Private Warrants and Public Warrants for periods where no observable traded price was available are valued using a Monte Carlo simulation model, specifically a binomial lattice. For periods subsequent to the detachment of the Public Warrants from the Units, the Public Warrant quoted market price was used as the fair value as of each relevant date for both Public Warrants and Private Placement Warrants.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2021 and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225"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The Company complies with accounting and disclosure requirements of Financial Accounting Standards Board Accounting Standards Codification Topic 260, “Earnings Per Share”. Net income (loss) per ordinary share is computed by dividing net income (loss) by the weighted average number of ordinary shares outstanding for the period. We have two classes of shares, which are referred to as Class A ordinary shares and Class B ordinary shares. Income and losses are shared pro rata between the two classes of shares. Accretion associated with the redeemable shares of Class A ordinary shares is excluded from earnings per share as the redemption value approximates fair value.</w:t>
      </w:r>
    </w:p>
    <w:p>
      <w:pPr>
        <w:spacing w:after="0" w:line="176"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The calculation of diluted income (loss) per share does not consider the effect of the warrants issued in connection with the (i) Initial Public Offering, and (ii) the private placement since the exercise of the warrants is contingent upon the occurrence of future events. As of December 31, 2021 and December 31, 2020, the Company did not have any dilutive securities or other contracts that could, potentially, be exercised or converted into ordinary shares and then share in the earnings of the Company. As a result, diluted net loss per ordinary share and basic net loss per ordinary share for the periods presented are not the same and are separately stated.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the calculation of basic and diluted net income (loss) per ordinary share (in dollars,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Pr>
          <w:p>
            <w:pPr>
              <w:spacing w:after="0"/>
              <w:rPr>
                <w:sz w:val="18"/>
                <w:szCs w:val="18"/>
                <w:color w:val="auto"/>
              </w:rPr>
            </w:pPr>
          </w:p>
        </w:tc>
        <w:tc>
          <w:tcPr>
            <w:tcW w:w="2360" w:type="dxa"/>
            <w:vAlign w:val="bottom"/>
            <w:gridSpan w:val="5"/>
          </w:tcPr>
          <w:p>
            <w:pPr>
              <w:ind w:left="100"/>
              <w:spacing w:after="0"/>
              <w:rPr>
                <w:sz w:val="20"/>
                <w:szCs w:val="20"/>
                <w:color w:val="auto"/>
              </w:rPr>
            </w:pPr>
            <w:r>
              <w:rPr>
                <w:rFonts w:ascii="Arial" w:cs="Arial" w:eastAsia="Arial" w:hAnsi="Arial"/>
                <w:sz w:val="18"/>
                <w:szCs w:val="18"/>
                <w:b w:val="1"/>
                <w:bCs w:val="1"/>
                <w:color w:val="auto"/>
              </w:rPr>
              <w:t>Period from January 24,</w:t>
            </w:r>
          </w:p>
        </w:tc>
      </w:tr>
      <w:tr>
        <w:trPr>
          <w:trHeight w:val="216"/>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18"/>
                <w:szCs w:val="18"/>
                <w:color w:val="auto"/>
              </w:rPr>
            </w:pPr>
          </w:p>
        </w:tc>
        <w:tc>
          <w:tcPr>
            <w:tcW w:w="2360" w:type="dxa"/>
            <w:vAlign w:val="bottom"/>
            <w:gridSpan w:val="5"/>
          </w:tcPr>
          <w:p>
            <w:pPr>
              <w:ind w:left="80"/>
              <w:spacing w:after="0"/>
              <w:rPr>
                <w:sz w:val="20"/>
                <w:szCs w:val="20"/>
                <w:color w:val="auto"/>
              </w:rPr>
            </w:pPr>
            <w:r>
              <w:rPr>
                <w:rFonts w:ascii="Arial" w:cs="Arial" w:eastAsia="Arial" w:hAnsi="Arial"/>
                <w:sz w:val="18"/>
                <w:szCs w:val="18"/>
                <w:b w:val="1"/>
                <w:bCs w:val="1"/>
                <w:color w:val="auto"/>
              </w:rPr>
              <w:t>2020 (Inception) through</w:t>
            </w:r>
          </w:p>
        </w:tc>
      </w:tr>
      <w:tr>
        <w:trPr>
          <w:trHeight w:val="241"/>
        </w:trPr>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89"/>
              </w:rPr>
              <w:t>2021</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5"/>
          </w:tcPr>
          <w:p>
            <w:pPr>
              <w:ind w:left="32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4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99"/>
              </w:rPr>
              <w:t>Class A</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Class B</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Class A</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Class B</w:t>
            </w:r>
          </w:p>
        </w:tc>
        <w:tc>
          <w:tcPr>
            <w:tcW w:w="100" w:type="dxa"/>
            <w:vAlign w:val="bottom"/>
          </w:tcPr>
          <w:p>
            <w:pPr>
              <w:spacing w:after="0"/>
              <w:rPr>
                <w:sz w:val="19"/>
                <w:szCs w:val="19"/>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i w:val="1"/>
                <w:iCs w:val="1"/>
                <w:color w:val="auto"/>
              </w:rPr>
              <w:t>Basic net income (loss) per ordinary share</w:t>
            </w:r>
          </w:p>
        </w:tc>
        <w:tc>
          <w:tcPr>
            <w:tcW w:w="15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Numerator:</w:t>
            </w: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net income (loss), as adjusted</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6,006,712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1,700,638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Denominator:</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17,369,863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4,917,808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4,375,000</w:t>
            </w:r>
          </w:p>
        </w:tc>
      </w:tr>
      <w:tr>
        <w:trPr>
          <w:trHeight w:val="27"/>
        </w:trPr>
        <w:tc>
          <w:tcPr>
            <w:tcW w:w="44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Basic net income per ordinary share</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0.35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i w:val="1"/>
                <w:iCs w:val="1"/>
                <w:color w:val="auto"/>
              </w:rPr>
              <w:t>Diluted net income (loss) per ordinary share</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Allocation of net income (loss), as adjusted</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5,984,642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1,722,708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(5,064)</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17,369,863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5,000,000</w:t>
            </w:r>
          </w:p>
        </w:tc>
        <w:tc>
          <w:tcPr>
            <w:tcW w:w="1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4,375,000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ordinary share</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569"/>
        </w:trPr>
        <w:tc>
          <w:tcPr>
            <w:tcW w:w="4440" w:type="dxa"/>
            <w:vAlign w:val="bottom"/>
          </w:tcPr>
          <w:p>
            <w:pPr>
              <w:spacing w:after="0"/>
              <w:rPr>
                <w:sz w:val="24"/>
                <w:szCs w:val="24"/>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4"/>
                <w:szCs w:val="14"/>
                <w:color w:val="auto"/>
              </w:rPr>
              <w:t>F-11</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4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Corporation coverage limit of $250,000. The Company has not experienced losses on these accounts and management believes the Company is not exposed to significant risks on such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balance sheets, primarily due to their short-term nature, except for the warrants (see Note 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Accounting Standards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August 2020, the FASB issued Accounting Standards Update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We are currently assessing the impact, if any, that ASU 2020-06 would have on our financial position, results of operations or cash flows.</w:t>
      </w:r>
    </w:p>
    <w:p>
      <w:pPr>
        <w:spacing w:after="0" w:line="19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PUBLIC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Initial Public Offering, the Company sold 20,000,000 Units, which includes a partial exercise by the underwriters of their overallotment option in the amount of 2,500,000 Units, at a price of $10.00 per Unit. Each Unit consists of one Class A ordinary share and one-half of one redeemable warrant (“Public Warrant”). Each whole Public Warrant entitles the holder to purchase one Class A ordinary share at a price of $11.50 per share, subject to adjustment (see Note 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purchased an aggregate of 6,000,000 Private Placement Warrants at a price of $1.00 per Private Placement Warrant, for an aggregate purchase price of $6,000,000, in a private placement. Each Private Placement Warrant is exercisable to purchase one Class A ordinary share at a price of $11.50 per share, subject to adjustment (see Note 8). A portion of the proceeds from the Private Placement Warrants were added to the proceeds from the Initial Public Offering held in the Trust Account. If the Company does not complete a Business Combination within the Combination Period, the proceeds of the sale of the Private Placement Warrants will be used to fund the redemption of the Public Shares (subject to the requirements of applicable law), and the Private Placement Warrants will expire worthless. Due to the excess of the fair value of the Private Placement warrants in excess of the purchase price, the Company recorded an expense of $2,400,000 for the year ended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10, 2020, the Company issued 5,750,000 Class B ordinary shares to the Sponsor for an aggregate purchase price of $25,000 (the “Founder Shares”). On January 26, 2021, the Sponsor returned 1,437,500 Founder Shares to the Company, which were canceled, resulting in an aggregate of 4,312,500 Founder Shares outstanding. On February 3, 2021, the Sponsor transferred 50,000 Founder Shares to Mr. Taney, 40,000 Founder Shares to Mr. Bornstein and 40,000 Founder Shares to Mr. Kekedjian for the same per share purchase price paid by the Sponsor. On February 11, 2021, the Company effected a share capitalization pursuant to which an additional 718,750 Founder Shares were issued, resulting in an aggregate of 5,031,250 Founder Shares outstanding. On August 27, 2021 the Sponsor transferred 40,000 Founders Shares to Mr. Finkelman. The Founder Shares included an aggregate of up to 656,250 shares that were subject to forfeiture to the extent that the underwriters’ over-allotment option was not exercised in full or in part, so that the number of Founder Shares would equal 20% of the Company’s issued and outstanding ordinary shares after the Initial Public Offering. As a result of the underwriters’ election to partially exercise their over-allotment option and the expiration of the remaining over-allotment option, a total of 625,000 shares is no longer subject to forfeiture and 31,250 shares were forfeited, resulting in an aggregate of 5,000,000 Founder Shares issued and outstanding as of December 31, 2021.</w:t>
      </w:r>
    </w:p>
    <w:p>
      <w:pPr>
        <w:sectPr>
          <w:pgSz w:w="11900" w:h="16838" w:orient="portrait"/>
          <w:cols w:equalWidth="0" w:num="1">
            <w:col w:w="11240"/>
          </w:cols>
          <w:pgMar w:left="320" w:top="121" w:right="3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Founder Shares will automatically convert into Class A ordinary shares on the first business day following the completion of a Business Combination on a one-for-one basis, subject to adjustments as described in Note 7.</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initial shareholders have agreed, subject to limited exceptions, not to transfer, assign or sell any Founder Shares they hold until the earlier to occur of (i) one year after the completion of the Company’s Business Combination and (ii) subsequent to a Business Combination, (x) if the last reported sale price of the Company’s Class A ordinary shares equals or exceeds $12.00 per share (as adjusted for share splits, share dividends, rights issuances, subdivisions, reorganizations, recapitalizations and the like) for any 20 trading days within any 30-trading day period commencing at least 150 days after the Company’s Business Combination or (y) the date on which the Company completes a liquidation, merger, amalgamation, share exchange, reorganization or other similar transaction that results in all of the Company’s public shareholders having the right to exchange their Class A ordinary shares for cash, securities or other property.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an agreement, commencing on February 11, 2021, pursuant to which it will pay the Sponsor up to $10,000 per month for office space, administrative and support services. Upon completion of a Business Combination or its liquidation, the Company will cease paying these monthly fees. For the year ended December 31, 2021, the Company incurred $110,000 in fees for these services, of which such amount is included in accounts payable and accrued expenses in the accompanying balance sheets as of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February 10, 2020, the Company issued the Promissory Note to the Sponsor, pursuant to which the Company may borrow up to an aggregate principal amount of $250,000, which was amended in January 2021. The Promissory Note is non-interest bearing and payable on the earlier of (i) June 30, 2021 or (ii) the completion of the Initial Public Offering. The Promissory Note balance of $250,000 was repaid on February 17,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(the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The Working Capital Loans would either be repaid upon consummation of a Business Combination or, at the lender’s discretion, up to $1,500,000 of such Working Capital Loans may be convertible into warrants of the post- Business Combination entity at a price of $1.00 per warrant. Such warrants would be identical to the Private Placement Warrants. Except for the foregoing, the terms of such Working Capital Loans, if any, have not been determined and no written agreements exist with respect to such loans. As of December 31, 2021 and 2020, there were no amounts outstanding under the Working Capital Loans.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Pursuant to a registration rights agreement entered into on February 11, 2021, the holders of the Founder Shares, Private Placement Warrants and any warrants that may be issued upon conversion of Working Capital Loans (and any ordinary shares issuable upon the exercise of the Private Placement Warrants or warrants issued upon conversion of the Working Capital Loans and upon conversion of the Founder Shares) are entitled to registration rights pursuant to a registration rights agreement to be signed prior to or on the effective date of the Initial Public Offering requiring the Company to register such securities for resale.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granted the underwriters a 45-day option from the date of the Initial Public Offering to purchase up to 2,625,000 additional Units to cover over-allotments, if any, at the Initial Public Offering price less the underwriting discounts and commissions. As a result of the underwriters’ election to partially exercise the over-allotment option, the underwriters’ purchased an additional 2,500,000 Units and forfeited their option to purchase an additional 125,000 Units.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underwriters are entitled to a deferred fee of $0.35 per Unit, or $7,000,000 in the aggregate. The deferred fee will become payable to the underwriters from the amounts held in the Trust Account solely in the event that the Company completes a Business Combination, subject to the terms of the underwriting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8, 2021, Tuatara Capital Acquisition Corporation (“TCAC”) entered into an Agreement and Plan of Merger (as it may be amended, supplemented or otherwise modified from time to time, the “Merger Agreement”), by and among TCAC, HighJump Merger Sub, Inc., a Delaware corporation (“Merger Sub”), and SpringBig, Inc., a Delaware corporation (“SpringBig”).</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Merger Agreement provides for, among other things, the following transactions on or prior to the closing date: (i) TCAC will become a Delaware corporation (the “Domestication”) and, in connection with the Domestication, (A) TCAC’s name will be changed as mutually agreed to between the parties,</w:t>
      </w:r>
    </w:p>
    <w:p>
      <w:pPr>
        <w:jc w:val="both"/>
        <w:ind w:firstLine="8"/>
        <w:spacing w:after="0" w:line="252" w:lineRule="auto"/>
        <w:tabs>
          <w:tab w:leader="none" w:pos="288"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then-issued and outstanding TCAC Class A Ordinary Share will convert automatically, on a one-for-one basis, into one share of common stock of TCAC (the “New SpringBig Common Stock”), (C) each then-issued and outstanding TCAC Class B Ordinary Share will convert automatically, on a one-for-one basis, into one share of New SpringBig Common Stock, and (D) each then-issued and outstanding common warrant of TCAC will convert automatically, on a one-for-one basis, into a warrant to purchase one share of New SpringBig Common Stock; and (ii) following the Domestication, Merger Sub will merge with and into SpringBig, with SpringBig as the surviving company in the merger and, after giving effect to such merger, continuing as a wholly-owned subsidiary of TCAC (the “Merger”).</w:t>
      </w:r>
    </w:p>
    <w:p>
      <w:pPr>
        <w:spacing w:after="0" w:line="1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Business Combination is expected to close in mid-2022, following the receipt of the required approval by TCAC’s shareholders, required regulatory approvals and the fulfillment of other customary closing conditions.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accordance with the terms and subject to the conditions of the Merger Agreement, based on an implied equity value of $245 million, (i) each share of SpringBig common stock (other than dissenting shares) will be canceled and converted into the right to receive the applicable portion of the merger consideration comprised of New SpringBig Common Stock, as determined in the Merger Agreement (the “Share Conversion Ratio”), and (ii) vested and unvested options of SpringBig outstanding and unexercised immediately prior to the effective time of the Merger will convert into comparable options that are exercisable for shares of New SpringBig Common Stock, with a value determined in accordance with the Share Conversion Ratio.</w:t>
      </w:r>
    </w:p>
    <w:p>
      <w:pPr>
        <w:spacing w:after="0" w:line="16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part of the aggregate consideration payable to the SpringBig’s securityholders pursuant to the Merger Agreement, holders of SpringBig’s common stock (including those holders of converted preferred stock of SpringBig) and holders of options of SpringBig’s common stock will also have the right to receive their pro rata portion of up to an aggregate of 9,000,000 shares of New SpringBig Common Stock (“Contingent Shares”) if any of the following stock price conditions are met: (i) 5,500,000 Contingent Shares if the closing price of New SpringBig Common Stock equals or exceeds $12.00 per share (as adjusted for share splits, share dividends, reorganizations, and recapitalizations) on any twenty (20) trading days in a thirty (30)-trading-day period at any time after the closing date and by the third anniversary of the closing date; (ii) 2,250,000 Contingent Shares if the closing price of New SpringBig Common Stock equals or exceeds $15.00 per share (as adjusted for share splits, share dividends, reorganizations, and recapitalizations) on any twenty (20) trading days in a thirty (30)-trading-day period at any time after the closing date and by the third anniversary of the closing date; and (iii) 1,250,000 Contingent Shares if the closing price of the New SpringBig Common Stock equals or exceeds $18.00 per share (as adjusted for share splits, share dividends, reorganizations, and recapitalizations) on any twenty (20) trading days in a thirty (30)-trading-day period at any time after the closing date and by the third anniversary of the closing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Financing (Private Placement)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signing of the Merger Agreement, TCAC entered into subscription agreements (the “Subscription Agreements”) with certain investors (the “PIPE Investors”). Pursuant to the Subscription Agreements, the PIPE Investors agreed to subscribe for and purchase, and TCAC agreed to issue and sell to such investors, on the closing date, an aggregate of 1,310,000 shares of New SpringBig Common Stock for a purchase price of $10.00 per share, for aggregate gross proceeds of $13,100,000 (the “PIPE Financing”).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 Agreement</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August 12, 2021 TCAC entered into an agreement (the “Agreement”) with Cantor Fitzgerald &amp; Co. (“CF&amp;CO) to act as a capital markets advisor in connection with the proposed business combination (the “Business Combination”) with SpringBig, Inc. CF&amp;CO acknowledges that the Company may engage additional advisors in the same capacity (together with CF&amp;CO, the “Capital Markets Advisors”), provided that CF&amp;CO will be the “lead” capital markets advisor and CF&amp;CO shall not be responsible for the actions or inactions of any other capital markets advisor. In consideration of our services pursuant to this Agreement, the Company agrees to pay CF&amp;CO a fee of $5,000,000 (the “Advisory Fee”) upon the consummation of the Business Combination (“Closing”). $2,000,000 of the Advisory Fee shall be payable in cash, and the remainder of the Advisory Fee (“Redemption Dependent Portion”) payable in cash and common stock of the Company (“Common Stock”), with the portions of each to depend on the final amount of redemptions from the Company’s trust account established for the benefit of the Company’s public stockholders (the “Trust Account”) in connection with the Business Combination.</w:t>
      </w:r>
    </w:p>
    <w:p>
      <w:pPr>
        <w:spacing w:after="0" w:line="19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Subsequently to the Agreement, on February 1, 2022, TCAC entered into a second agreement (“Second Agreement”) with Cantor Fitzgerald &amp; Co. (“CF&amp;CO) to receive one or more financing(s) through the private placement, offering or other sale of equity instruments in any form, including, without limitation, (i) equity instruments in any form, including, without limitation, preferred or common equity, or instruments convertible into preferred or common equity or other related forms of interests or capital of the Company in one or a series of transactions (an “Equity Financing”) and (ii) debt in any form, including, but not limited to, bank debt, high yield debt or mezzanine debt, notes, bonds, debentures or other debt securities, of the Company in one transaction or a series of transactions (a “Debt Financing” and any Equity Financing or Debt Financing, (a “Financing”), in the cases of (i) and (ii), in connection with the business combination contemplated by the Agreement and Plan of Merger between the Company and SpringBig, Inc., dated as of November 8, 2021 (the “Business Combination,” and such agreement, the “Merger Agreement”). The Company hereby engages CF&amp;CO to act as the Company’s financial advisor, placement agent and arranger in connection with any Financing for the Business Combination. In consideration of our services pursuant to this Second Agreement, the Company agrees to pay CF&amp;CO the following compensation:</w:t>
      </w:r>
    </w:p>
    <w:p>
      <w:pPr>
        <w:spacing w:after="0" w:line="185" w:lineRule="exact"/>
        <w:rPr>
          <w:sz w:val="20"/>
          <w:szCs w:val="20"/>
          <w:color w:val="auto"/>
        </w:rPr>
      </w:pPr>
    </w:p>
    <w:p>
      <w:pPr>
        <w:jc w:val="both"/>
        <w:ind w:left="980" w:hanging="324"/>
        <w:spacing w:after="0" w:line="259"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closing of any Financing (which is contemplated to fund and close concurrently with the closing of the Business Combination), the Company shall pay to CF&amp;CO a non-refundable cash fee equal to 4% of the aggregate maximum gross proceeds received or receivable in connection with such Financing, including, without limitation, aggregate amounts committed by investors to purchase securities, whether or not all securities are issued on the closing date of the Equity Financing.</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no event shall the aggregate amount of the fees payable to CF&amp;CO pursuant to this section 3 be less than $1,500,000.</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fees payable pursuant to this section 3 shall be in addition to any other fees that the Company may be required to pay directly to any prospective investor to secure its financing commitment.</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the avoidance of doubt, if the structure of a Financing contemplates multiple issuances, financing availability that is contingent upon the occurrence of some future event or any other delayed consideration structure, such Financing shall be considered a single Financing, and not multiple Financings, and all fees payable pursuant to this section 3 for such Financing shall be payable in full on the closing date of such Financing.</w:t>
      </w:r>
    </w:p>
    <w:p>
      <w:pPr>
        <w:spacing w:after="0" w:line="18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fees payable hereunder will be payable in U.S. dollars in immediately available funds to CF&amp;CO for its own account, or as directed by it, free and clear of and without deduction for any and all present or future applicable taxes, levies, imposts, deductions, charges or withholdings and all liabilities with respect thereto (with appropriate gross-up for withholding taxes) and will not be subject to reduction by way of setoff or counterclaim. Once paid, no fee will be refundable under any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 (DEFICIT)</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authorized to issue 1,000,000 preference shares with a par value of $0.0001 per share,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At December 31, 2021 and 2020, there were no preference shares issued or outstanding.</w:t>
      </w:r>
    </w:p>
    <w:p>
      <w:pPr>
        <w:spacing w:after="0" w:line="17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authorized to issue 200,000,000 Class A ordinary shares with a par value of $0.0001 per share. 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Company’s Class A ordinary shares are entitled to one vote for each share. At December 31, 2021, there were no Class A ordinary shares issued and outstanding, excluding 20,000,000 Class A ordinary shares subject to possible redemption which are presented as temporary equity. At December 31, 2020, there were no Class A ordinary shares issued or outstanding.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Holders of Class A ordinary shares and Class B ordinary shares will vote together as a single class on all other matters submitted to a vote of shareholders, except as required by law; provided that only holders of Class B ordinary shares have the right to vote on the appointment of directors prior to the Company’s initial Business Combination and holders of a majority of the Company’s Class B ordinary shares may remove a member of the board of directors for any reason.</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Class B ordinary shares will automatically convert into Class A ordinary shares on the first business day following the completion of a Business Combination on a one-for-one basis, subject to adjustment. In the case that additional Class A ordinary shares, or equity-linked securities convertible or exercisable for Class A ordinary shares, are issued or deemed issued in excess of the amounts issued in the Initial Public Offering and related to the closing of a Business Combination, the ratio at which Class B ordinary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the initial Business Combination (net of redemptions), excluding any Class A ordinary shares or equity-linked securities issued, or to be issued, to any seller in a Business Combination and any private placement warrants issued to the Sponsor, an affiliate of the Sponsor or any of the Company’s officers or directors.</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authorized to issue 20,000,000 Class B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B ordinary shares are entitled to one vote for each share. At December 31, 2021 and 2020, there were 5,000,000 and 5,031,250 Class B ordinary shares issued and outstanding,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December 31, 2021 and December 31, 2020, there were 10,000,000 and 0 Public Warrants outstanding, respectively. Public Warrants may only be exercised for a whole number of shares. No fractional warrants will be issued upon separation of the Units 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underlying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is available.</w:t>
      </w:r>
    </w:p>
    <w:p>
      <w:pPr>
        <w:spacing w:after="0" w:line="192"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the Company’s Business Combination, the Company will use its reasonable efforts to file with the SEC and have an effective registration statement covering the issuance, under the Securities Act, of the Class A ordinary shares issuable upon exercise of the warrants, and the Company will use its reasonable efforts to cause the same to become effective within 60 business days after the closing of a Business Combination and to maintain the effectiveness of such registration statement, and a current prospectus relating thereto, until the expiration of the warrants in accordance with the provisions of the warrant agreement.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 In such event, each holder would pay the exercise price by surrendering the warrants for that number of Class A ordinary shares equal to the lesser of (A) the quotient obtained by dividing (x) the product of the number of Class A ordinary shares underlying the warrants, multiplied by the excess of the “ fair market value” less the exercise price of the warrants by (y) the fair market value and</w:t>
      </w:r>
    </w:p>
    <w:p>
      <w:pPr>
        <w:spacing w:after="0" w:line="3" w:lineRule="exact"/>
        <w:rPr>
          <w:sz w:val="20"/>
          <w:szCs w:val="20"/>
          <w:color w:val="auto"/>
        </w:rPr>
      </w:pPr>
    </w:p>
    <w:p>
      <w:pPr>
        <w:ind w:firstLine="8"/>
        <w:spacing w:after="0" w:line="323" w:lineRule="auto"/>
        <w:tabs>
          <w:tab w:leader="none" w:pos="286" w:val="left"/>
        </w:tabs>
        <w:numPr>
          <w:ilvl w:val="0"/>
          <w:numId w:val="44"/>
        </w:numPr>
        <w:rPr>
          <w:rFonts w:ascii="Arial" w:cs="Arial" w:eastAsia="Arial" w:hAnsi="Arial"/>
          <w:sz w:val="16"/>
          <w:szCs w:val="16"/>
          <w:color w:val="auto"/>
        </w:rPr>
      </w:pPr>
      <w:r>
        <w:rPr>
          <w:rFonts w:ascii="Arial" w:cs="Arial" w:eastAsia="Arial" w:hAnsi="Arial"/>
          <w:sz w:val="16"/>
          <w:szCs w:val="16"/>
          <w:color w:val="auto"/>
        </w:rPr>
        <w:t>0.361 Class A shares per warrant. The “fair market value” as used in the preceding sentence shall mean the volume weighted average price of the Class A ordinary shares for the 10 trading days ending on the trading day prior to the date on which the notice of exercise is received by the warrant agent.</w:t>
      </w:r>
    </w:p>
    <w:p>
      <w:pPr>
        <w:spacing w:after="0" w:line="1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Redemption of Warrants When the Price per Class A Ordinary Share Equals or Exceeds $18.00—Once the warrants become exercisable, the Company may redeem the outstanding Public Warrants: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whole but not in part;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each warrant holder; and</w:t>
      </w:r>
    </w:p>
    <w:p>
      <w:pPr>
        <w:spacing w:after="0" w:line="9" w:lineRule="exact"/>
        <w:rPr>
          <w:rFonts w:ascii="Arial" w:cs="Arial" w:eastAsia="Arial" w:hAnsi="Arial"/>
          <w:sz w:val="18"/>
          <w:szCs w:val="18"/>
          <w:color w:val="auto"/>
        </w:rPr>
      </w:pPr>
    </w:p>
    <w:p>
      <w:pPr>
        <w:ind w:left="660" w:right="60" w:hanging="328"/>
        <w:spacing w:after="0" w:line="273"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Class A ordinary shares for any 20 trading days within a 30 trading day period ending three business days before sending the notice of redemption to warrant holders (the “ Reference Value”) equals or exceeds $18.00 per share (as adjusted for adjustments to the number of shares issuable upon exercise or the exercise price of a warrant as described under the heading “Description of Securities—Warrants—Public Shareholders’ Redeemable Warrants—Anti-dilution Adjustments”).</w:t>
      </w:r>
    </w:p>
    <w:p>
      <w:pPr>
        <w:spacing w:after="0" w:line="1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and when the warrants become redeemable by the Company, the Company may exercise its redemption right even if it is unable to register or qualify the underlying securities for sale under all applicable state securities laws. However, the Company will not redeem the warrants unless an effective registration statement under the Securities Act covering the Class A ordinary shares issuable upon exercise of the warrants is effective and a current prospectus relating to those Class A ordinary shares is available throughout the 30-day redemption period.</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Redemption of Warrants When the Price per Class A Ordinary Share Equals or Exceeds $10.00—Once the warrants become exercisable, the Company may redeem the outstanding warrants (except as described herein with respect to the private placement warrants):</w:t>
      </w:r>
    </w:p>
    <w:p>
      <w:pPr>
        <w:spacing w:after="0" w:line="146"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whole but not in part;</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 fair market value” of the Class A ordinary shares;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and only if, the Reference Value (as defined in the above adjacent to “Redemption of warrants when the price per Class A ordinary share equals or exceeds $18.00”) equals or exceeds $10.00 per share (as adjusted for adjustments to the number of shares issuable upon exercise or the exercise price of a warrant as described under the heading “Description of Securities—Warrants—Public Shareholders’ Redeemable Warrants—Anti-dilution Adjustments”); and</w:t>
      </w:r>
    </w:p>
    <w:p>
      <w:pPr>
        <w:spacing w:after="0" w:line="1" w:lineRule="exact"/>
        <w:rPr>
          <w:rFonts w:ascii="Arial" w:cs="Arial" w:eastAsia="Arial" w:hAnsi="Arial"/>
          <w:sz w:val="18"/>
          <w:szCs w:val="18"/>
          <w:color w:val="auto"/>
        </w:rPr>
      </w:pPr>
    </w:p>
    <w:p>
      <w:pPr>
        <w:ind w:left="660" w:right="360" w:hanging="328"/>
        <w:spacing w:after="0" w:line="25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Reference Value is less than $18.00 per share (as adjusted for adjustments to the number of shares issuable upon exercise or the exercise price of a warrant as described under the heading “Description of Securities—Warrants—Public Shareholders’ Redeemable Warrants—Anti-dilution Adjustments”) the private placement warrants must also be concurrently called for redemption on the same terms as the outstanding public warrants, as described above.</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9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and (y) the volume weighted average trading price of the Class A ordinary shares during the 20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$10.00 and $18.00 per share redemption trigger prices described above adjacent to “Redemption of warrants when the price per Class A ordinary share equals or exceeds $10.00” and “Redemption of warrants when the price per Class A ordinary share equals or exceeds $18.00” will be adjusted (to the nearest cent) to be equal to 100% and 180% of the higher of the Market Value and the Newly Issued Price, respectively.</w:t>
      </w:r>
    </w:p>
    <w:p>
      <w:pPr>
        <w:spacing w:after="0" w:line="18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At December 31, 2021, there were 6,000,000 Private Placement Warrants outstanding and as of December 31, 2020, there were no private warrants outstanding. The Private Placement Warrants are identical to the Public Warrants underlying the Units sold in the Initial Public Offering, except that (x) the Private Placement Warrants and the Class A ordinary shares issuable upon the exercise of the Private Placement Warrants will not be transferable, assignable or salable until 30 days after the completion of a Business Combination, subject to certain limited exceptions, (y) the Private Placement Warrants will be exercisable on a cashless basis and be non-redeemable (except as described above) so long as they are held by the initial purchasers or their permitted transferees and (z) the Private Placement Warrants and the Class A ordinary shares issuable upon the exercise of the Private Placement Warrants will be entitled to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980" w:right="40" w:hanging="647"/>
        <w:spacing w:after="0" w:line="274" w:lineRule="auto"/>
        <w:rPr>
          <w:sz w:val="20"/>
          <w:szCs w:val="20"/>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ind w:left="980" w:right="20" w:hanging="647"/>
        <w:spacing w:after="0" w:line="250"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3: Unobservable inputs based on our assessment of the assumptions that market participants would use in pricing the asset or liability.</w:t>
      </w:r>
    </w:p>
    <w:p>
      <w:pPr>
        <w:spacing w:after="0" w:line="2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December 31, 2021 and December 31, 2020, assets held in the Trust Account were comprised $200,035,810 and $0, respectively, in money market funds which are invested primarily in U.S. Treasury securities. During the year ended December 31, 2021, the Company did not withdraw any interest income from the Trust Account.</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 presents information about the Company’s assets and liabilities that are measured at fair value on a recurring basis at December 31, 2021 and 2020, and indicates the fair value hierarchy of the valuation inputs the Company utilized to determine such fair value: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December</w:t>
            </w: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r>
      <w:tr>
        <w:trPr>
          <w:trHeight w:val="241"/>
        </w:trPr>
        <w:tc>
          <w:tcPr>
            <w:tcW w:w="72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200,035,810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Warrant Liability – Public Warrants</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5,900,000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the accompanying balance sheet. The warrant liabilities are measured at fair value at inception and on a recurring basis, with changes in fair value presented within change in fair value of warrant liabilities in the statement of operations.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Private Placement Warrants were initially valued using a Monte Carlo simulation model, which is considered to be a Level 3 fair value measurement. The Monte Carlo simulation model’s primary unobservable input utilized in determining the fair value of the Private Placement Warrants is the expected volatility of the ordinary shares. The expected volatility as of the Initial Public Offering date was derived from observable public warrant pricing on comparable ‘blank-check’ companies without an identified target. The expected volatility as of subsequent valuation dates was implied from the Company’s own Public Warrant pricing. A Monte Carlo simulation methodology was used in estimating the fair value of the Public Warrants for periods where no observable traded price was available, using the same expected volatility as was used in measuring the fair value of the Private Placement Warrants. For periods subsequent to the detachment of the Public Warrants from the Units, the close price of the Public Warrant price will be used as the fair value as of each relevant date for both the Public Warrants and Private Placement Warrants.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7460" w:type="dxa"/>
            <w:vAlign w:val="bottom"/>
            <w:gridSpan w:val="3"/>
          </w:tcPr>
          <w:p>
            <w:pPr>
              <w:ind w:left="340"/>
              <w:spacing w:after="0"/>
              <w:rPr>
                <w:sz w:val="20"/>
                <w:szCs w:val="20"/>
                <w:color w:val="auto"/>
              </w:rPr>
            </w:pPr>
            <w:r>
              <w:rPr>
                <w:rFonts w:ascii="Arial" w:cs="Arial" w:eastAsia="Arial" w:hAnsi="Arial"/>
                <w:sz w:val="18"/>
                <w:szCs w:val="18"/>
                <w:color w:val="auto"/>
                <w:w w:val="92"/>
              </w:rPr>
              <w:t>The following table provides quantitative information regarding Level 3 fair value measurements:</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At</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February 17,</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(Initial</w:t>
            </w:r>
          </w:p>
        </w:tc>
      </w:tr>
      <w:tr>
        <w:trPr>
          <w:trHeight w:val="241"/>
        </w:trPr>
        <w:tc>
          <w:tcPr>
            <w:tcW w:w="1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Measurement)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price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Strike price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(in years)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418"/>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The following table presents the changes in the fair value of level 3 warrant liabilities: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Private</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Warrant</w:t>
            </w:r>
          </w:p>
        </w:tc>
      </w:tr>
      <w:tr>
        <w:trPr>
          <w:trHeight w:val="241"/>
        </w:trPr>
        <w:tc>
          <w:tcPr>
            <w:tcW w:w="10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Placement</w:t>
            </w:r>
          </w:p>
        </w:tc>
        <w:tc>
          <w:tcPr>
            <w:tcW w:w="18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Public</w:t>
            </w: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Liabilities</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Initial measurement on February 17, 2021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8,400,000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14,000,000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22,400,000</w:t>
            </w:r>
          </w:p>
        </w:tc>
      </w:tr>
      <w:tr>
        <w:trPr>
          <w:trHeight w:val="223"/>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(1,500,000)</w:t>
            </w:r>
          </w:p>
        </w:tc>
        <w:tc>
          <w:tcPr>
            <w:tcW w:w="1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(4,000,000)</w:t>
            </w:r>
          </w:p>
        </w:tc>
      </w:tr>
      <w:tr>
        <w:trPr>
          <w:trHeight w:val="216"/>
        </w:trPr>
        <w:tc>
          <w:tcPr>
            <w:tcW w:w="73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Fair value as of June 30, 2021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6,900,000</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11,500,000</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18,400,000</w:t>
            </w: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to Level 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11,500,000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11,500,000</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Transfers to Level 2</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6,900,000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6,900,000</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as of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Transfers to/from Levels 1, 2 and 3 are recognized at the end of the reporting period in which a change in valuation technique or methodology occurs. The estimated fair value of the Public Warrants transferred from a Level 3 measurement to a Level 1 fair value measurement for the period from February 17, 2021 (initial measurement) through December 31, 2021 was $11,500,000. The estimated fair value of the Private Placement Warrants transferred from a Level 3 measurement to a Level 2 fair value measurement for the period from February 17, 2021 (initial measurement) through December 31, 2021 was $6,900,000.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in the financial notes above and the event described below, the Company did not identify any subsequent events that would have required adjustment or disclosure in the financial statements.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 2022, TCAC entered into a second agreement (“Second Agreement”) with Cantor Fitzgerald &amp; Co. (“CF&amp;CO) to receive one or more financing(s) through the private placement, offering or other sale of equity instruments in any form, including, without limitation, (i) equity instruments in any form, including, without limitation, preferred or common equity, or instruments convertible into preferred or common equity or other related forms of interests or capital of the Company in one or a series of transactions (an “Equity Financing”) and (ii) debt in any form, including, but not limited to, bank debt, high yield debt or mezzanine debt, notes, bonds, debentures or other debt securities, of the Company in one transaction or a series of transactions (a “Debt Financing” and any Equity Financing or Debt Financing, (a “Financing”), in the cases of (i) and (ii), in connection with the business combination contemplated by the Agreement and Plan of Merger between the Company and SpringBig, Inc., dated as of November 8, 2021 (the “Business Combination,” and such agreement, the “Merger Agreement”). The Company hereby engages CF&amp;CO to act as the Company’s financial advisor, placement agent and arranger in connection with any Financing for the Business Combination. In consideration of our services pursuant to this Second Agreement, the Company agrees to pay CF&amp;CO the following compensation:</w:t>
      </w:r>
    </w:p>
    <w:p>
      <w:pPr>
        <w:spacing w:after="0" w:line="185" w:lineRule="exact"/>
        <w:rPr>
          <w:sz w:val="20"/>
          <w:szCs w:val="20"/>
          <w:color w:val="auto"/>
        </w:rPr>
      </w:pPr>
    </w:p>
    <w:p>
      <w:pPr>
        <w:jc w:val="both"/>
        <w:ind w:left="980" w:hanging="324"/>
        <w:spacing w:after="0" w:line="259"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the closing of any Financing (which is contemplated to fund and close concurrently with the closing of the Business Combination), the Company shall pay to CF&amp;CO a non-refundable cash fee equal to 4% of the aggregate maximum gross proceeds received or receivable in connection with such Financing, including, without limitation, aggregate amounts committed by investors to purchase securities, whether or not all securities are issued on the closing date of the Equity Financing.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no event shall the aggregate amount of the fees payable to CF&amp;CO pursuant to this section 3 be less than $1,500,000.</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fees payable pursuant to this section 3 shall be in addition to any other fees that the Company may be required to pay directly to any prospective investor to secure its financing commitment.</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the avoidance of doubt, if the structure of a Financing contemplates multiple issuances, financing availability that is contingent upon the occurrence of some future event or any other delayed consideration structure, such Financing shall be considered a single Financing, and not multiple Financings, and all fees payable pursuant to this section 3 for such Financing shall be payable in full on the closing date of such Financing.</w:t>
      </w:r>
    </w:p>
    <w:p>
      <w:pPr>
        <w:spacing w:after="0" w:line="18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fees payable hereunder will be payable in U.S. dollars in immediately available funds to CF&amp;CO for its own account, or as directed by it, free and clear of and without deduction for any and all present or future applicable taxes, levies, imposts, deductions, charges or withholdings and all liabilities with respect thereto (with appropriate gross-up for withholding taxes) and will not be subject to reduction by way of setoff or counterclaim. Once paid, no fee will be refundable under any circumstances.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left="102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Securities Registered Pursuant to Section 12 of the Securities Exchange Act of 1934, As Amended</w:t>
      </w:r>
    </w:p>
    <w:p>
      <w:pPr>
        <w:spacing w:after="0" w:line="27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9"/>
          <w:szCs w:val="19"/>
          <w:color w:val="auto"/>
        </w:rPr>
        <w:t>The following description sets forth certain material terms and provisions of the securities of Tuatara Capital Acquisition Corporation (“we,” “us” or “our”) that are registered under Section 12 of the Securities Exchange Act of 1934, as amended (the “Exchange Act”). The following description of our securities is not complete and may not contain all the information you should consider before investing in our securities. This description is summarized from, and qualified in its entirety by reference to, our amended and restated memorandum and articles of association, which are incorporated herein by reference. The summary below is also qualified by reference to the Companies Law and common law of the Cayman Islands.</w:t>
      </w:r>
    </w:p>
    <w:p>
      <w:pPr>
        <w:spacing w:after="0" w:line="17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9"/>
          <w:szCs w:val="19"/>
          <w:color w:val="auto"/>
        </w:rPr>
        <w:t>As of December 31, 2021, we had three classes of securities registered under the Exchange Act: our Class A ordinary shares, $0.0001 par value per share; warrants to purchase shares of our Class A ordinary shares; and units consisting of one Class A ordinary share and one-half of one redeemable warrant to purchase one Class A ordinary share. In addition, this Description of Securities also contains a description of our Class B ordinary shares, par value $0.0001 per share (“founder shares”), which are not registered pursuant to Section 12 of the Exchange Act but are convertible into shares of the Class A ordinary shares. The description of the founder shares is necessary to understand the material terms of the Class A ordinary shares.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Units</w:t>
      </w:r>
    </w:p>
    <w:p>
      <w:pPr>
        <w:spacing w:after="0" w:line="239"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Each unit consists of one Class A ordinary share and one-half of one redeemable warrant. Each whole warrant entitles the holder thereof to purchase one Class A ordinary share at a price of $11.50 per share. Pursuant to the warrant agreement, a warrant holder may exercise its warrants only for a whole number of the company’s Class A ordinary shares. This means only a whole warrant may be exercised at any given time by a warrant holder.</w:t>
      </w:r>
    </w:p>
    <w:p>
      <w:pPr>
        <w:spacing w:after="0" w:line="212" w:lineRule="exact"/>
        <w:rPr>
          <w:sz w:val="20"/>
          <w:szCs w:val="20"/>
          <w:color w:val="auto"/>
        </w:rPr>
      </w:pPr>
    </w:p>
    <w:p>
      <w:pPr>
        <w:ind w:right="140" w:firstLine="324"/>
        <w:spacing w:after="0" w:line="250" w:lineRule="auto"/>
        <w:rPr>
          <w:sz w:val="20"/>
          <w:szCs w:val="20"/>
          <w:color w:val="auto"/>
        </w:rPr>
      </w:pPr>
      <w:r>
        <w:rPr>
          <w:rFonts w:ascii="Arial" w:cs="Arial" w:eastAsia="Arial" w:hAnsi="Arial"/>
          <w:sz w:val="22"/>
          <w:szCs w:val="22"/>
          <w:color w:val="auto"/>
        </w:rPr>
        <w:t>The Class A ordinary shares and warrants began separate trading on April 5, 2021 and holders have the option to continue to hold units or separate their units into the component pieces.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Ordinary Shares</w:t>
      </w:r>
    </w:p>
    <w:p>
      <w:pPr>
        <w:spacing w:after="0" w:line="239" w:lineRule="exact"/>
        <w:rPr>
          <w:sz w:val="20"/>
          <w:szCs w:val="20"/>
          <w:color w:val="auto"/>
        </w:rPr>
      </w:pPr>
    </w:p>
    <w:p>
      <w:pPr>
        <w:ind w:right="20" w:firstLine="324"/>
        <w:spacing w:after="0" w:line="271" w:lineRule="auto"/>
        <w:rPr>
          <w:sz w:val="20"/>
          <w:szCs w:val="20"/>
          <w:color w:val="auto"/>
        </w:rPr>
      </w:pPr>
      <w:r>
        <w:rPr>
          <w:rFonts w:ascii="Arial" w:cs="Arial" w:eastAsia="Arial" w:hAnsi="Arial"/>
          <w:sz w:val="19"/>
          <w:szCs w:val="19"/>
          <w:color w:val="auto"/>
        </w:rPr>
        <w:t>Class A ordinary shareholders and Class B ordinary shareholders of record are entitled to one vote for each share held on all matters to be voted on by shareholders, except as required by law; provided that, prior to our initial business combination, only holders of our Class B ordinary shares will have the right to vote on the appointment of directors, and holders of a majority of our Class B ordinary shares may remove a member of the board of directors for any reason. With respect to any other matter submitted to a vote of our shareholders, including any vote in connection with our initial business combination, except as required by law, holders of Class A ordinary shares and holders of Class B ordinary shares will vote together as a single class. Unless specified in the Companies Law, our amended and restated memorandum and articles of association or applicable stock exchange rules, the affirmative vote of a majority of our ordinary shares that are voted is required to approve any such matter voted on by our shareholders. Approval of certain actions will require a special resolution under Cayman Islands law and pursuant to our amended and restated memorandum and articles of association; such actions include amending our amended and restated memorandum and articles of association and approving a statutory merger or consolidation with another company. Directors are appointed for a term of two years. There is no cumulative voting with respect to the appointment of directors, with the result that the holders of more than 50% of the founder shares voted for the appointment of directors can appoint all of the directors prior to our initial business combination. Our shareholders are entitled to receive ratable dividends when, as and if declared by the board of directors out of funds legally available therefor.</w:t>
      </w:r>
    </w:p>
    <w:p>
      <w:pPr>
        <w:spacing w:after="0" w:line="187" w:lineRule="exact"/>
        <w:rPr>
          <w:sz w:val="20"/>
          <w:szCs w:val="20"/>
          <w:color w:val="auto"/>
        </w:rPr>
      </w:pPr>
    </w:p>
    <w:p>
      <w:pPr>
        <w:ind w:right="40" w:firstLine="324"/>
        <w:spacing w:after="0" w:line="236" w:lineRule="auto"/>
        <w:rPr>
          <w:sz w:val="20"/>
          <w:szCs w:val="20"/>
          <w:color w:val="auto"/>
        </w:rPr>
      </w:pPr>
      <w:r>
        <w:rPr>
          <w:rFonts w:ascii="Arial" w:cs="Arial" w:eastAsia="Arial" w:hAnsi="Arial"/>
          <w:sz w:val="22"/>
          <w:szCs w:val="22"/>
          <w:color w:val="auto"/>
        </w:rPr>
        <w:t>Because our amended and restated memorandum and articles of association authorize the issuance of up to 200,000,000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w:t>
      </w:r>
    </w:p>
    <w:p>
      <w:pPr>
        <w:spacing w:after="0" w:line="214" w:lineRule="exact"/>
        <w:rPr>
          <w:sz w:val="20"/>
          <w:szCs w:val="20"/>
          <w:color w:val="auto"/>
        </w:rPr>
      </w:pPr>
    </w:p>
    <w:p>
      <w:pPr>
        <w:ind w:right="120" w:firstLine="324"/>
        <w:spacing w:after="0" w:line="287" w:lineRule="auto"/>
        <w:rPr>
          <w:sz w:val="20"/>
          <w:szCs w:val="20"/>
          <w:color w:val="auto"/>
        </w:rPr>
      </w:pPr>
      <w:r>
        <w:rPr>
          <w:rFonts w:ascii="Arial" w:cs="Arial" w:eastAsia="Arial" w:hAnsi="Arial"/>
          <w:sz w:val="19"/>
          <w:szCs w:val="19"/>
          <w:color w:val="auto"/>
        </w:rPr>
        <w:t>In accordance with Nasdaq corporate governance requirements, we are not required to hold an annual general meeting until one year after our first fiscal year end following our listing on Nasdaq. There is no requirement under the Companies Law for us to hold annual or extraordinary general meetings to appoint directors. Until we hold an annual general meeting, public shareholders may not be afforded the opportunity to discuss company affairs with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2" w:name="page103"/>
    <w:bookmarkEnd w:id="102"/>
    <w:p>
      <w:pPr>
        <w:spacing w:after="0" w:line="59" w:lineRule="exact"/>
        <w:rPr>
          <w:sz w:val="20"/>
          <w:szCs w:val="20"/>
          <w:color w:val="auto"/>
        </w:rPr>
      </w:pPr>
    </w:p>
    <w:p>
      <w:pPr>
        <w:ind w:right="20" w:firstLine="324"/>
        <w:spacing w:after="0" w:line="271" w:lineRule="auto"/>
        <w:rPr>
          <w:sz w:val="20"/>
          <w:szCs w:val="20"/>
          <w:color w:val="auto"/>
        </w:rPr>
      </w:pPr>
      <w:r>
        <w:rPr>
          <w:rFonts w:ascii="Arial" w:cs="Arial" w:eastAsia="Arial" w:hAnsi="Arial"/>
          <w:sz w:val="19"/>
          <w:szCs w:val="19"/>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underwriters. Additionally, each public shareholder may elect to redeem its public shares without voting and, if they do vote, irrespective of whether they vote for or against the proposed business combination.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w:t>
      </w:r>
    </w:p>
    <w:p>
      <w:pPr>
        <w:spacing w:after="0" w:line="192"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listing requirements, if a shareholder vote is not required by applicable law or stock exchange listing requirements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requires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listing requirement, or we decide to obtain shareholder approval for business or other reasons, we will, like many blank check companies, offer to redeem shares in conjunction with a proxy solicitation pursuant to the proxy rules and not pursuant to the tender 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However, the participation of our sponsor, officers, directors, advisors or any of their affiliates in privately-negotiated transactions (as described in the prospectus for our initial public offering), if any, could result in the approval of our initial business combination even if a majority of our public shareholders vote, or indicate their intention to vote, against such business combination. For purposes of seeking approval of an ordinary resolution, non-votes will have no effect on the approval of our initial business combination once a quorum is obtained. We intend to give not less than 10 days nor more than 60 days prior written notice of any such meeting, if required, at which a vote shall be taken to approve our initial business combination. These quorum and voting thresholds, and the voting agreements of our initial shareholders, may make it more likely that we will consummate our initial business combination.</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public shares, which we refer to as the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the business combination. As a result, such shareholders will continue to hold that number of shares exceeding 15% and, in order to dispose such shares would be required to sell their shares in open market transactions, potentially at a loss.</w:t>
      </w:r>
    </w:p>
    <w:p>
      <w:pPr>
        <w:spacing w:after="0" w:line="188" w:lineRule="exact"/>
        <w:rPr>
          <w:sz w:val="20"/>
          <w:szCs w:val="20"/>
          <w:color w:val="auto"/>
        </w:rPr>
      </w:pPr>
    </w:p>
    <w:p>
      <w:pPr>
        <w:ind w:right="40" w:firstLine="324"/>
        <w:spacing w:after="0" w:line="246" w:lineRule="auto"/>
        <w:rPr>
          <w:sz w:val="20"/>
          <w:szCs w:val="20"/>
          <w:color w:val="auto"/>
        </w:rPr>
      </w:pPr>
      <w:r>
        <w:rPr>
          <w:rFonts w:ascii="Arial" w:cs="Arial" w:eastAsia="Arial" w:hAnsi="Arial"/>
          <w:sz w:val="21"/>
          <w:szCs w:val="21"/>
          <w:color w:val="auto"/>
        </w:rPr>
        <w:t>If we seek shareholder approval in connection with our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7,500,001, or 37.5% of the 20,000,000 public shares to be voted in favor of a transaction,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w:t>
      </w:r>
    </w:p>
    <w:p>
      <w:pPr>
        <w:spacing w:after="0" w:line="211"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Pursuant to our amended and restated memorandum and articles of association, if we have not completed our initial business combination by February 17, 2023, we will (1) cease all operations except for the purpose of winding up, (2) as promptly as reasonably possible but not more than 10 business days thereafter,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Our initial shareholders have entered into a letter agreement with us, pursuant to which they have agreed to waive their rights to</w:t>
      </w:r>
    </w:p>
    <w:p>
      <w:pPr>
        <w:sectPr>
          <w:pgSz w:w="11900" w:h="16898" w:orient="portrait"/>
          <w:cols w:equalWidth="0" w:num="1">
            <w:col w:w="11240"/>
          </w:cols>
          <w:pgMar w:left="320" w:top="118" w:right="339" w:bottom="0" w:gutter="0" w:footer="0" w:header="0"/>
        </w:sectPr>
      </w:pPr>
    </w:p>
    <w:bookmarkStart w:id="103" w:name="page104"/>
    <w:bookmarkEnd w:id="103"/>
    <w:p>
      <w:pPr>
        <w:spacing w:after="0" w:line="238" w:lineRule="auto"/>
        <w:rPr>
          <w:sz w:val="20"/>
          <w:szCs w:val="20"/>
          <w:color w:val="auto"/>
        </w:rPr>
      </w:pPr>
      <w:r>
        <w:rPr>
          <w:rFonts w:ascii="Arial" w:cs="Arial" w:eastAsia="Arial" w:hAnsi="Arial"/>
          <w:sz w:val="22"/>
          <w:szCs w:val="22"/>
          <w:color w:val="auto"/>
        </w:rPr>
        <w:t>liquidating distributions from the trust account with respect to their founder shares if we fail to complete our initial business combination by February 17, 2023. However, if our initial shareholders acquire public shares, they will be entitled to liquidating distributions from the trust account with respect to such public shares if we fail to complete our initial business combination within the prescribed 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04" w:name="page105"/>
    <w:bookmarkEnd w:id="104"/>
    <w:p>
      <w:pPr>
        <w:ind w:right="80" w:firstLine="324"/>
        <w:spacing w:after="0" w:line="277" w:lineRule="auto"/>
        <w:rPr>
          <w:sz w:val="20"/>
          <w:szCs w:val="20"/>
          <w:color w:val="auto"/>
        </w:rPr>
      </w:pPr>
      <w:r>
        <w:rPr>
          <w:rFonts w:ascii="Arial" w:cs="Arial" w:eastAsia="Arial" w:hAnsi="Arial"/>
          <w:sz w:val="19"/>
          <w:szCs w:val="19"/>
          <w:color w:val="auto"/>
        </w:rPr>
        <w:t>In the event of a liquidation, dissolution or winding up of the company after a business combination, our shareholders at such time will be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shareholders with the opportunity to redeem their public shares for cash equal to their pro rata share of the aggregate amount then on deposit in the trust account, including interest (which interest shall be net of taxes payable), upon the completion of our initial business combination, subject to the limitations described herein.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Founder Shares</w:t>
      </w:r>
    </w:p>
    <w:p>
      <w:pPr>
        <w:spacing w:after="0" w:line="239"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The founder shares are designated as Class B ordinary shares and are identical to the Class A ordinary shares included in the units, and holders of founder shares have the same shareholder rights as public shareholders, except that: (1) prior to our initial business combination, only holders of the founder shares have the right to vote on the appointment of directors and holders of a majority of our founder shares may remove a member of the board of directors for any reason; (2) the founder shares are subject to certain transfer restrictions, as described in more detail below;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by February 17, 2023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by February 17, 2023 (although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as described below and (5) the founder shares are entitled to registration rights. In addition, our directors and officers have also entered into the letter agreement with respect to public shares acquired by them, if any.</w:t>
      </w:r>
    </w:p>
    <w:p>
      <w:pPr>
        <w:spacing w:after="0" w:line="193"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outstanding amounts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w:t>
      </w:r>
    </w:p>
    <w:p>
      <w:pPr>
        <w:spacing w:after="0" w:line="182" w:lineRule="exact"/>
        <w:rPr>
          <w:sz w:val="20"/>
          <w:szCs w:val="20"/>
          <w:color w:val="auto"/>
        </w:rPr>
      </w:pPr>
    </w:p>
    <w:p>
      <w:pPr>
        <w:ind w:right="60" w:firstLine="324"/>
        <w:spacing w:after="0" w:line="245" w:lineRule="auto"/>
        <w:rPr>
          <w:sz w:val="20"/>
          <w:szCs w:val="20"/>
          <w:color w:val="auto"/>
        </w:rPr>
      </w:pPr>
      <w:r>
        <w:rPr>
          <w:rFonts w:ascii="Arial" w:cs="Arial" w:eastAsia="Arial" w:hAnsi="Arial"/>
          <w:sz w:val="21"/>
          <w:szCs w:val="21"/>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and (B) subsequent to our initial business combination, (x) if the last reported sale price of the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b w:val="1"/>
          <w:bCs w:val="1"/>
          <w:color w:val="auto"/>
        </w:rPr>
        <w:t>Register of Members</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Under Cayman Islands law, we must keep a register of members and there shall be entered therein:</w:t>
      </w:r>
    </w:p>
    <w:p>
      <w:pPr>
        <w:spacing w:after="0" w:line="240" w:lineRule="exact"/>
        <w:rPr>
          <w:sz w:val="20"/>
          <w:szCs w:val="20"/>
          <w:color w:val="auto"/>
        </w:rPr>
      </w:pPr>
    </w:p>
    <w:p>
      <w:pPr>
        <w:ind w:left="660" w:right="14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names and addresses of the members and a statement of the shares held by each member, the amount paid or agreed to be considered as paid on the shares of each member and the voting rights of the shares;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4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9"/>
          <w:szCs w:val="19"/>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shall be deemed as a matter of Cayman Islands law to have legal title to the shares as set against its name in the register of members. Upon the closing of this public offering, the register of members shall be immediately updated to reflect the issue of shares by us. Once our register of members has been updated, the shareholders recorded in the register of members shall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Shares</w:t>
      </w:r>
    </w:p>
    <w:p>
      <w:pPr>
        <w:spacing w:after="0" w:line="239"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Our amended and restated memorandum and articles of association authorizes 1,000,000 preferred shares and provides that preferred shares may be issued from time to time in one or more series. Our board of directors are authorized to fix the voting rights, if any, designations, powers, preferences, the relative, participating, optional or other special rights and any qualifications, limitations and restrictions thereof, applicable to the shares of each series. Our board of directors are able to, without shareholder approval, issue preferred shares with voting and other rights that could adversely affect the voting power and other rights of the holders of the ordinary shares and could have anti-takeover effects. The ability of our board of directors to issue preferred shares without shareholder approval could have the effect of delaying, deferring or preventing a change of control of us or the removal of existing management. We have no preferred shares issued and outstanding at the date hereof. Although we do not currently intend to issue any preferred shares, we cannot assure you that we will not do so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Public Shareholders’ Redeemable Warrants</w:t>
      </w:r>
    </w:p>
    <w:p>
      <w:pPr>
        <w:spacing w:after="0" w:line="233"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Each whole warrant entitles the registered holder to purchase one Class A ordinary share at a price of $11.50 per share, subject to adjustment as discussed below, at any time commencing on the later of February 17, 2023 and 30 days after the completion of our initial business combination, except as described below .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207" w:lineRule="exact"/>
        <w:rPr>
          <w:sz w:val="20"/>
          <w:szCs w:val="20"/>
          <w:color w:val="auto"/>
        </w:rPr>
      </w:pPr>
    </w:p>
    <w:p>
      <w:pPr>
        <w:ind w:right="40" w:firstLine="324"/>
        <w:spacing w:after="0" w:line="272" w:lineRule="auto"/>
        <w:rPr>
          <w:sz w:val="20"/>
          <w:szCs w:val="20"/>
          <w:color w:val="auto"/>
        </w:rPr>
      </w:pPr>
      <w:r>
        <w:rPr>
          <w:rFonts w:ascii="Arial" w:cs="Arial" w:eastAsia="Arial" w:hAnsi="Arial"/>
          <w:sz w:val="19"/>
          <w:szCs w:val="19"/>
          <w:color w:val="auto"/>
        </w:rPr>
        <w:t>We will not be obligated to deliver any Class A ordinary shares pursuant to the exercise of a warrant and will have no obligation to settle such warrant exercise unless a registration statement under the Securities Act covering the issuance of the Class A ordinary shares issuable upon exercise of the warrants is then effective and a prospectus relating thereto is current, subject to our satisfying our obligations described below with respect to registration, or a valid exemption from registration is available, including in connection with a cashless exercise permitted as a result of a notice of redemption described below under “—Redemption of Warrants When the Price per Class A Ordinary Share Equals or Exceeds $10.00”. No public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106" w:name="page107"/>
    <w:bookmarkEnd w:id="106"/>
    <w:p>
      <w:pPr>
        <w:ind w:right="20" w:firstLine="324"/>
        <w:spacing w:after="0" w:line="268" w:lineRule="auto"/>
        <w:rPr>
          <w:sz w:val="20"/>
          <w:szCs w:val="20"/>
          <w:color w:val="auto"/>
        </w:rPr>
      </w:pPr>
      <w:r>
        <w:rPr>
          <w:rFonts w:ascii="Arial" w:cs="Arial" w:eastAsia="Arial" w:hAnsi="Arial"/>
          <w:sz w:val="19"/>
          <w:szCs w:val="19"/>
          <w:color w:val="auto"/>
        </w:rPr>
        <w:t>We are not registering the Class A ordinary shares issuable upon exercise of the warrants at this time. However, we have agreed that as soon as practicable, but in no event later than 15 business days, after the closing of our initial business combination, we will use our reasonable best efforts to file with the SEC and have an effective registration statement covering the issuance, under the Securities Act, of the Class A ordinary shares issuable upon exercise of the warrants, and we will use our reasonable best efforts to cause the same to become effective within 60 business days after the closing of our initial business combination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reasonable best efforts to qualify the shares under applicable blue sky laws to the extent an exemption is not available. In such event, each holder would pay the exercise price by surrendering each such warrant for that number of Class A ordinary shares equal to the lesser of</w:t>
      </w:r>
    </w:p>
    <w:p>
      <w:pPr>
        <w:spacing w:after="0" w:line="2" w:lineRule="exact"/>
        <w:rPr>
          <w:sz w:val="20"/>
          <w:szCs w:val="20"/>
          <w:color w:val="auto"/>
        </w:rPr>
      </w:pPr>
    </w:p>
    <w:p>
      <w:pPr>
        <w:ind w:right="440" w:firstLine="8"/>
        <w:spacing w:after="0" w:line="233" w:lineRule="auto"/>
        <w:tabs>
          <w:tab w:leader="none" w:pos="354"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quotient obtained by dividing (x) the product of the number of Class A ordinary shares underlying the warrants, multiplied by the excess of the “fair market value” less the exercise price of the warrants by (y) the fair market value and (B) 0.361 Class A shares per warrant. The “fair market value” as used in the preceding sentences hall mean the volume weighted average price of the Class A ordinary shares for the 10 trading days ending on the trading day prior to the date on which the notice of exercise is received by the warrant agent.</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Redemption of Warrants When the Price per Class A Ordinary Share Equals or Exceeds $18.00</w:t>
      </w:r>
    </w:p>
    <w:p>
      <w:pPr>
        <w:spacing w:after="0" w:line="233" w:lineRule="exact"/>
        <w:rPr>
          <w:sz w:val="20"/>
          <w:szCs w:val="20"/>
          <w:color w:val="auto"/>
        </w:rPr>
      </w:pPr>
    </w:p>
    <w:p>
      <w:pPr>
        <w:ind w:right="300" w:firstLine="324"/>
        <w:spacing w:after="0" w:line="250" w:lineRule="auto"/>
        <w:rPr>
          <w:sz w:val="20"/>
          <w:szCs w:val="20"/>
          <w:color w:val="auto"/>
        </w:rPr>
      </w:pPr>
      <w:r>
        <w:rPr>
          <w:rFonts w:ascii="Arial" w:cs="Arial" w:eastAsia="Arial" w:hAnsi="Arial"/>
          <w:sz w:val="22"/>
          <w:szCs w:val="22"/>
          <w:color w:val="auto"/>
        </w:rPr>
        <w:t>Once the warrants become exercisable, we may redeem the warrants (except as described herein with respect to the private placement warrants):</w:t>
      </w:r>
    </w:p>
    <w:p>
      <w:pPr>
        <w:spacing w:after="0" w:line="209"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252"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Class A ordinary shares for any 20 trading days within a 30-trading day period ending three business days before we send to the notice of redemption to the warrant holders (which we refer to as the “Reference Value”) equals or exceeds $18.00 per share (as adjusted for adjustments to the number of shares issuable upon exercise or the exercise price of a warrant as described under the heading “—Anti-dilution Adjustments”).</w:t>
      </w:r>
    </w:p>
    <w:p>
      <w:pPr>
        <w:spacing w:after="0" w:line="206"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We will not redeem the warrants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We have established the last of the redemption criterion discussed above to prevent a redemption call unless there is at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time of the call a significant premium to the warrant exercise price. If the foregoing conditions are satisfied and we issue a notice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redemption of the warrants, each warrant holder will be entitled to exercise his, her or its warrant prior to the scheduled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redemption date. Any such exercise would not be done on a “cashless” basis and would require the exercising warrant holder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pay the exercise price for each warrant being exercised. However, the price of the Class A ordinary shares may fall below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$18.00 redemption trigger price (as adjusted for adjustments to the number of shares issuable upon exercise or the exercise price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a warrant as described under the heading “Description of Securities—Warrants—Public Shareholders’ Redeemable Warrants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—Anti-dilution Adjustments”) as well as the $11.50 (for whole shares) warrant exercise price after the redemption notice is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issued.</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Redemption of Warrants When the Price per Class A Ordinary Share Equals or Exceeds $10.00</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Once the warrants become exercisable, we may redeem the outstanding warrants:</w:t>
      </w:r>
    </w:p>
    <w:p>
      <w:pPr>
        <w:spacing w:after="0" w:line="240"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ind w:left="660" w:right="2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our Class A ordinary shares (as defined below);</w:t>
      </w:r>
    </w:p>
    <w:p>
      <w:pPr>
        <w:spacing w:after="0" w:line="210"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and only if, the Reference Value (as defined above under “ Redemption of Warrants When the Price per Class A Ordinary Share Equals or Exceeds $18.00”) equals or exceeds $10.00 per share (except as described above adjacent to “Description of Securities—Warrants—Redemption of Warrants When the Price per Class A Ordinary Share Equals or Exceeds $10.00”); and</w:t>
      </w:r>
    </w:p>
    <w:p>
      <w:pPr>
        <w:spacing w:after="0" w:line="210" w:lineRule="exact"/>
        <w:rPr>
          <w:rFonts w:ascii="Arial" w:cs="Arial" w:eastAsia="Arial" w:hAnsi="Arial"/>
          <w:sz w:val="18"/>
          <w:szCs w:val="18"/>
          <w:color w:val="auto"/>
        </w:rPr>
      </w:pPr>
    </w:p>
    <w:p>
      <w:pPr>
        <w:jc w:val="both"/>
        <w:ind w:left="660" w:right="6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Reference Value is less than $18.00 per share (except as described above adjacent to “Description of Securities—Warrants—Redemption of Warrants When the Price per Class A Ordinary Share Equals or Exceeds $10.00”) the private placement warrants must also be concurrently called for redemption on the same terms as the outstanding public warrants, as described above.</w:t>
      </w:r>
    </w:p>
    <w:p>
      <w:pPr>
        <w:spacing w:after="0" w:line="203" w:lineRule="exact"/>
        <w:rPr>
          <w:sz w:val="20"/>
          <w:szCs w:val="20"/>
          <w:color w:val="auto"/>
        </w:rPr>
      </w:pPr>
    </w:p>
    <w:p>
      <w:pPr>
        <w:ind w:right="60" w:firstLine="324"/>
        <w:spacing w:after="0" w:line="274" w:lineRule="auto"/>
        <w:rPr>
          <w:sz w:val="20"/>
          <w:szCs w:val="20"/>
          <w:color w:val="auto"/>
        </w:rPr>
      </w:pPr>
      <w:r>
        <w:rPr>
          <w:rFonts w:ascii="Arial" w:cs="Arial" w:eastAsia="Arial" w:hAnsi="Arial"/>
          <w:sz w:val="19"/>
          <w:szCs w:val="19"/>
          <w:color w:val="auto"/>
        </w:rPr>
        <w:t>During the period beginning on the date the notice of redemption is given,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“fair market value” of our Class A ordinary shares on the corresponding redemption date (assuming holders elect to exercise their warrants and such warrants are not redeemed for $0.10 per warrant), determined based on volume-weighted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85" w:lineRule="exact"/>
        <w:rPr>
          <w:sz w:val="20"/>
          <w:szCs w:val="20"/>
          <w:color w:val="auto"/>
        </w:rPr>
      </w:pPr>
    </w:p>
    <w:p>
      <w:pPr>
        <w:ind w:right="360" w:firstLine="324"/>
        <w:spacing w:after="0"/>
        <w:rPr>
          <w:sz w:val="20"/>
          <w:szCs w:val="20"/>
          <w:color w:val="auto"/>
        </w:rPr>
      </w:pPr>
      <w:r>
        <w:rPr>
          <w:rFonts w:ascii="Arial" w:cs="Arial" w:eastAsia="Arial" w:hAnsi="Arial"/>
          <w:sz w:val="22"/>
          <w:szCs w:val="22"/>
          <w:color w:val="auto"/>
        </w:rPr>
        <w:t>Pursuant to the warrant agreement, references above to Class A ordinary shares shall include a security other than Class A ordinary shares into which the Class A ordinary shares have been converted or exchanged for in the event we are not the surviving company in our initial business combination.</w:t>
      </w:r>
    </w:p>
    <w:p>
      <w:pPr>
        <w:spacing w:after="0" w:line="213" w:lineRule="exact"/>
        <w:rPr>
          <w:sz w:val="20"/>
          <w:szCs w:val="20"/>
          <w:color w:val="auto"/>
        </w:rPr>
      </w:pPr>
    </w:p>
    <w:p>
      <w:pPr>
        <w:ind w:right="360" w:firstLine="324"/>
        <w:spacing w:after="0" w:line="274" w:lineRule="auto"/>
        <w:rPr>
          <w:sz w:val="20"/>
          <w:szCs w:val="20"/>
          <w:color w:val="auto"/>
        </w:rPr>
      </w:pPr>
      <w:r>
        <w:rPr>
          <w:rFonts w:ascii="Arial" w:cs="Arial" w:eastAsia="Arial" w:hAnsi="Arial"/>
          <w:sz w:val="21"/>
          <w:szCs w:val="21"/>
          <w:color w:val="auto"/>
        </w:rPr>
        <w:t>The numbers in the table below will not be adjusted when determining the number of Class A ordinary shares to be issued upon exercise of the warrants if we are not the surviving entity following our initial business combination.</w:t>
      </w:r>
    </w:p>
    <w:p>
      <w:pPr>
        <w:spacing w:after="0" w:line="178"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The share prices set forth in the column headings of the table below will be adjusted as of any date on which the number of shares issuable upon exercise of a warrant or the exercise price of the warrant is adjusted as set forth under the heading “—Anti-dilution Adjustments”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 If the exercise price of the warrant is adjusted as a result of raising capital in connection with the initial business combination, the adjusted share prices in the column headings will by multiplied by a fraction, the numerator of which is the higher of the Market Value and the Newly Issued Price as set forth under the heading “—Anti-dilution Adjustments” and the denominator of which is $10.00.</w:t>
      </w:r>
    </w:p>
    <w:p>
      <w:pPr>
        <w:spacing w:after="0" w:line="200" w:lineRule="exact"/>
        <w:rPr>
          <w:sz w:val="20"/>
          <w:szCs w:val="20"/>
          <w:color w:val="auto"/>
        </w:rPr>
      </w:pPr>
    </w:p>
    <w:p>
      <w:pPr>
        <w:spacing w:after="0" w:line="23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Fair Market Value of Class A Ordinary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4"/>
              </w:rPr>
              <w:t>Redemption Date (period to</w:t>
            </w: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480" w:type="dxa"/>
            <w:vAlign w:val="bottom"/>
            <w:gridSpan w:val="3"/>
          </w:tcPr>
          <w:p>
            <w:pPr>
              <w:ind w:left="180"/>
              <w:spacing w:after="0"/>
              <w:rPr>
                <w:sz w:val="20"/>
                <w:szCs w:val="20"/>
                <w:color w:val="auto"/>
              </w:rPr>
            </w:pPr>
            <w:r>
              <w:rPr>
                <w:rFonts w:ascii="Arial" w:cs="Arial" w:eastAsia="Arial" w:hAnsi="Arial"/>
                <w:sz w:val="18"/>
                <w:szCs w:val="18"/>
                <w:b w:val="1"/>
                <w:bCs w:val="1"/>
                <w:color w:val="auto"/>
              </w:rPr>
              <w:t>expiration of warrants)   $</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b w:val="1"/>
                <w:bCs w:val="1"/>
                <w:u w:val="single" w:color="auto"/>
                <w:color w:val="auto"/>
              </w:rPr>
              <w:t>00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b w:val="1"/>
                <w:bCs w:val="1"/>
                <w:u w:val="single" w:color="auto"/>
                <w:color w:val="auto"/>
              </w:rPr>
              <w:t>00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b w:val="1"/>
                <w:bCs w:val="1"/>
                <w:u w:val="single" w:color="auto"/>
                <w:color w:val="auto"/>
              </w:rPr>
              <w:t>00</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tcPr>
          <w:p>
            <w:pPr>
              <w:ind w:left="140"/>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b w:val="1"/>
                <w:bCs w:val="1"/>
                <w:u w:val="single" w:color="auto"/>
                <w:color w:val="auto"/>
              </w:rPr>
              <w:t>00</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b w:val="1"/>
                <w:bCs w:val="1"/>
                <w:u w:val="single" w:color="auto"/>
                <w:color w:val="auto"/>
              </w:rPr>
              <w:t>00</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ind w:left="160"/>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b w:val="1"/>
                <w:bCs w:val="1"/>
                <w:u w:val="single" w:color="auto"/>
                <w:color w:val="auto"/>
              </w:rPr>
              <w:t>00</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b w:val="1"/>
                <w:bCs w:val="1"/>
                <w:u w:val="single" w:color="auto"/>
                <w:color w:val="auto"/>
              </w:rPr>
              <w:t>00</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w:t>
            </w:r>
            <w:r>
              <w:rPr>
                <w:rFonts w:ascii="Arial" w:cs="Arial" w:eastAsia="Arial" w:hAnsi="Arial"/>
                <w:sz w:val="18"/>
                <w:szCs w:val="18"/>
                <w:b w:val="1"/>
                <w:bCs w:val="1"/>
                <w:u w:val="single" w:color="auto"/>
                <w:color w:val="auto"/>
              </w:rPr>
              <w:t>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b w:val="1"/>
                <w:bCs w:val="1"/>
                <w:u w:val="single" w:color="auto"/>
                <w:color w:val="auto"/>
              </w:rPr>
              <w:t>00</w:t>
            </w:r>
          </w:p>
        </w:tc>
      </w:tr>
      <w:tr>
        <w:trPr>
          <w:trHeight w:val="216"/>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60 months</w:t>
            </w: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0.261</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0.311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0.337</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0.348</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100" w:type="dxa"/>
            <w:vAlign w:val="bottom"/>
            <w:shd w:val="clear" w:color="auto" w:fill="CCEEFF"/>
          </w:tcPr>
          <w:p>
            <w:pPr>
              <w:spacing w:after="0"/>
              <w:rPr>
                <w:sz w:val="18"/>
                <w:szCs w:val="18"/>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57 months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0.257</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0.294</w:t>
            </w:r>
          </w:p>
        </w:tc>
        <w:tc>
          <w:tcPr>
            <w:tcW w:w="2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0.310</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0.324</w:t>
            </w:r>
          </w:p>
        </w:tc>
        <w:tc>
          <w:tcPr>
            <w:tcW w:w="24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0.337</w:t>
            </w: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0.348</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54 months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0.252</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0.307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0.335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0.347</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51 months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0.246</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0.287</w:t>
            </w:r>
          </w:p>
        </w:tc>
        <w:tc>
          <w:tcPr>
            <w:tcW w:w="2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0.304</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0.320</w:t>
            </w:r>
          </w:p>
        </w:tc>
        <w:tc>
          <w:tcPr>
            <w:tcW w:w="24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0.333</w:t>
            </w: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0.346</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48 months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0.241</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0.301</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0.332</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0.344</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45 months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0.235</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0.279</w:t>
            </w:r>
          </w:p>
        </w:tc>
        <w:tc>
          <w:tcPr>
            <w:tcW w:w="2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0.298</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0.315</w:t>
            </w:r>
          </w:p>
        </w:tc>
        <w:tc>
          <w:tcPr>
            <w:tcW w:w="24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0.330</w:t>
            </w: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0.343</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42 months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0.228</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0.274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0.294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0.328</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0.342</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39 months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0.221</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0.269</w:t>
            </w:r>
          </w:p>
        </w:tc>
        <w:tc>
          <w:tcPr>
            <w:tcW w:w="2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0.290</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0.309</w:t>
            </w:r>
          </w:p>
        </w:tc>
        <w:tc>
          <w:tcPr>
            <w:tcW w:w="24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0.325</w:t>
            </w: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0.340</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36 months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0.213</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0.263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0.285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0.323</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0.339</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33 months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0.205</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0.257</w:t>
            </w:r>
          </w:p>
        </w:tc>
        <w:tc>
          <w:tcPr>
            <w:tcW w:w="2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0.280</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0.301</w:t>
            </w:r>
          </w:p>
        </w:tc>
        <w:tc>
          <w:tcPr>
            <w:tcW w:w="24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0.320</w:t>
            </w: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0.337</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 months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0.196</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0.250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0.274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0.316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0.335</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27 months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0.185</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0.242</w:t>
            </w:r>
          </w:p>
        </w:tc>
        <w:tc>
          <w:tcPr>
            <w:tcW w:w="2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0.268</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0.291</w:t>
            </w:r>
          </w:p>
        </w:tc>
        <w:tc>
          <w:tcPr>
            <w:tcW w:w="24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0.313</w:t>
            </w: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0.332</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24 months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0.173</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0.233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0.260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0.308</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0.329</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30"/>
        </w:trPr>
        <w:tc>
          <w:tcPr>
            <w:tcW w:w="2480" w:type="dxa"/>
            <w:vAlign w:val="bottom"/>
            <w:gridSpan w:val="3"/>
          </w:tcPr>
          <w:p>
            <w:pPr>
              <w:spacing w:after="0"/>
              <w:rPr>
                <w:sz w:val="20"/>
                <w:szCs w:val="20"/>
                <w:color w:val="auto"/>
              </w:rPr>
            </w:pPr>
            <w:r>
              <w:rPr>
                <w:rFonts w:ascii="Arial" w:cs="Arial" w:eastAsia="Arial" w:hAnsi="Arial"/>
                <w:sz w:val="18"/>
                <w:szCs w:val="18"/>
                <w:color w:val="auto"/>
              </w:rPr>
              <w:t>21 months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0.161</w:t>
            </w: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0.223</w:t>
            </w:r>
          </w:p>
        </w:tc>
        <w:tc>
          <w:tcPr>
            <w:tcW w:w="240" w:type="dxa"/>
            <w:vAlign w:val="bottom"/>
          </w:tcPr>
          <w:p>
            <w:pPr>
              <w:spacing w:after="0"/>
              <w:rPr>
                <w:sz w:val="20"/>
                <w:szCs w:val="20"/>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0.252</w:t>
            </w:r>
          </w:p>
        </w:tc>
        <w:tc>
          <w:tcPr>
            <w:tcW w:w="2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0.279</w:t>
            </w:r>
          </w:p>
        </w:tc>
        <w:tc>
          <w:tcPr>
            <w:tcW w:w="240" w:type="dxa"/>
            <w:vAlign w:val="bottom"/>
          </w:tcPr>
          <w:p>
            <w:pPr>
              <w:spacing w:after="0"/>
              <w:rPr>
                <w:sz w:val="20"/>
                <w:szCs w:val="20"/>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0.304</w:t>
            </w:r>
          </w:p>
        </w:tc>
        <w:tc>
          <w:tcPr>
            <w:tcW w:w="2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0.326</w:t>
            </w:r>
          </w:p>
        </w:tc>
        <w:tc>
          <w:tcPr>
            <w:tcW w:w="2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411"/>
        </w:trPr>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08" w:name="page109"/>
    <w:bookmarkEnd w:id="108"/>
    <w:p>
      <w:pPr>
        <w:ind w:left="4880"/>
        <w:spacing w:after="0"/>
        <w:rPr>
          <w:sz w:val="20"/>
          <w:szCs w:val="20"/>
          <w:color w:val="auto"/>
        </w:rPr>
      </w:pPr>
      <w:r>
        <w:rPr>
          <w:rFonts w:ascii="Arial" w:cs="Arial" w:eastAsia="Arial" w:hAnsi="Arial"/>
          <w:sz w:val="18"/>
          <w:szCs w:val="18"/>
          <w:b w:val="1"/>
          <w:bCs w:val="1"/>
          <w:color w:val="auto"/>
        </w:rPr>
        <w:t>Fair Market Value of Class A Ordinary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4"/>
              </w:rPr>
              <w:t>Redemption Date (period to</w:t>
            </w: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480" w:type="dxa"/>
            <w:vAlign w:val="bottom"/>
            <w:gridSpan w:val="3"/>
          </w:tcPr>
          <w:p>
            <w:pPr>
              <w:ind w:left="180"/>
              <w:spacing w:after="0"/>
              <w:rPr>
                <w:sz w:val="20"/>
                <w:szCs w:val="20"/>
                <w:color w:val="auto"/>
              </w:rPr>
            </w:pPr>
            <w:r>
              <w:rPr>
                <w:rFonts w:ascii="Arial" w:cs="Arial" w:eastAsia="Arial" w:hAnsi="Arial"/>
                <w:sz w:val="18"/>
                <w:szCs w:val="18"/>
                <w:b w:val="1"/>
                <w:bCs w:val="1"/>
                <w:color w:val="auto"/>
              </w:rPr>
              <w:t>expiration of warrants)   $</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b w:val="1"/>
                <w:bCs w:val="1"/>
                <w:u w:val="single" w:color="auto"/>
                <w:color w:val="auto"/>
              </w:rPr>
              <w:t>00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b w:val="1"/>
                <w:bCs w:val="1"/>
                <w:u w:val="single" w:color="auto"/>
                <w:color w:val="auto"/>
              </w:rPr>
              <w:t>00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b w:val="1"/>
                <w:bCs w:val="1"/>
                <w:u w:val="single" w:color="auto"/>
                <w:color w:val="auto"/>
              </w:rPr>
              <w:t>00</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tcPr>
          <w:p>
            <w:pPr>
              <w:ind w:left="140"/>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b w:val="1"/>
                <w:bCs w:val="1"/>
                <w:u w:val="single" w:color="auto"/>
                <w:color w:val="auto"/>
              </w:rPr>
              <w:t>00</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b w:val="1"/>
                <w:bCs w:val="1"/>
                <w:u w:val="single" w:color="auto"/>
                <w:color w:val="auto"/>
              </w:rPr>
              <w:t>00</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ind w:left="160"/>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b w:val="1"/>
                <w:bCs w:val="1"/>
                <w:u w:val="single" w:color="auto"/>
                <w:color w:val="auto"/>
              </w:rPr>
              <w:t>00</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b w:val="1"/>
                <w:bCs w:val="1"/>
                <w:u w:val="single" w:color="auto"/>
                <w:color w:val="auto"/>
              </w:rPr>
              <w:t>00</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w:t>
            </w:r>
            <w:r>
              <w:rPr>
                <w:rFonts w:ascii="Arial" w:cs="Arial" w:eastAsia="Arial" w:hAnsi="Arial"/>
                <w:sz w:val="18"/>
                <w:szCs w:val="18"/>
                <w:b w:val="1"/>
                <w:bCs w:val="1"/>
                <w:u w:val="single" w:color="auto"/>
                <w:color w:val="auto"/>
              </w:rPr>
              <w:t>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b w:val="1"/>
                <w:bCs w:val="1"/>
                <w:u w:val="single" w:color="auto"/>
                <w:color w:val="auto"/>
              </w:rPr>
              <w:t>00</w:t>
            </w:r>
          </w:p>
        </w:tc>
      </w:tr>
      <w:tr>
        <w:trPr>
          <w:trHeight w:val="216"/>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18 months</w:t>
            </w: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0.146</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0.211</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0.242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0.298</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0.322</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100" w:type="dxa"/>
            <w:vAlign w:val="bottom"/>
            <w:shd w:val="clear" w:color="auto" w:fill="CCEEFF"/>
          </w:tcPr>
          <w:p>
            <w:pPr>
              <w:spacing w:after="0"/>
              <w:rPr>
                <w:sz w:val="18"/>
                <w:szCs w:val="18"/>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15 months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0.130</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0.197</w:t>
            </w:r>
          </w:p>
        </w:tc>
        <w:tc>
          <w:tcPr>
            <w:tcW w:w="2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0.230</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0.262</w:t>
            </w:r>
          </w:p>
        </w:tc>
        <w:tc>
          <w:tcPr>
            <w:tcW w:w="24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0.291</w:t>
            </w: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0.317</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 months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0.111</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0.216</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0.282</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0.312</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9 months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0.090</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0.162</w:t>
            </w:r>
          </w:p>
        </w:tc>
        <w:tc>
          <w:tcPr>
            <w:tcW w:w="2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0.199</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0.237</w:t>
            </w:r>
          </w:p>
        </w:tc>
        <w:tc>
          <w:tcPr>
            <w:tcW w:w="24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0.272</w:t>
            </w: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0.305</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 months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0.065</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0.178</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0.259</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0.296</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3 months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0.034</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0.065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0.104</w:t>
            </w:r>
          </w:p>
        </w:tc>
        <w:tc>
          <w:tcPr>
            <w:tcW w:w="2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0.150</w:t>
            </w:r>
          </w:p>
        </w:tc>
        <w:tc>
          <w:tcPr>
            <w:tcW w:w="2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0.197</w:t>
            </w:r>
          </w:p>
        </w:tc>
        <w:tc>
          <w:tcPr>
            <w:tcW w:w="24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0.243</w:t>
            </w: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0.286</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 months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0.115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0.179</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0.233</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0.281</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bl>
    <w:p>
      <w:pPr>
        <w:spacing w:after="0" w:line="222" w:lineRule="exact"/>
        <w:rPr>
          <w:sz w:val="20"/>
          <w:szCs w:val="20"/>
          <w:color w:val="auto"/>
        </w:rPr>
      </w:pPr>
    </w:p>
    <w:p>
      <w:pPr>
        <w:ind w:right="60" w:firstLine="324"/>
        <w:spacing w:after="0" w:line="275" w:lineRule="auto"/>
        <w:rPr>
          <w:sz w:val="20"/>
          <w:szCs w:val="20"/>
          <w:color w:val="auto"/>
        </w:rPr>
      </w:pPr>
      <w:r>
        <w:rPr>
          <w:rFonts w:ascii="Arial" w:cs="Arial" w:eastAsia="Arial" w:hAnsi="Arial"/>
          <w:sz w:val="19"/>
          <w:szCs w:val="19"/>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volume-weighted average price of our Class A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ordinary shares for each whole warrant.</w:t>
      </w:r>
    </w:p>
    <w:p>
      <w:pPr>
        <w:spacing w:after="0" w:line="184" w:lineRule="exact"/>
        <w:rPr>
          <w:sz w:val="20"/>
          <w:szCs w:val="20"/>
          <w:color w:val="auto"/>
        </w:rPr>
      </w:pPr>
    </w:p>
    <w:p>
      <w:pPr>
        <w:ind w:right="180" w:firstLine="324"/>
        <w:spacing w:after="0" w:line="279" w:lineRule="auto"/>
        <w:rPr>
          <w:sz w:val="20"/>
          <w:szCs w:val="20"/>
          <w:color w:val="auto"/>
        </w:rPr>
      </w:pPr>
      <w:r>
        <w:rPr>
          <w:rFonts w:ascii="Arial" w:cs="Arial" w:eastAsia="Arial" w:hAnsi="Arial"/>
          <w:sz w:val="19"/>
          <w:szCs w:val="19"/>
          <w:color w:val="auto"/>
        </w:rPr>
        <w:t>For an example where the exact fair market value and redemption date are not as set forth in the table above, if the volume-weighted average price of our Class A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in connection with this redemption feature for more than 0.361 Class A ordinary shares per warrant (subject to adjustment).</w:t>
      </w:r>
    </w:p>
    <w:p>
      <w:pPr>
        <w:spacing w:after="0" w:line="177" w:lineRule="exact"/>
        <w:rPr>
          <w:sz w:val="20"/>
          <w:szCs w:val="20"/>
          <w:color w:val="auto"/>
        </w:rPr>
      </w:pPr>
    </w:p>
    <w:p>
      <w:pPr>
        <w:ind w:right="40" w:firstLine="324"/>
        <w:spacing w:after="0" w:line="270" w:lineRule="auto"/>
        <w:rPr>
          <w:sz w:val="20"/>
          <w:szCs w:val="20"/>
          <w:color w:val="auto"/>
        </w:rPr>
      </w:pPr>
      <w:r>
        <w:rPr>
          <w:rFonts w:ascii="Arial" w:cs="Arial" w:eastAsia="Arial" w:hAnsi="Arial"/>
          <w:sz w:val="19"/>
          <w:szCs w:val="19"/>
          <w:color w:val="auto"/>
        </w:rPr>
        <w:t>This redemption feature is structured to allow for all of the outstanding warrants to be redeemed when the Class A ordinary shares are trading at or above $10.00 per share, which may be at a time when the trading price of our Class A ordinary shares is below the exercise price of the warrants. We have established this redemption feature to provide us with the flexibility to redeem the warrants without the warrants having to reach the $18.00 per share threshold set forth above under “—Redemption of Warrants When the Price per Class A Ordinary Share Equals or Exceeds $18.00.” Holders choosing to exercise their warrants in connection with a redemption pursuant to this feature will, in effect, receive a number of shares for their warrants based on an option pricing model with a fixed volatility input as of February 11, 2021.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 As stated above, we can redeem the warrants when the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19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9"/>
          <w:szCs w:val="19"/>
          <w:color w:val="auto"/>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179" w:lineRule="exact"/>
        <w:rPr>
          <w:sz w:val="20"/>
          <w:szCs w:val="20"/>
          <w:color w:val="auto"/>
        </w:rPr>
      </w:pPr>
    </w:p>
    <w:p>
      <w:pPr>
        <w:jc w:val="both"/>
        <w:ind w:right="360" w:firstLine="324"/>
        <w:spacing w:after="0" w:line="287" w:lineRule="auto"/>
        <w:rPr>
          <w:sz w:val="20"/>
          <w:szCs w:val="20"/>
          <w:color w:val="auto"/>
        </w:rPr>
      </w:pPr>
      <w:r>
        <w:rPr>
          <w:rFonts w:ascii="Arial" w:cs="Arial" w:eastAsia="Arial" w:hAnsi="Arial"/>
          <w:sz w:val="19"/>
          <w:szCs w:val="19"/>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Class A ordinary shares outstanding immediately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b w:val="1"/>
          <w:bCs w:val="1"/>
          <w:color w:val="auto"/>
        </w:rPr>
        <w:t>Anti-dilution Adjustments</w:t>
      </w:r>
    </w:p>
    <w:p>
      <w:pPr>
        <w:spacing w:after="0" w:line="240"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If the number of issued and outstanding ordinary shares is increased by a capitalization or share dividend payable in ordinary shares, or by a split-up of ordinary shares or other similar event, then, on the effective date of such share dividend, split-up or similar event, the number of Class A ordinary shares issuable on exercise of each warrant will be increased in proportion to such increase in the issued and outstanding ordinary shares. A rights offering to holders of ordinary shares entitling holders to purchase ordinary shares at a price less than the fair market value will be deemed a share dividend of a number of ordinary shares equal to the product of (1) the number of ordinary shares actually sold in such rights offering (or issuable under any other equity securities sold in such rights offering that are convertible into or exercisable for ordinary shares) multiplied by (2) one minus the quotient of (x) the price per ordinary share paid in such rights offering divided by (y) the fair market value. For these purposes (1)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(2)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183" w:lineRule="exact"/>
        <w:rPr>
          <w:sz w:val="20"/>
          <w:szCs w:val="20"/>
          <w:color w:val="auto"/>
        </w:rPr>
      </w:pPr>
    </w:p>
    <w:p>
      <w:pPr>
        <w:ind w:right="120" w:firstLine="324"/>
        <w:spacing w:after="0" w:line="272" w:lineRule="auto"/>
        <w:rPr>
          <w:sz w:val="20"/>
          <w:szCs w:val="20"/>
          <w:color w:val="auto"/>
        </w:rPr>
      </w:pPr>
      <w:r>
        <w:rPr>
          <w:rFonts w:ascii="Arial" w:cs="Arial" w:eastAsia="Arial" w:hAnsi="Arial"/>
          <w:sz w:val="19"/>
          <w:szCs w:val="19"/>
          <w:color w:val="auto"/>
        </w:rPr>
        <w:t>In addition, if we, at any time while the warrants are outstanding and unexpired, pay a dividend or make a distribution in cash, securities or other assets to the holders of Class A ordinary shares on account of such Class A ordinary shares (or other securities into which the warrants are convertible), other than (a) as described above, (b) certain ordinary cash dividends,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 (i) to modify the substance or timing of our obligation to allow redemption in connection with our initial business combination or to redeem 100% of our public shares if we do not complete our initial business combination by February 17, 2023 or (ii) with respect to any other provision relating to shareholders’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88" w:lineRule="exact"/>
        <w:rPr>
          <w:sz w:val="20"/>
          <w:szCs w:val="20"/>
          <w:color w:val="auto"/>
        </w:rPr>
      </w:pPr>
    </w:p>
    <w:p>
      <w:pPr>
        <w:ind w:right="200" w:firstLine="324"/>
        <w:spacing w:after="0" w:line="287" w:lineRule="auto"/>
        <w:rPr>
          <w:sz w:val="20"/>
          <w:szCs w:val="20"/>
          <w:color w:val="auto"/>
        </w:rPr>
      </w:pPr>
      <w:r>
        <w:rPr>
          <w:rFonts w:ascii="Arial" w:cs="Arial" w:eastAsia="Arial" w:hAnsi="Arial"/>
          <w:sz w:val="19"/>
          <w:szCs w:val="19"/>
          <w:color w:val="auto"/>
        </w:rPr>
        <w:t>If the number of issued and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issued and outstanding Class A ordinary shares.</w:t>
      </w:r>
    </w:p>
    <w:p>
      <w:pPr>
        <w:spacing w:after="0" w:line="170" w:lineRule="exact"/>
        <w:rPr>
          <w:sz w:val="20"/>
          <w:szCs w:val="20"/>
          <w:color w:val="auto"/>
        </w:rPr>
      </w:pPr>
    </w:p>
    <w:p>
      <w:pPr>
        <w:ind w:right="60" w:firstLine="324"/>
        <w:spacing w:after="0" w:line="236" w:lineRule="auto"/>
        <w:rPr>
          <w:sz w:val="20"/>
          <w:szCs w:val="20"/>
          <w:color w:val="auto"/>
        </w:rPr>
      </w:pPr>
      <w:r>
        <w:rPr>
          <w:rFonts w:ascii="Arial" w:cs="Arial" w:eastAsia="Arial" w:hAnsi="Arial"/>
          <w:sz w:val="22"/>
          <w:szCs w:val="22"/>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214"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In addition, if (x) we issue additional Class A ordinary shares or equity-linked securities for capital raising purposes in connection with the closing of our initial business combination at a Newly Issued Price of less than $9.20 per Class A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and (y) the Market Value is below $9.20 per share, the exercise price of the warrants will be adjusted (to the nearest cent) to be equal to 115% of the higher of the Market Value and the Newly Issued Price, and the $10.00 and $18.00 per share redemption trigger prices described adjacent to “Redemption of Warrants When the Price per Class A Ordinary Share Equals or Exceeds $10.00” and “Redemption of Warrants When the Price per Class A Ordinary Share Equals or Exceeds $18.00” will be adjusted (to the nearest cent) to be equal to 100% and 180% of the higher of the Market Value and the Newly Issued Price,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0" w:name="page111"/>
    <w:bookmarkEnd w:id="110"/>
    <w:p>
      <w:pPr>
        <w:ind w:firstLine="324"/>
        <w:spacing w:after="0" w:line="268" w:lineRule="auto"/>
        <w:rPr>
          <w:sz w:val="20"/>
          <w:szCs w:val="20"/>
          <w:color w:val="auto"/>
        </w:rPr>
      </w:pPr>
      <w:r>
        <w:rPr>
          <w:rFonts w:ascii="Arial" w:cs="Arial" w:eastAsia="Arial" w:hAnsi="Arial"/>
          <w:sz w:val="19"/>
          <w:szCs w:val="19"/>
          <w:color w:val="auto"/>
        </w:rPr>
        <w:t>In case of any reclassification or reorganization of the issued and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issued and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Class A ordinary shares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Class A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200" w:lineRule="exact"/>
        <w:rPr>
          <w:sz w:val="20"/>
          <w:szCs w:val="20"/>
          <w:color w:val="auto"/>
        </w:rPr>
      </w:pPr>
    </w:p>
    <w:p>
      <w:pPr>
        <w:spacing w:after="0" w:line="254"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The warrants were issued in registered form under a warrant agreement between Continental Stock Transfer &amp; Trust Company, as warrant agent, and us. You should review a copy of the warrant agreement, which is filed as an exhibit to this Annual Report,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177" w:lineRule="exact"/>
        <w:rPr>
          <w:sz w:val="20"/>
          <w:szCs w:val="20"/>
          <w:color w:val="auto"/>
        </w:rPr>
      </w:pPr>
    </w:p>
    <w:p>
      <w:pPr>
        <w:ind w:right="20" w:firstLine="324"/>
        <w:spacing w:after="0" w:line="297" w:lineRule="auto"/>
        <w:rPr>
          <w:sz w:val="20"/>
          <w:szCs w:val="20"/>
          <w:color w:val="auto"/>
        </w:rPr>
      </w:pPr>
      <w:r>
        <w:rPr>
          <w:rFonts w:ascii="Arial" w:cs="Arial" w:eastAsia="Arial" w:hAnsi="Arial"/>
          <w:sz w:val="19"/>
          <w:szCs w:val="19"/>
          <w:color w:val="auto"/>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Private Placement Warrants</w:t>
      </w:r>
    </w:p>
    <w:p>
      <w:pPr>
        <w:spacing w:after="0" w:line="23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9"/>
          <w:szCs w:val="19"/>
          <w:color w:val="auto"/>
        </w:rPr>
        <w:t>The private placement warrants (including the Class A ordinary shares issuable upon exercise of the private placement warrants) will not be transferable, assignable or salable until 30 days after the completion of our initial business combination (except, among other limited exceptions as described under “Principal Shareholders—Transfers of Founder Shares and Private Placement Warrants,” to our officers and directors and other persons or entities affiliated with our sponsor) and they will not be redeemable by us as adjusted for adjustments to the number of shares issuable upon exercise or the exercise price of a warrant as described under the heading “—Anti-dilution Adjustments” so long as they are held by our sponsor or its permitted transferees. Our sponsor, as well as its permitted transferees, have the option to exercise the private placement warrants on a cashless basis and will have certain registration rights related to such private placement warrants. Otherwise, the private placement warrants have terms and provisions that are identical to those of the warrants being sold as part of the units. If the private placement warrants are held by holders other than our sponsor or its permitted transferees, the private placement warrants will be redeemable by us and exercisable by the holders on the same basis as the warrants included in the units.</w:t>
      </w:r>
    </w:p>
    <w:p>
      <w:pPr>
        <w:spacing w:after="0" w:line="250" w:lineRule="exact"/>
        <w:rPr>
          <w:sz w:val="20"/>
          <w:szCs w:val="20"/>
          <w:color w:val="auto"/>
        </w:rPr>
      </w:pPr>
    </w:p>
    <w:p>
      <w:pPr>
        <w:ind w:left="340"/>
        <w:spacing w:after="0"/>
        <w:tabs>
          <w:tab w:leader="none" w:pos="3080" w:val="left"/>
        </w:tabs>
        <w:rPr>
          <w:sz w:val="20"/>
          <w:szCs w:val="20"/>
          <w:color w:val="auto"/>
        </w:rPr>
      </w:pPr>
      <w:r>
        <w:rPr>
          <w:rFonts w:ascii="Arial" w:cs="Arial" w:eastAsia="Arial" w:hAnsi="Arial"/>
          <w:sz w:val="22"/>
          <w:szCs w:val="22"/>
          <w:color w:val="auto"/>
        </w:rPr>
        <w:t>Except as described under “</w:t>
      </w:r>
      <w:r>
        <w:rPr>
          <w:sz w:val="20"/>
          <w:szCs w:val="20"/>
          <w:color w:val="auto"/>
        </w:rPr>
        <w:tab/>
      </w:r>
      <w:r>
        <w:rPr>
          <w:rFonts w:ascii="Arial" w:cs="Arial" w:eastAsia="Arial" w:hAnsi="Arial"/>
          <w:sz w:val="19"/>
          <w:szCs w:val="19"/>
          <w:color w:val="auto"/>
        </w:rPr>
        <w:t>Redemption of Warrants When the Price per Class A Ordinary Share Equals or Exceeds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$10.00,” if holders of the private placement warrants elect to exercise them on a cashless basis, they would pay the exercise price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by surrendering his, her or its warrants for that number of Class A ordinary shares equal to the quotient obtained by dividing (x)</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product of the number of Class A ordinary shares underlying the warrants, multiplied by the excess of the “fair market value”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(defined below) over the exercise price of the warrants by (y) the fair market value. The “fair market value” shall mean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average last reported sale price of the Class A ordinary shares for the 10 trading days ending on the third trading day prior to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date on which the notice of warrant exercise is sent to the warrant agent. The reason that we have agreed that these warrants will</w:t>
      </w:r>
    </w:p>
    <w:p>
      <w:pPr>
        <w:sectPr>
          <w:pgSz w:w="11900" w:h="16838" w:orient="portrait"/>
          <w:cols w:equalWidth="0" w:num="1">
            <w:col w:w="11220"/>
          </w:cols>
          <w:pgMar w:left="320" w:top="118" w:right="359" w:bottom="0" w:gutter="0" w:footer="0" w:header="0"/>
        </w:sectPr>
      </w:pPr>
    </w:p>
    <w:bookmarkStart w:id="111" w:name="page112"/>
    <w:bookmarkEnd w:id="111"/>
    <w:p>
      <w:pPr>
        <w:spacing w:after="0" w:line="245" w:lineRule="auto"/>
        <w:rPr>
          <w:sz w:val="20"/>
          <w:szCs w:val="20"/>
          <w:color w:val="auto"/>
        </w:rPr>
      </w:pPr>
      <w:r>
        <w:rPr>
          <w:rFonts w:ascii="Arial" w:cs="Arial" w:eastAsia="Arial" w:hAnsi="Arial"/>
          <w:sz w:val="21"/>
          <w:szCs w:val="21"/>
          <w:color w:val="auto"/>
        </w:rPr>
        <w:t>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b w:val="1"/>
          <w:bCs w:val="1"/>
          <w:color w:val="auto"/>
        </w:rPr>
        <w:t>Dividends</w:t>
      </w:r>
    </w:p>
    <w:p>
      <w:pPr>
        <w:spacing w:after="0" w:line="240" w:lineRule="exact"/>
        <w:rPr>
          <w:sz w:val="20"/>
          <w:szCs w:val="20"/>
          <w:color w:val="auto"/>
        </w:rPr>
      </w:pPr>
    </w:p>
    <w:p>
      <w:pPr>
        <w:ind w:right="40" w:firstLine="324"/>
        <w:spacing w:after="0" w:line="234" w:lineRule="auto"/>
        <w:rPr>
          <w:sz w:val="20"/>
          <w:szCs w:val="20"/>
          <w:color w:val="auto"/>
        </w:rPr>
      </w:pPr>
      <w:r>
        <w:rPr>
          <w:rFonts w:ascii="Arial" w:cs="Arial" w:eastAsia="Arial" w:hAnsi="Arial"/>
          <w:sz w:val="22"/>
          <w:szCs w:val="22"/>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Further, if we incur any indebtedness in connection with our initial business combination, our ability to declare dividends may be limited by restrictive covenants we may agree to in connection therewith.</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Transfer Agent and Warrant Agent</w:t>
      </w:r>
    </w:p>
    <w:p>
      <w:pPr>
        <w:spacing w:after="0" w:line="239"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Differences in Corporate Law</w:t>
      </w:r>
    </w:p>
    <w:p>
      <w:pPr>
        <w:spacing w:after="0" w:line="239" w:lineRule="exact"/>
        <w:rPr>
          <w:sz w:val="20"/>
          <w:szCs w:val="20"/>
          <w:color w:val="auto"/>
        </w:rPr>
      </w:pPr>
    </w:p>
    <w:p>
      <w:pPr>
        <w:ind w:right="140" w:firstLine="324"/>
        <w:spacing w:after="0" w:line="287" w:lineRule="auto"/>
        <w:rPr>
          <w:sz w:val="20"/>
          <w:szCs w:val="20"/>
          <w:color w:val="auto"/>
        </w:rPr>
      </w:pPr>
      <w:r>
        <w:rPr>
          <w:rFonts w:ascii="Arial" w:cs="Arial" w:eastAsia="Arial" w:hAnsi="Arial"/>
          <w:sz w:val="19"/>
          <w:szCs w:val="19"/>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70" w:lineRule="exact"/>
        <w:rPr>
          <w:sz w:val="20"/>
          <w:szCs w:val="20"/>
          <w:color w:val="auto"/>
        </w:rPr>
      </w:pPr>
    </w:p>
    <w:p>
      <w:pPr>
        <w:jc w:val="both"/>
        <w:ind w:right="580" w:firstLine="324"/>
        <w:spacing w:after="0" w:line="257" w:lineRule="auto"/>
        <w:rPr>
          <w:sz w:val="20"/>
          <w:szCs w:val="20"/>
          <w:color w:val="auto"/>
        </w:rPr>
      </w:pPr>
      <w:r>
        <w:rPr>
          <w:rFonts w:ascii="Arial" w:cs="Arial" w:eastAsia="Arial" w:hAnsi="Arial"/>
          <w:sz w:val="21"/>
          <w:szCs w:val="21"/>
          <w:i w:val="1"/>
          <w:iCs w:val="1"/>
          <w:color w:val="auto"/>
        </w:rPr>
        <w:t xml:space="preserve">Mergers and Similar Arrangements. </w:t>
      </w:r>
      <w:r>
        <w:rPr>
          <w:rFonts w:ascii="Arial" w:cs="Arial" w:eastAsia="Arial" w:hAnsi="Arial"/>
          <w:sz w:val="21"/>
          <w:szCs w:val="21"/>
          <w:color w:val="auto"/>
        </w:rPr>
        <w:t>In certain circumstances, the Companies Law allows for mergers or consolidations</w:t>
      </w:r>
      <w:r>
        <w:rPr>
          <w:rFonts w:ascii="Arial" w:cs="Arial" w:eastAsia="Arial" w:hAnsi="Arial"/>
          <w:sz w:val="21"/>
          <w:szCs w:val="21"/>
          <w:i w:val="1"/>
          <w:iCs w:val="1"/>
          <w:color w:val="auto"/>
        </w:rPr>
        <w:t xml:space="preserve"> </w:t>
      </w:r>
      <w:r>
        <w:rPr>
          <w:rFonts w:ascii="Arial" w:cs="Arial" w:eastAsia="Arial" w:hAnsi="Arial"/>
          <w:sz w:val="21"/>
          <w:szCs w:val="21"/>
          <w:color w:val="auto"/>
        </w:rPr>
        <w:t>between two Cayman Islands companies, or between a Cayman Islands exempted company and a company incorporated in another jurisdiction (provided that is facilitated by the laws of that other jurisdiction).</w:t>
      </w:r>
    </w:p>
    <w:p>
      <w:pPr>
        <w:spacing w:after="0" w:line="196"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Where the merger or consolidation is between two Cayman Islands companies, the directors of each company must approve a written plan of merger or consolidation containing certain prescribed information. That plan of merger or consolidation must then be authorized by either (a) a special resolution (at least a majority of 66 2/3% in value who attend and vote at a general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85"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(1)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(2) that no petition or other similar proceeding has been filed and remains outstanding or order made or resolution adopted to wind up or liquidate the foreign company in any jurisdictions; (3) that no receiver, trustee, administrator or other similar person has been appointed in any jurisdiction and is acting in respect of the foreign company, its affairs or its property or any part thereof; and (4) that no scheme, order, compromise or other similar arrangement has been entered into or made in any jurisdiction whereby the rights of creditors of the foreign company are and continue to be suspended or restricted; and (5) there is no other reason why it would be against the public interest to permit the merger 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3" w:name="page114"/>
    <w:bookmarkEnd w:id="113"/>
    <w:p>
      <w:pPr>
        <w:ind w:right="40" w:firstLine="324"/>
        <w:spacing w:after="0" w:line="274" w:lineRule="auto"/>
        <w:rPr>
          <w:sz w:val="20"/>
          <w:szCs w:val="20"/>
          <w:color w:val="auto"/>
        </w:rPr>
      </w:pPr>
      <w:r>
        <w:rPr>
          <w:rFonts w:ascii="Arial" w:cs="Arial" w:eastAsia="Arial" w:hAnsi="Arial"/>
          <w:sz w:val="19"/>
          <w:szCs w:val="19"/>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(1) that the foreign company is able to pay its debts as they fall due and that the merger or consolidated is bona fide and not intended to defraud unsecured creditors of the foreign company; (2)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and (3) that the foreign company will, upon the merger or consolidation becoming effective, cease to be incorporated, registered or exist under the laws of the relevant foreign jurisdiction.</w:t>
      </w:r>
    </w:p>
    <w:p>
      <w:pPr>
        <w:spacing w:after="0" w:line="186" w:lineRule="exact"/>
        <w:rPr>
          <w:sz w:val="20"/>
          <w:szCs w:val="20"/>
          <w:color w:val="auto"/>
        </w:rPr>
      </w:pPr>
    </w:p>
    <w:p>
      <w:pPr>
        <w:ind w:firstLine="324"/>
        <w:spacing w:after="0" w:line="269" w:lineRule="auto"/>
        <w:rPr>
          <w:sz w:val="20"/>
          <w:szCs w:val="20"/>
          <w:color w:val="auto"/>
        </w:rPr>
      </w:pPr>
      <w:r>
        <w:rPr>
          <w:rFonts w:ascii="Arial" w:cs="Arial" w:eastAsia="Arial" w:hAnsi="Arial"/>
          <w:sz w:val="19"/>
          <w:szCs w:val="19"/>
          <w:color w:val="auto"/>
        </w:rPr>
        <w:t>The Companies Law provides for a right of dissenting shareholders to be paid a payment of the fair value of his or her shares upon their dissenting to the merger or consolidation in certain circumstances if they follow a prescribed procedure. In essence, where such rights apply, that procedure is as follows: (a) the shareholder must give his or her written objection to the merger or consolidation to the constituent company before the vote on the merger or consolidation, including a statement that the shareholder proposes to demand payment for his or her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or her intention to dissent including, among other details, a demand for payment of the fair value of his or her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or her shares at a price that the company determines is the fair value and if the company and the shareholder agrees to the price within 30 days following the date on which the offer was made, the company must pay the shareholder such amount; and (e) if the company and the shareholder fails to agree to a price within such 30- day period, within 20 days following the date on which such 30-day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to be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 or in the context of a parent and subsidiary merger.</w:t>
      </w:r>
    </w:p>
    <w:p>
      <w:pPr>
        <w:spacing w:after="0" w:line="200" w:lineRule="exact"/>
        <w:rPr>
          <w:sz w:val="20"/>
          <w:szCs w:val="20"/>
          <w:color w:val="auto"/>
        </w:rPr>
      </w:pPr>
    </w:p>
    <w:p>
      <w:pPr>
        <w:spacing w:after="0" w:line="241"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Moreover, Cayman Islands law also has separate statutory provisions that facilitate the reconstruction or amalgamation of companies in certain circumstances, such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is satisfied that:</w:t>
      </w:r>
    </w:p>
    <w:p>
      <w:pPr>
        <w:spacing w:after="0" w:line="189" w:lineRule="exact"/>
        <w:rPr>
          <w:sz w:val="20"/>
          <w:szCs w:val="20"/>
          <w:color w:val="auto"/>
        </w:rPr>
      </w:pPr>
    </w:p>
    <w:p>
      <w:pPr>
        <w:ind w:left="660" w:right="4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we have complied with the statutory provisions as to majority vote;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arrangement is such as a business-person would reasonably approve; and</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 or that would amount to a “fraud on the minority.”</w:t>
      </w:r>
    </w:p>
    <w:p>
      <w:pPr>
        <w:spacing w:after="0" w:line="190" w:lineRule="exact"/>
        <w:rPr>
          <w:sz w:val="20"/>
          <w:szCs w:val="20"/>
          <w:color w:val="auto"/>
        </w:rPr>
      </w:pPr>
    </w:p>
    <w:p>
      <w:pPr>
        <w:ind w:right="380" w:firstLine="324"/>
        <w:spacing w:after="0" w:line="297" w:lineRule="auto"/>
        <w:rPr>
          <w:sz w:val="20"/>
          <w:szCs w:val="20"/>
          <w:color w:val="auto"/>
        </w:rPr>
      </w:pPr>
      <w:r>
        <w:rPr>
          <w:rFonts w:ascii="Arial" w:cs="Arial" w:eastAsia="Arial" w:hAnsi="Arial"/>
          <w:sz w:val="19"/>
          <w:szCs w:val="19"/>
          <w:color w:val="auto"/>
        </w:rPr>
        <w:t>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4" w:name="page115"/>
    <w:bookmarkEnd w:id="114"/>
    <w:p>
      <w:pPr>
        <w:ind w:right="140" w:firstLine="324"/>
        <w:spacing w:after="0" w:line="287" w:lineRule="auto"/>
        <w:rPr>
          <w:sz w:val="20"/>
          <w:szCs w:val="20"/>
          <w:color w:val="auto"/>
        </w:rPr>
      </w:pPr>
      <w:r>
        <w:rPr>
          <w:rFonts w:ascii="Arial" w:cs="Arial" w:eastAsia="Arial" w:hAnsi="Arial"/>
          <w:sz w:val="19"/>
          <w:szCs w:val="19"/>
          <w:i w:val="1"/>
          <w:iCs w:val="1"/>
          <w:color w:val="auto"/>
        </w:rPr>
        <w:t>Squeeze-Out Provisions</w:t>
      </w:r>
      <w:r>
        <w:rPr>
          <w:rFonts w:ascii="Arial" w:cs="Arial" w:eastAsia="Arial" w:hAnsi="Arial"/>
          <w:sz w:val="19"/>
          <w:szCs w:val="19"/>
          <w:color w:val="auto"/>
        </w:rPr>
        <w:t>. When a takeover offer is made and accepted by holders of 90% of the shares to whom the offer</w:t>
      </w:r>
      <w:r>
        <w:rPr>
          <w:rFonts w:ascii="Arial" w:cs="Arial" w:eastAsia="Arial" w:hAnsi="Arial"/>
          <w:sz w:val="19"/>
          <w:szCs w:val="19"/>
          <w:i w:val="1"/>
          <w:iCs w:val="1"/>
          <w:color w:val="auto"/>
        </w:rPr>
        <w:t xml:space="preserve"> </w:t>
      </w:r>
      <w:r>
        <w:rPr>
          <w:rFonts w:ascii="Arial" w:cs="Arial" w:eastAsia="Arial" w:hAnsi="Arial"/>
          <w:sz w:val="19"/>
          <w:szCs w:val="19"/>
          <w:color w:val="auto"/>
        </w:rPr>
        <w:t>relates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70" w:lineRule="exact"/>
        <w:rPr>
          <w:sz w:val="20"/>
          <w:szCs w:val="20"/>
          <w:color w:val="auto"/>
        </w:rPr>
      </w:pPr>
    </w:p>
    <w:p>
      <w:pPr>
        <w:ind w:right="460" w:firstLine="324"/>
        <w:spacing w:after="0"/>
        <w:rPr>
          <w:sz w:val="20"/>
          <w:szCs w:val="20"/>
          <w:color w:val="auto"/>
        </w:rPr>
      </w:pPr>
      <w:r>
        <w:rPr>
          <w:rFonts w:ascii="Arial" w:cs="Arial" w:eastAsia="Arial" w:hAnsi="Arial"/>
          <w:sz w:val="22"/>
          <w:szCs w:val="22"/>
          <w:color w:val="auto"/>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spacing w:after="0" w:line="213"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i w:val="1"/>
          <w:iCs w:val="1"/>
          <w:color w:val="auto"/>
        </w:rPr>
        <w:t>Shareholders’ Suits</w:t>
      </w:r>
      <w:r>
        <w:rPr>
          <w:rFonts w:ascii="Arial" w:cs="Arial" w:eastAsia="Arial" w:hAnsi="Arial"/>
          <w:sz w:val="19"/>
          <w:szCs w:val="19"/>
          <w:color w:val="auto"/>
        </w:rPr>
        <w:t>. Our Cayman Islands counsel is not aware of any reported class action having been brought in a Cayman</w:t>
      </w:r>
      <w:r>
        <w:rPr>
          <w:rFonts w:ascii="Arial" w:cs="Arial" w:eastAsia="Arial" w:hAnsi="Arial"/>
          <w:sz w:val="19"/>
          <w:szCs w:val="19"/>
          <w:i w:val="1"/>
          <w:iCs w:val="1"/>
          <w:color w:val="auto"/>
        </w:rPr>
        <w:t xml:space="preserve"> </w:t>
      </w:r>
      <w:r>
        <w:rPr>
          <w:rFonts w:ascii="Arial" w:cs="Arial" w:eastAsia="Arial" w:hAnsi="Arial"/>
          <w:sz w:val="19"/>
          <w:szCs w:val="19"/>
          <w:color w:val="auto"/>
        </w:rPr>
        <w:t>Islands court. Derivative actions have been brought in the Cayman Islands courts, and the Cayman Islands courts have confirmed the availability of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applied by a court in the Cayman Islands, exceptions to the foregoing principle apply in circumstances in which:</w:t>
      </w:r>
    </w:p>
    <w:p>
      <w:pPr>
        <w:spacing w:after="0" w:line="184"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that have actually been obtained; or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45" w:lineRule="exact"/>
        <w:rPr>
          <w:sz w:val="20"/>
          <w:szCs w:val="20"/>
          <w:color w:val="auto"/>
        </w:rPr>
      </w:pPr>
    </w:p>
    <w:p>
      <w:pPr>
        <w:ind w:right="100" w:firstLine="324"/>
        <w:spacing w:after="0" w:line="250" w:lineRule="auto"/>
        <w:rPr>
          <w:sz w:val="20"/>
          <w:szCs w:val="20"/>
          <w:color w:val="auto"/>
        </w:rPr>
      </w:pPr>
      <w:r>
        <w:rPr>
          <w:rFonts w:ascii="Arial" w:cs="Arial" w:eastAsia="Arial" w:hAnsi="Arial"/>
          <w:sz w:val="22"/>
          <w:szCs w:val="22"/>
          <w:color w:val="auto"/>
        </w:rPr>
        <w:t>A shareholder may have a direct right of action against us where the individual rights of that shareholder have been infringed or are about to be infringed.</w:t>
      </w:r>
    </w:p>
    <w:p>
      <w:pPr>
        <w:spacing w:after="0" w:line="202" w:lineRule="exact"/>
        <w:rPr>
          <w:sz w:val="20"/>
          <w:szCs w:val="20"/>
          <w:color w:val="auto"/>
        </w:rPr>
      </w:pPr>
    </w:p>
    <w:p>
      <w:pPr>
        <w:ind w:right="80" w:firstLine="324"/>
        <w:spacing w:after="0"/>
        <w:rPr>
          <w:sz w:val="20"/>
          <w:szCs w:val="20"/>
          <w:color w:val="auto"/>
        </w:rPr>
      </w:pPr>
      <w:r>
        <w:rPr>
          <w:rFonts w:ascii="Arial" w:cs="Arial" w:eastAsia="Arial" w:hAnsi="Arial"/>
          <w:sz w:val="22"/>
          <w:szCs w:val="22"/>
          <w:i w:val="1"/>
          <w:iCs w:val="1"/>
          <w:color w:val="auto"/>
        </w:rPr>
        <w:t>Enforcement of Civil Liabilitie</w:t>
      </w:r>
      <w:r>
        <w:rPr>
          <w:rFonts w:ascii="Arial" w:cs="Arial" w:eastAsia="Arial" w:hAnsi="Arial"/>
          <w:sz w:val="22"/>
          <w:szCs w:val="22"/>
          <w:color w:val="auto"/>
        </w:rPr>
        <w:t>s. The Cayman Islands has a different body of securities laws as compared to the United States</w:t>
      </w:r>
      <w:r>
        <w:rPr>
          <w:rFonts w:ascii="Arial" w:cs="Arial" w:eastAsia="Arial" w:hAnsi="Arial"/>
          <w:sz w:val="22"/>
          <w:szCs w:val="22"/>
          <w:i w:val="1"/>
          <w:iCs w:val="1"/>
          <w:color w:val="auto"/>
        </w:rPr>
        <w:t xml:space="preserve"> </w:t>
      </w:r>
      <w:r>
        <w:rPr>
          <w:rFonts w:ascii="Arial" w:cs="Arial" w:eastAsia="Arial" w:hAnsi="Arial"/>
          <w:sz w:val="22"/>
          <w:szCs w:val="22"/>
          <w:color w:val="auto"/>
        </w:rPr>
        <w:t>and provides less protection to investors. Additionally, Cayman Islands companies may not have standing to sue before the federal courts of the United States.</w:t>
      </w:r>
    </w:p>
    <w:p>
      <w:pPr>
        <w:spacing w:after="0" w:line="213"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200" w:lineRule="exact"/>
        <w:rPr>
          <w:sz w:val="20"/>
          <w:szCs w:val="20"/>
          <w:color w:val="auto"/>
        </w:rPr>
      </w:pPr>
    </w:p>
    <w:p>
      <w:pPr>
        <w:spacing w:after="0" w:line="238" w:lineRule="exact"/>
        <w:rPr>
          <w:sz w:val="20"/>
          <w:szCs w:val="20"/>
          <w:color w:val="auto"/>
        </w:rPr>
      </w:pPr>
    </w:p>
    <w:p>
      <w:pPr>
        <w:ind w:right="160" w:firstLine="324"/>
        <w:spacing w:after="0" w:line="279" w:lineRule="auto"/>
        <w:rPr>
          <w:sz w:val="20"/>
          <w:szCs w:val="20"/>
          <w:color w:val="auto"/>
        </w:rPr>
      </w:pPr>
      <w:r>
        <w:rPr>
          <w:rFonts w:ascii="Arial" w:cs="Arial" w:eastAsia="Arial" w:hAnsi="Arial"/>
          <w:sz w:val="19"/>
          <w:szCs w:val="19"/>
          <w:i w:val="1"/>
          <w:iCs w:val="1"/>
          <w:color w:val="auto"/>
        </w:rPr>
        <w:t>Special Considerations for Exempted Companies</w:t>
      </w:r>
      <w:r>
        <w:rPr>
          <w:rFonts w:ascii="Arial" w:cs="Arial" w:eastAsia="Arial" w:hAnsi="Arial"/>
          <w:sz w:val="19"/>
          <w:szCs w:val="19"/>
          <w:color w:val="auto"/>
        </w:rPr>
        <w:t>. We are an exempted company with limited liability (meaning our public</w:t>
      </w:r>
      <w:r>
        <w:rPr>
          <w:rFonts w:ascii="Arial" w:cs="Arial" w:eastAsia="Arial" w:hAnsi="Arial"/>
          <w:sz w:val="19"/>
          <w:szCs w:val="19"/>
          <w:i w:val="1"/>
          <w:iCs w:val="1"/>
          <w:color w:val="auto"/>
        </w:rPr>
        <w:t xml:space="preserve"> </w:t>
      </w:r>
      <w:r>
        <w:rPr>
          <w:rFonts w:ascii="Arial" w:cs="Arial" w:eastAsia="Arial" w:hAnsi="Arial"/>
          <w:sz w:val="19"/>
          <w:szCs w:val="19"/>
          <w:color w:val="auto"/>
        </w:rPr>
        <w:t>shareholders have no 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84" w:lineRule="exact"/>
        <w:rPr>
          <w:sz w:val="20"/>
          <w:szCs w:val="20"/>
          <w:color w:val="auto"/>
        </w:rPr>
      </w:pPr>
    </w:p>
    <w:p>
      <w:pPr>
        <w:ind w:left="660" w:right="1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Law;</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exempted company may issue negotiable or bearer shares or shares with no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ind w:left="660" w:right="18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30 years in the first instance);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Amended and Restated Memorandum and Articles of Association</w:t>
      </w:r>
    </w:p>
    <w:p>
      <w:pPr>
        <w:spacing w:after="0" w:line="239" w:lineRule="exact"/>
        <w:rPr>
          <w:sz w:val="20"/>
          <w:szCs w:val="20"/>
          <w:color w:val="auto"/>
        </w:rPr>
      </w:pPr>
    </w:p>
    <w:p>
      <w:pPr>
        <w:ind w:right="20" w:firstLine="324"/>
        <w:spacing w:after="0" w:line="244" w:lineRule="auto"/>
        <w:rPr>
          <w:sz w:val="20"/>
          <w:szCs w:val="20"/>
          <w:color w:val="auto"/>
        </w:rPr>
      </w:pPr>
      <w:r>
        <w:rPr>
          <w:rFonts w:ascii="Arial" w:cs="Arial" w:eastAsia="Arial" w:hAnsi="Arial"/>
          <w:sz w:val="21"/>
          <w:szCs w:val="21"/>
          <w:color w:val="auto"/>
        </w:rPr>
        <w:t>Our amended and restated memorandum and articles of association contains certain requirements and restrictions that apply to us until the completion of our initial business combination. These provisions cannot be amended without a special resolution under Cayman Islands law. As a matter of Cayman Islands law, a resolution is deemed to be a special resolution where it has been approved by either (1) the affirmative vote of at least two-thirds (or any higher threshold specified in a company’s articles of association) of a company’s shareholders entitled to vote and so voting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provides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w:t>
      </w:r>
    </w:p>
    <w:p>
      <w:pPr>
        <w:spacing w:after="0" w:line="21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9"/>
          <w:szCs w:val="19"/>
          <w:color w:val="auto"/>
        </w:rPr>
        <w:t>Our initial shareholders, who collectively beneficially own 20% of our ordinary shares, may participate in any vote to amend our amended and restated memorandum and articles of association and will have the discretion to vote in any manner they choose. Specifically, our amended and restated memorandum and articles of association provides, among other things, that:</w:t>
      </w:r>
    </w:p>
    <w:p>
      <w:pPr>
        <w:spacing w:after="0" w:line="168" w:lineRule="exact"/>
        <w:rPr>
          <w:sz w:val="20"/>
          <w:szCs w:val="20"/>
          <w:color w:val="auto"/>
        </w:rPr>
      </w:pPr>
    </w:p>
    <w:p>
      <w:pPr>
        <w:ind w:left="660" w:hanging="328"/>
        <w:spacing w:after="0" w:line="271"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we have not completed our initial business combination by February 17, 2023, we will: (1) cease all operations except for the purpose of winding up; (2) as promptly as reasonably possible but not more than 10 business days thereafter,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205" w:lineRule="exact"/>
        <w:rPr>
          <w:rFonts w:ascii="Arial" w:cs="Arial" w:eastAsia="Arial" w:hAnsi="Arial"/>
          <w:sz w:val="17"/>
          <w:szCs w:val="17"/>
          <w:color w:val="auto"/>
        </w:rPr>
      </w:pPr>
    </w:p>
    <w:p>
      <w:pPr>
        <w:ind w:left="660" w:right="140" w:hanging="328"/>
        <w:spacing w:after="0" w:line="259"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February 17, 2023 or (y) amend the foregoing provisions;</w:t>
      </w:r>
    </w:p>
    <w:p>
      <w:pPr>
        <w:spacing w:after="0" w:line="213"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event we enter into a business combination with a target business that is affiliated with our sponsor, our directors or our officers (which we currently do not intend to do), we, or a committee of independent and disinterested directors, will obtain an opinion from an independent investment banking firm, or from an independent accounting firm, that such a business combination is fair to our company from a financial point of view;</w:t>
      </w:r>
    </w:p>
    <w:p>
      <w:pPr>
        <w:spacing w:after="0" w:line="21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 shareholder vote on our initial business combination is not required by law and we do not decide to hold a shareholder vote for business or other reasons, we will offer to redeem our public shares pursuant to</w:t>
      </w:r>
    </w:p>
    <w:p>
      <w:pPr>
        <w:spacing w:after="0" w:line="190" w:lineRule="exact"/>
        <w:rPr>
          <w:sz w:val="20"/>
          <w:szCs w:val="20"/>
          <w:color w:val="auto"/>
        </w:rPr>
      </w:pPr>
    </w:p>
    <w:p>
      <w:pPr>
        <w:jc w:val="both"/>
        <w:ind w:right="220" w:firstLine="324"/>
        <w:spacing w:after="0" w:line="257" w:lineRule="auto"/>
        <w:rPr>
          <w:sz w:val="20"/>
          <w:szCs w:val="20"/>
          <w:color w:val="auto"/>
        </w:rPr>
      </w:pPr>
      <w:r>
        <w:rPr>
          <w:rFonts w:ascii="Arial" w:cs="Arial" w:eastAsia="Arial" w:hAnsi="Arial"/>
          <w:sz w:val="21"/>
          <w:szCs w:val="21"/>
          <w:color w:val="auto"/>
        </w:rPr>
        <w:t>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203" w:lineRule="exact"/>
        <w:rPr>
          <w:sz w:val="20"/>
          <w:szCs w:val="20"/>
          <w:color w:val="auto"/>
        </w:rPr>
      </w:pPr>
    </w:p>
    <w:p>
      <w:pPr>
        <w:ind w:left="660" w:right="180" w:hanging="328"/>
        <w:spacing w:after="0" w:line="286"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the event our units are listed on Nasdaq, our initial business combination must be with one or more operating businesses or assets with a fair market value equal to at least 80% of the assets held in the trust account (excluding the deferred underwriting commissions and taxes payable on the income earned on the trust account) at the time of the agreement to enter into the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ind w:left="660" w:right="40" w:hanging="328"/>
        <w:spacing w:after="0" w:line="259"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(x)in the event we enter into a business combination with a target business in the cannabis industry, we must determine that such target business is compliant with all applicable laws and regulations within the jurisdictions in which they are located or operate, and (y)we will not invest in, or consummate a business combination with, a target business that we determine has been operating, or whose business plan is to operate, in violation of U.S. federal laws, including the U.S. Controlled Substances Act;</w:t>
      </w:r>
    </w:p>
    <w:p>
      <w:pPr>
        <w:spacing w:after="0" w:line="213" w:lineRule="exact"/>
        <w:rPr>
          <w:rFonts w:ascii="Arial" w:cs="Arial" w:eastAsia="Arial" w:hAnsi="Arial"/>
          <w:sz w:val="18"/>
          <w:szCs w:val="18"/>
          <w:color w:val="auto"/>
        </w:rPr>
      </w:pPr>
    </w:p>
    <w:p>
      <w:pPr>
        <w:ind w:left="660" w:right="100" w:hanging="328"/>
        <w:spacing w:after="0" w:line="293"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our shareholders approve an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by February 17, 2023 or (B) with respect to any other provision relating to shareholders’ rights or pre-initial business combination activity, we will provide our public shareholders with the opportunity to redeem all or a portion of their ordinary shares upon such approval at a per-share price, payable in cash, equal to the aggregate amount then on deposit in the trust account, including interest (which interest shall be net of taxes payable), divided by the number of then issued and outstanding public shares; and</w:t>
      </w:r>
    </w:p>
    <w:p>
      <w:pPr>
        <w:spacing w:after="0" w:line="191" w:lineRule="exact"/>
        <w:rPr>
          <w:rFonts w:ascii="Arial" w:cs="Arial" w:eastAsia="Arial" w:hAnsi="Arial"/>
          <w:sz w:val="16"/>
          <w:szCs w:val="16"/>
          <w:color w:val="auto"/>
        </w:rPr>
      </w:pPr>
    </w:p>
    <w:p>
      <w:pPr>
        <w:ind w:left="660" w:hanging="328"/>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will not effectuate our initial business combination solely with another blank check company or a similar company with nominal operations.</w:t>
      </w:r>
    </w:p>
    <w:p>
      <w:pPr>
        <w:spacing w:after="0" w:line="268" w:lineRule="exact"/>
        <w:rPr>
          <w:sz w:val="20"/>
          <w:szCs w:val="20"/>
          <w:color w:val="auto"/>
        </w:rPr>
      </w:pPr>
    </w:p>
    <w:p>
      <w:pPr>
        <w:ind w:right="120" w:firstLine="324"/>
        <w:spacing w:after="0" w:line="297" w:lineRule="auto"/>
        <w:rPr>
          <w:sz w:val="20"/>
          <w:szCs w:val="20"/>
          <w:color w:val="auto"/>
        </w:rPr>
      </w:pPr>
      <w:r>
        <w:rPr>
          <w:rFonts w:ascii="Arial" w:cs="Arial" w:eastAsia="Arial" w:hAnsi="Arial"/>
          <w:sz w:val="19"/>
          <w:szCs w:val="19"/>
          <w:color w:val="auto"/>
        </w:rPr>
        <w:t>In addition, our amended and restated memorandum and articles of association provides that under no circumstances will we redeem our public shares in an amount that would cause our net tangible assets, after payment of the deferred underwriting commissions, to be less than $5,000,001 upon completion of our initial business combination.</w:t>
      </w:r>
    </w:p>
    <w:p>
      <w:pPr>
        <w:spacing w:after="0" w:line="161" w:lineRule="exact"/>
        <w:rPr>
          <w:sz w:val="20"/>
          <w:szCs w:val="20"/>
          <w:color w:val="auto"/>
        </w:rPr>
      </w:pPr>
    </w:p>
    <w:p>
      <w:pPr>
        <w:ind w:right="40" w:firstLine="324"/>
        <w:spacing w:after="0" w:line="246" w:lineRule="auto"/>
        <w:rPr>
          <w:sz w:val="20"/>
          <w:szCs w:val="20"/>
          <w:color w:val="auto"/>
        </w:rPr>
      </w:pPr>
      <w:r>
        <w:rPr>
          <w:rFonts w:ascii="Arial" w:cs="Arial" w:eastAsia="Arial" w:hAnsi="Arial"/>
          <w:sz w:val="21"/>
          <w:szCs w:val="21"/>
          <w:color w:val="auto"/>
        </w:rPr>
        <w:t>The Companies Law permits a company incorporated in the Cayman Islands to amend its memorandum and articles of association with the approval of the holders of at least two-thirds of such company’s issued and outstanding ordinary shares. A company’s articles of association may specify that the approval of a higher majority is required. Accordingly, although we could amend any of the provisions relating to the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Anti-Takeover Provisions of Our Amended and Restated Memorandum and Articles of Association</w:t>
      </w:r>
    </w:p>
    <w:p>
      <w:pPr>
        <w:spacing w:after="0" w:line="239" w:lineRule="exact"/>
        <w:rPr>
          <w:sz w:val="20"/>
          <w:szCs w:val="20"/>
          <w:color w:val="auto"/>
        </w:rPr>
      </w:pPr>
    </w:p>
    <w:p>
      <w:pPr>
        <w:ind w:right="520" w:firstLine="324"/>
        <w:spacing w:after="0" w:line="249" w:lineRule="auto"/>
        <w:rPr>
          <w:sz w:val="20"/>
          <w:szCs w:val="20"/>
          <w:color w:val="auto"/>
        </w:rPr>
      </w:pPr>
      <w:r>
        <w:rPr>
          <w:rFonts w:ascii="Arial" w:cs="Arial" w:eastAsia="Arial" w:hAnsi="Arial"/>
          <w:sz w:val="21"/>
          <w:szCs w:val="21"/>
          <w:color w:val="auto"/>
        </w:rPr>
        <w:t>Our authorized but unissued Class A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preferred shares could render more difficult or discourage an attempt to obtain control of us by means of a proxy contest, tender offer, merger or otherwise.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Eligible for Future Sale</w:t>
      </w:r>
    </w:p>
    <w:p>
      <w:pPr>
        <w:spacing w:after="0" w:line="239" w:lineRule="exact"/>
        <w:rPr>
          <w:sz w:val="20"/>
          <w:szCs w:val="20"/>
          <w:color w:val="auto"/>
        </w:rPr>
      </w:pPr>
    </w:p>
    <w:p>
      <w:pPr>
        <w:ind w:right="80" w:firstLine="324"/>
        <w:spacing w:after="0" w:line="282" w:lineRule="auto"/>
        <w:rPr>
          <w:sz w:val="20"/>
          <w:szCs w:val="20"/>
          <w:color w:val="auto"/>
        </w:rPr>
      </w:pPr>
      <w:r>
        <w:rPr>
          <w:rFonts w:ascii="Arial" w:cs="Arial" w:eastAsia="Arial" w:hAnsi="Arial"/>
          <w:sz w:val="19"/>
          <w:szCs w:val="19"/>
          <w:color w:val="auto"/>
        </w:rPr>
        <w:t>We have 25,000,000 ordinary shares issued and outstanding. Of these shares, the 20,000,000 Class A ordinary shares are freely tradable without restriction or further registration under the Securities Act, except for any shares purchased by one of our affiliates within the meaning of Rule 144 under the Securities Act. All of the remaining 5,000,000 founder shares and all 6,000,000 private placement warrants are restricted securities under Rule 144, in that they were issued in private transactions not involving a public offering, and are subject to transfer restrictions as set forth in the prospectus for our initial public offering.</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239" w:lineRule="exact"/>
        <w:rPr>
          <w:sz w:val="20"/>
          <w:szCs w:val="20"/>
          <w:color w:val="auto"/>
        </w:rPr>
      </w:pPr>
    </w:p>
    <w:p>
      <w:pPr>
        <w:ind w:right="120" w:firstLine="324"/>
        <w:spacing w:after="0" w:line="282" w:lineRule="auto"/>
        <w:rPr>
          <w:sz w:val="20"/>
          <w:szCs w:val="20"/>
          <w:color w:val="auto"/>
        </w:rPr>
      </w:pPr>
      <w:r>
        <w:rPr>
          <w:rFonts w:ascii="Arial" w:cs="Arial" w:eastAsia="Arial" w:hAnsi="Arial"/>
          <w:sz w:val="19"/>
          <w:szCs w:val="19"/>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74" w:lineRule="exact"/>
        <w:rPr>
          <w:sz w:val="20"/>
          <w:szCs w:val="20"/>
          <w:color w:val="auto"/>
        </w:rPr>
      </w:pPr>
    </w:p>
    <w:p>
      <w:pPr>
        <w:ind w:firstLine="324"/>
        <w:spacing w:after="0" w:line="297" w:lineRule="auto"/>
        <w:rPr>
          <w:sz w:val="20"/>
          <w:szCs w:val="20"/>
          <w:color w:val="auto"/>
        </w:rPr>
      </w:pPr>
      <w:r>
        <w:rPr>
          <w:rFonts w:ascii="Arial" w:cs="Arial" w:eastAsia="Arial" w:hAnsi="Arial"/>
          <w:sz w:val="19"/>
          <w:szCs w:val="19"/>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68" w:lineRule="exact"/>
        <w:rPr>
          <w:sz w:val="20"/>
          <w:szCs w:val="20"/>
          <w:color w:val="auto"/>
        </w:rPr>
      </w:pPr>
    </w:p>
    <w:p>
      <w:pPr>
        <w:ind w:left="980" w:hanging="432"/>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 of the total number of ordinary shares then outstanding, which will currently equal 250,000; or</w:t>
      </w:r>
    </w:p>
    <w:p>
      <w:pPr>
        <w:spacing w:after="0" w:line="252" w:lineRule="exact"/>
        <w:rPr>
          <w:rFonts w:ascii="Arial" w:cs="Arial" w:eastAsia="Arial" w:hAnsi="Arial"/>
          <w:sz w:val="18"/>
          <w:szCs w:val="18"/>
          <w:color w:val="auto"/>
        </w:rPr>
      </w:pPr>
    </w:p>
    <w:p>
      <w:pPr>
        <w:ind w:left="980" w:right="100" w:hanging="432"/>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7" w:name="page118"/>
    <w:bookmarkEnd w:id="117"/>
    <w:p>
      <w:pPr>
        <w:ind w:right="680" w:firstLine="324"/>
        <w:spacing w:after="0" w:line="251" w:lineRule="auto"/>
        <w:rPr>
          <w:sz w:val="20"/>
          <w:szCs w:val="20"/>
          <w:color w:val="auto"/>
        </w:rPr>
      </w:pPr>
      <w:r>
        <w:rPr>
          <w:rFonts w:ascii="Arial" w:cs="Arial" w:eastAsia="Arial" w:hAnsi="Arial"/>
          <w:sz w:val="22"/>
          <w:szCs w:val="22"/>
          <w:color w:val="auto"/>
        </w:rPr>
        <w:t>Sales by our affiliates under Rule 144 are also limited by manner of sale provisions and notice requirements and to the availability of current public information about us.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Restrictions on the Use of Rule 144 by Shell Companies or Former Shell Companies</w:t>
      </w:r>
    </w:p>
    <w:p>
      <w:pPr>
        <w:spacing w:after="0" w:line="239" w:lineRule="exact"/>
        <w:rPr>
          <w:sz w:val="20"/>
          <w:szCs w:val="20"/>
          <w:color w:val="auto"/>
        </w:rPr>
      </w:pPr>
    </w:p>
    <w:p>
      <w:pPr>
        <w:ind w:right="320" w:firstLine="324"/>
        <w:spacing w:after="0"/>
        <w:rPr>
          <w:sz w:val="20"/>
          <w:szCs w:val="20"/>
          <w:color w:val="auto"/>
        </w:rPr>
      </w:pPr>
      <w:r>
        <w:rPr>
          <w:rFonts w:ascii="Arial" w:cs="Arial" w:eastAsia="Arial" w:hAnsi="Arial"/>
          <w:sz w:val="22"/>
          <w:szCs w:val="22"/>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220" w:lineRule="exact"/>
        <w:rPr>
          <w:sz w:val="20"/>
          <w:szCs w:val="20"/>
          <w:color w:val="auto"/>
        </w:rPr>
      </w:pPr>
    </w:p>
    <w:p>
      <w:pPr>
        <w:ind w:left="980" w:hanging="432"/>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52" w:lineRule="exact"/>
        <w:rPr>
          <w:rFonts w:ascii="Arial" w:cs="Arial" w:eastAsia="Arial" w:hAnsi="Arial"/>
          <w:sz w:val="18"/>
          <w:szCs w:val="18"/>
          <w:color w:val="auto"/>
        </w:rPr>
      </w:pPr>
    </w:p>
    <w:p>
      <w:pPr>
        <w:ind w:left="980" w:right="140" w:hanging="432"/>
        <w:spacing w:after="0" w:line="342"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150" w:lineRule="exact"/>
        <w:rPr>
          <w:rFonts w:ascii="Arial" w:cs="Arial" w:eastAsia="Arial" w:hAnsi="Arial"/>
          <w:sz w:val="16"/>
          <w:szCs w:val="16"/>
          <w:color w:val="auto"/>
        </w:rPr>
      </w:pPr>
    </w:p>
    <w:p>
      <w:pPr>
        <w:ind w:left="980" w:right="40" w:hanging="432"/>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90" w:lineRule="exact"/>
        <w:rPr>
          <w:sz w:val="20"/>
          <w:szCs w:val="20"/>
          <w:color w:val="auto"/>
        </w:rPr>
      </w:pPr>
    </w:p>
    <w:p>
      <w:pPr>
        <w:ind w:right="440" w:firstLine="324"/>
        <w:spacing w:after="0" w:line="328" w:lineRule="auto"/>
        <w:rPr>
          <w:sz w:val="20"/>
          <w:szCs w:val="20"/>
          <w:color w:val="auto"/>
        </w:rPr>
      </w:pPr>
      <w:r>
        <w:rPr>
          <w:rFonts w:ascii="Arial" w:cs="Arial" w:eastAsia="Arial" w:hAnsi="Arial"/>
          <w:sz w:val="19"/>
          <w:szCs w:val="19"/>
          <w:color w:val="auto"/>
        </w:rPr>
        <w:t>As a result, our initial shareholders will be able to sell their founder shares and private placement warrants, as applicable, pursuant to Rule 144 without registration one year after we have completed our initial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39"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are entitled to registration rights pursuant to a registration rights agreement to be signed in connection with our initial offering requiring us to register such securities for resale.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 and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 (2)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 of Securities</w:t>
      </w:r>
    </w:p>
    <w:p>
      <w:pPr>
        <w:spacing w:after="0" w:line="239" w:lineRule="exact"/>
        <w:rPr>
          <w:sz w:val="20"/>
          <w:szCs w:val="20"/>
          <w:color w:val="auto"/>
        </w:rPr>
      </w:pPr>
    </w:p>
    <w:p>
      <w:pPr>
        <w:ind w:right="380" w:firstLine="324"/>
        <w:spacing w:after="0" w:line="250" w:lineRule="auto"/>
        <w:rPr>
          <w:sz w:val="20"/>
          <w:szCs w:val="20"/>
          <w:color w:val="auto"/>
        </w:rPr>
      </w:pPr>
      <w:r>
        <w:rPr>
          <w:rFonts w:ascii="Arial" w:cs="Arial" w:eastAsia="Arial" w:hAnsi="Arial"/>
          <w:sz w:val="22"/>
          <w:szCs w:val="22"/>
          <w:color w:val="auto"/>
        </w:rPr>
        <w:t>Our units, Class A ordinary shares and warrants have been approved for trading on Nasdaq under the symbols “TCACU,” “TCAC” and “TCACW,”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14" w:lineRule="exact"/>
        <w:rPr>
          <w:sz w:val="20"/>
          <w:szCs w:val="20"/>
          <w:color w:val="auto"/>
        </w:rPr>
      </w:pPr>
    </w:p>
    <w:p>
      <w:pPr>
        <w:ind w:left="1300" w:right="1300" w:firstLine="18"/>
        <w:spacing w:after="0" w:line="256" w:lineRule="auto"/>
        <w:rPr>
          <w:sz w:val="20"/>
          <w:szCs w:val="20"/>
          <w:color w:val="auto"/>
        </w:rPr>
      </w:pPr>
      <w:r>
        <w:rPr>
          <w:rFonts w:ascii="Arial" w:cs="Arial" w:eastAsia="Arial" w:hAnsi="Arial"/>
          <w:sz w:val="21"/>
          <w:szCs w:val="21"/>
          <w:b w:val="1"/>
          <w:bCs w:val="1"/>
          <w:color w:val="auto"/>
        </w:rPr>
        <w:t>PURSUANT TO RULE 13A-14(A)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Albert Foreman, certify that:</w:t>
      </w:r>
    </w:p>
    <w:p>
      <w:pPr>
        <w:spacing w:after="0" w:line="240"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Tuatara Capital Acquisition Corporation;</w:t>
      </w:r>
    </w:p>
    <w:p>
      <w:pPr>
        <w:spacing w:after="0" w:line="252"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60" w:hanging="492"/>
        <w:spacing w:after="0" w:line="263"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820" w:right="180" w:hanging="326"/>
        <w:spacing w:after="0" w:line="263"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820" w:hanging="326"/>
        <w:spacing w:after="0"/>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252" w:lineRule="exact"/>
        <w:rPr>
          <w:rFonts w:ascii="Arial" w:cs="Arial" w:eastAsia="Arial" w:hAnsi="Arial"/>
          <w:sz w:val="18"/>
          <w:szCs w:val="18"/>
          <w:color w:val="auto"/>
        </w:rPr>
      </w:pPr>
    </w:p>
    <w:p>
      <w:pPr>
        <w:jc w:val="both"/>
        <w:ind w:left="820" w:right="700" w:hanging="326"/>
        <w:spacing w:after="0" w:line="342" w:lineRule="auto"/>
        <w:tabs>
          <w:tab w:leader="none" w:pos="8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820" w:right="200" w:hanging="326"/>
        <w:spacing w:after="0" w:line="263"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820" w:right="120" w:hanging="326"/>
        <w:spacing w:after="0" w:line="277"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820" w:right="80" w:hanging="326"/>
        <w:spacing w:after="0" w:line="277"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March 11, 2022</w:t>
      </w:r>
    </w:p>
    <w:p>
      <w:pPr>
        <w:spacing w:after="0" w:line="24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Albert Foreman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32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Albert Foreman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14" w:lineRule="exact"/>
        <w:rPr>
          <w:sz w:val="20"/>
          <w:szCs w:val="20"/>
          <w:color w:val="auto"/>
        </w:rPr>
      </w:pPr>
    </w:p>
    <w:p>
      <w:pPr>
        <w:ind w:left="1300" w:right="1300" w:firstLine="18"/>
        <w:spacing w:after="0" w:line="256" w:lineRule="auto"/>
        <w:rPr>
          <w:sz w:val="20"/>
          <w:szCs w:val="20"/>
          <w:color w:val="auto"/>
        </w:rPr>
      </w:pPr>
      <w:r>
        <w:rPr>
          <w:rFonts w:ascii="Arial" w:cs="Arial" w:eastAsia="Arial" w:hAnsi="Arial"/>
          <w:sz w:val="21"/>
          <w:szCs w:val="21"/>
          <w:b w:val="1"/>
          <w:bCs w:val="1"/>
          <w:color w:val="auto"/>
        </w:rPr>
        <w:t>PURSUANT TO RULE 13A-14(A)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Sergey Sherman, certify that:</w:t>
      </w:r>
    </w:p>
    <w:p>
      <w:pPr>
        <w:spacing w:after="0" w:line="240"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Tuatara Capital Acquisition Corporation;</w:t>
      </w:r>
    </w:p>
    <w:p>
      <w:pPr>
        <w:spacing w:after="0" w:line="252"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60" w:hanging="492"/>
        <w:spacing w:after="0" w:line="263"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820" w:right="180" w:hanging="326"/>
        <w:spacing w:after="0" w:line="263" w:lineRule="auto"/>
        <w:tabs>
          <w:tab w:leader="none" w:pos="8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10" w:lineRule="exact"/>
        <w:rPr>
          <w:rFonts w:ascii="Arial" w:cs="Arial" w:eastAsia="Arial" w:hAnsi="Arial"/>
          <w:sz w:val="18"/>
          <w:szCs w:val="18"/>
          <w:color w:val="auto"/>
        </w:rPr>
      </w:pPr>
    </w:p>
    <w:p>
      <w:pPr>
        <w:ind w:left="820" w:hanging="326"/>
        <w:spacing w:after="0"/>
        <w:tabs>
          <w:tab w:leader="none" w:pos="8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252" w:lineRule="exact"/>
        <w:rPr>
          <w:rFonts w:ascii="Arial" w:cs="Arial" w:eastAsia="Arial" w:hAnsi="Arial"/>
          <w:sz w:val="18"/>
          <w:szCs w:val="18"/>
          <w:color w:val="auto"/>
        </w:rPr>
      </w:pPr>
    </w:p>
    <w:p>
      <w:pPr>
        <w:jc w:val="both"/>
        <w:ind w:left="820" w:right="700" w:hanging="326"/>
        <w:spacing w:after="0" w:line="342" w:lineRule="auto"/>
        <w:tabs>
          <w:tab w:leader="none" w:pos="8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820" w:right="200" w:hanging="326"/>
        <w:spacing w:after="0" w:line="263" w:lineRule="auto"/>
        <w:tabs>
          <w:tab w:leader="none" w:pos="8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3" w:lineRule="exact"/>
        <w:rPr>
          <w:rFonts w:ascii="Arial" w:cs="Arial" w:eastAsia="Arial" w:hAnsi="Arial"/>
          <w:sz w:val="16"/>
          <w:szCs w:val="16"/>
          <w:color w:val="auto"/>
        </w:rPr>
      </w:pPr>
    </w:p>
    <w:p>
      <w:pPr>
        <w:ind w:left="820" w:right="120" w:hanging="326"/>
        <w:spacing w:after="0" w:line="277" w:lineRule="auto"/>
        <w:tabs>
          <w:tab w:leader="none" w:pos="8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820" w:right="80" w:hanging="326"/>
        <w:spacing w:after="0" w:line="277" w:lineRule="auto"/>
        <w:tabs>
          <w:tab w:leader="none" w:pos="8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Date: March 11, 2022</w:t>
      </w:r>
    </w:p>
    <w:p>
      <w:pPr>
        <w:spacing w:after="0" w:line="24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Sergey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3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Sergey Sherman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Tuatara Capital Acquisition Corporation (the “Company”) on Form 10-Q for the quarterly period ended September 30, 2021, as filed with the Securities and Exchange Commission (the “Report”), I, Albert Foreman, Chief Executive Officer of the Company, certify, pursuant to 18 U.S.C. §1350, as adopted pursuant to §906 of the Sarbanes-Oxley Act of 2002, that, to the best of my knowledge:</w:t>
      </w:r>
    </w:p>
    <w:p>
      <w:pPr>
        <w:spacing w:after="0" w:line="219"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Dated: March 11, 2022</w:t>
      </w:r>
    </w:p>
    <w:p>
      <w:pPr>
        <w:spacing w:after="0" w:line="24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Albert Foreman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3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Albert Foreman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Tuatara Capital Acquisition Corporation (the “Company”) on Form 10-Q for the quarterly period ended September 30, 2021, as filed with the Securities and Exchange Commission (the “Report”), I, Sergey Sherman, Chief Financial Officer of the Company, certify, pursuant to 18 U.S.C. §1350, as adopted pursuant to §906 of the Sarbanes-Oxley Act of 2002, that, to the best of my knowledge:</w:t>
      </w:r>
    </w:p>
    <w:p>
      <w:pPr>
        <w:spacing w:after="0" w:line="219"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Dated: March 11, 2022</w:t>
      </w:r>
    </w:p>
    <w:p>
      <w:pPr>
        <w:spacing w:after="0" w:line="24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Sergey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32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Sergey Sherman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5"/>
    </w:lvl>
  </w:abstractNum>
  <w:abstractNum w:abstractNumId="3">
    <w:nsid w:val="5577F8E1"/>
    <w:multiLevelType w:val="hybridMultilevel"/>
    <w:lvl w:ilvl="0">
      <w:lvlJc w:val="left"/>
      <w:lvlText w:val="(%1)"/>
      <w:numFmt w:val="upperLetter"/>
      <w:start w:val="2"/>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1)"/>
      <w:numFmt w:val="decimal"/>
      <w:start w:val="2"/>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1)"/>
      <w:numFmt w:val="lowerRoman"/>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1)"/>
      <w:numFmt w:val="lowerRoman"/>
      <w:start w:val="2"/>
    </w:lvl>
  </w:abstractNum>
  <w:abstractNum w:abstractNumId="19">
    <w:nsid w:val="2A487CB0"/>
    <w:multiLevelType w:val="hybridMultilevel"/>
    <w:lvl w:ilvl="0">
      <w:lvlJc w:val="left"/>
      <w:lvlText w:val="2"/>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1)"/>
      <w:numFmt w:val="lowerRoman"/>
      <w:start w:val="2"/>
    </w:lvl>
  </w:abstractNum>
  <w:abstractNum w:abstractNumId="23">
    <w:nsid w:val="57E4CCAF"/>
    <w:multiLevelType w:val="hybridMultilevel"/>
    <w:lvl w:ilvl="0">
      <w:lvlJc w:val="left"/>
      <w:lvlText w:val="(%1)"/>
      <w:numFmt w:val="upperLetter"/>
      <w:start w:val="2"/>
    </w:lvl>
  </w:abstractNum>
  <w:abstractNum w:abstractNumId="24">
    <w:nsid w:val="7A6D8D3C"/>
    <w:multiLevelType w:val="hybridMultilevel"/>
    <w:lvl w:ilvl="0">
      <w:lvlJc w:val="left"/>
      <w:lvlText w:val="(%1)"/>
      <w:numFmt w:val="lowerLetter"/>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1)"/>
      <w:numFmt w:val="lowerRoman"/>
      <w:start w:val="1"/>
    </w:lvl>
  </w:abstractNum>
  <w:abstractNum w:abstractNumId="30">
    <w:nsid w:val="32FFF902"/>
    <w:multiLevelType w:val="hybridMultilevel"/>
    <w:lvl w:ilvl="0">
      <w:lvlJc w:val="left"/>
      <w:lvlText w:val="4"/>
      <w:numFmt w:val="bullet"/>
      <w:start w:val="1"/>
    </w:lvl>
  </w:abstractNum>
  <w:abstractNum w:abstractNumId="31">
    <w:nsid w:val="684A481A"/>
    <w:multiLevelType w:val="hybridMultilevel"/>
    <w:lvl w:ilvl="0">
      <w:lvlJc w:val="left"/>
      <w:lvlText w:val="(%1)"/>
      <w:numFmt w:val="lowerRoman"/>
      <w:start w:val="4"/>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1)"/>
      <w:numFmt w:val="lowerLetter"/>
      <w:start w:val="1"/>
    </w:lvl>
    <w:lvl w:ilvl="1">
      <w:lvlJc w:val="left"/>
      <w:lvlText w:val="(%2)"/>
      <w:numFmt w:val="decimal"/>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upperLetter"/>
      <w:start w:val="2"/>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upperLetter"/>
      <w:start w:val="2"/>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1)"/>
      <w:numFmt w:val="lowerLetter"/>
      <w:start w:val="1"/>
    </w:lvl>
  </w:abstractNum>
  <w:abstractNum w:abstractNumId="47">
    <w:nsid w:val="1CF10FD8"/>
    <w:multiLevelType w:val="hybridMultilevel"/>
    <w:lvl w:ilvl="0">
      <w:lvlJc w:val="left"/>
      <w:lvlText w:val="(%1)"/>
      <w:numFmt w:val="lowerLetter"/>
      <w:start w:val="2"/>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upperLetter"/>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96" Type="http://schemas.openxmlformats.org/officeDocument/2006/relationships/hyperlink" Target="https://www.sec.gov/Archives/edgar/data/1804591/000095010320019734/dp138407_ex0301.htm" TargetMode="External"/><Relationship Id="rId97" Type="http://schemas.openxmlformats.org/officeDocument/2006/relationships/hyperlink" Target="https://www.sec.gov/Archives/edgar/data/1804591/000095010320019734/dp138407_ex0401.htm" TargetMode="External"/><Relationship Id="rId98" Type="http://schemas.openxmlformats.org/officeDocument/2006/relationships/hyperlink" Target="https://www.sec.gov/Archives/edgar/data/1804591/000095010320019734/dp138407_ex1001.htm" TargetMode="External"/><Relationship Id="rId99" Type="http://schemas.openxmlformats.org/officeDocument/2006/relationships/hyperlink" Target="https://www.sec.gov/Archives/edgar/data/1804591/000095010320019734/dp138407_ex1002.htm" TargetMode="External"/><Relationship Id="rId100" Type="http://schemas.openxmlformats.org/officeDocument/2006/relationships/hyperlink" Target="https://www.sec.gov/Archives/edgar/data/1804591/000095010320019734/dp138407_ex1003.htm" TargetMode="External"/><Relationship Id="rId101" Type="http://schemas.openxmlformats.org/officeDocument/2006/relationships/hyperlink" Target="https://www.sec.gov/Archives/edgar/data/1804591/000095010320019734/dp138407_ex1004.htm" TargetMode="External"/><Relationship Id="rId102" Type="http://schemas.openxmlformats.org/officeDocument/2006/relationships/hyperlink" Target="https://www.sec.gov/Archives/edgar/data/1804591/000095010320019734/dp138407_ex1005.htm" TargetMode="External"/><Relationship Id="rId103" Type="http://schemas.openxmlformats.org/officeDocument/2006/relationships/hyperlink" Target="https://www.sec.gov/Archives/edgar/data/1804591/000095010321001779/dp145636_ex0201.htm" TargetMode="External"/><Relationship Id="rId104" Type="http://schemas.openxmlformats.org/officeDocument/2006/relationships/hyperlink" Target="https://www.sec.gov/Archives/edgar/data/1804591/000095010321001779/dp145636_ex1001.htm" TargetMode="External"/><Relationship Id="rId105" Type="http://schemas.openxmlformats.org/officeDocument/2006/relationships/hyperlink" Target="https://www.sec.gov/Archives/edgar/data/1804591/000095010321001779/dp145636_ex1002.htm" TargetMode="External"/><Relationship Id="rId106" Type="http://schemas.openxmlformats.org/officeDocument/2006/relationships/hyperlink" Target="https://www.sec.gov/Archives/edgar/data/1804591/000095010321001779/dp145636_ex1003.htm" TargetMode="External"/><Relationship Id="rId107" Type="http://schemas.openxmlformats.org/officeDocument/2006/relationships/hyperlink" Target="https://www.sec.gov/Archives/edgar/data/1804591/000095010320018108/dp136513_ex1006.htm" TargetMode="External"/><Relationship Id="rId108" Type="http://schemas.openxmlformats.org/officeDocument/2006/relationships/hyperlink" Target="https://www.sec.gov/Archives/edgar/data/1804591/000095010321001779/dp145636_ex10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2022-03-11T15:35:24Z</dcterms:created>
  <dcterms:modified xsi:type="dcterms:W3CDTF">2022-03-11T15:35:24Z</dcterms:modified>
</cp:coreProperties>
</file>