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SpringBig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AWM Investment Company,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4,112,572.00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4,112,572.00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4,112,572.00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AWM Investment Company, Inc., a Delaware Corporation (AWM), is the investment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497,291 shares of Common Stock of the Issuer (the Shares) held by CAYMAN, 1,738,902 Shares held by SSFQP and 1,876,379 Shares held by SSPE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SpringBig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621 NW 53RD ST, SUITE 260, BOCA RATON, FLORIDA, 33487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80"/>
        <w:spacing w:after="0" w:line="249" w:lineRule="auto"/>
        <w:rPr>
          <w:sz w:val="20"/>
          <w:szCs w:val="20"/>
          <w:color w:val="auto"/>
        </w:rPr>
      </w:pPr>
      <w:r>
        <w:rPr>
          <w:rFonts w:ascii="Times New Roman" w:cs="Times New Roman" w:eastAsia="Times New Roman" w:hAnsi="Times New Roman"/>
          <w:sz w:val="21"/>
          <w:szCs w:val="21"/>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w:t>
      </w:r>
    </w:p>
    <w:p>
      <w:pPr>
        <w:spacing w:after="0" w:line="1" w:lineRule="exact"/>
        <w:rPr>
          <w:sz w:val="20"/>
          <w:szCs w:val="20"/>
          <w:color w:val="auto"/>
        </w:rPr>
      </w:pPr>
    </w:p>
    <w:p>
      <w:pPr>
        <w:ind w:left="960" w:right="60" w:hanging="912"/>
        <w:spacing w:after="0" w:line="204" w:lineRule="auto"/>
        <w:tabs>
          <w:tab w:leader="none" w:pos="96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Fund, L.P., a Delaware limited partnership (SSPE), (CAYMAN, SSFQP and SSPE, will hereafter be referred to as the Funds). The principal business of each Fund is to invest in equity and equity-related securities and other securities of any kind or nature.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Greenhouse and Stettner are also controlling principals of AWM.</w:t>
      </w:r>
    </w:p>
    <w:p>
      <w:pPr>
        <w:spacing w:after="0" w:line="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527 Madison Avenue, Suite 2600 New York, NY 10022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AWM is a Delaware Corporation.</w:t>
      </w:r>
    </w:p>
    <w:p>
      <w:pPr>
        <w:spacing w:after="0" w:line="20"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200"/>
          </w:cols>
          <w:pgMar w:left="320" w:top="111" w:right="379" w:bottom="0" w:gutter="0" w:footer="0" w:header="0"/>
          <w:type w:val="continuous"/>
        </w:sectPr>
      </w:pPr>
    </w:p>
    <w:bookmarkStart w:id="2" w:name="page3"/>
    <w:bookmarkEnd w:id="2"/>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Common Stock, Par Value $0.001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4,112,572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ectPr>
          <w:pgSz w:w="11900" w:h="16838" w:orient="portrait"/>
          <w:cols w:equalWidth="0" w:num="2">
            <w:col w:w="620" w:space="300"/>
            <w:col w:w="10180"/>
          </w:cols>
          <w:pgMar w:left="360" w:top="111" w:right="43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00"/>
          </w:cols>
          <w:pgMar w:left="360" w:top="111" w:right="4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AWM is the investment adviser to each of the Funds. As the investment adviser to the Funds, AWM holds sole voting power over 497,291 shares of Common Stock of the Issuer (the Shares) held by CAYMAN, 1,738,902 Shares held by SSFQP and 1,876,379 Shares held by SSPE. Greenhouse and Stettner are members of: SSCAY, the general partner of CAYMAN; MGP, the general partner of SSFQP; and MG, the general partner of SSPE. Greenhouse and Stettner are also controlling principals of AWM.</w:t>
      </w:r>
    </w:p>
    <w:p>
      <w:pPr>
        <w:spacing w:after="0" w:line="258"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300"/>
        <w:spacing w:after="0" w:line="238" w:lineRule="auto"/>
        <w:rPr>
          <w:sz w:val="20"/>
          <w:szCs w:val="20"/>
          <w:color w:val="auto"/>
        </w:rPr>
      </w:pPr>
      <w:r>
        <w:rPr>
          <w:rFonts w:ascii="Times New Roman" w:cs="Times New Roman" w:eastAsia="Times New Roman" w:hAnsi="Times New Roman"/>
          <w:sz w:val="22"/>
          <w:szCs w:val="22"/>
          <w:color w:val="auto"/>
        </w:rPr>
        <w:t>AWM is the investment adviser to each of the Funds. As the investment adviser to the Funds, AWM holds sole investment power over 497,291 shares of Common Stock of the Issuer (the Shares) held by CAYMAN, 1,738,902 Shares held by SSFQP and 1,876,379 Shares held by SSPE. Greenhouse and Stettner are members of: SSCAY, the general partner of CAYMAN; MGP, the general partner of SSFQP; and MG, the general partner of SSPE. Greenhouse and Stettner are also controlling principals of AWM.</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180"/>
          </w:cols>
          <w:pgMar w:left="360" w:top="111" w:right="43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AWM Investment Company, Inc.</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Adam Stettner</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Executive Vice President</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4"/>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2026-05-04T17:10:18Z</dcterms:created>
  <dcterms:modified xsi:type="dcterms:W3CDTF">2026-05-04T17:10:18Z</dcterms:modified>
</cp:coreProperties>
</file>