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80645</wp:posOffset>
            </wp:positionV>
            <wp:extent cx="208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82550</wp:posOffset>
            </wp:positionV>
            <wp:extent cx="2081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63" w:lineRule="exact"/>
        <w:rPr>
          <w:sz w:val="24"/>
          <w:szCs w:val="24"/>
          <w:color w:val="auto"/>
        </w:rPr>
      </w:pPr>
    </w:p>
    <w:p>
      <w:pPr>
        <w:ind w:left="580" w:hanging="378"/>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 ended June 30, 2022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ind w:left="620" w:hanging="418"/>
        <w:spacing w:after="0" w:line="233" w:lineRule="auto"/>
        <w:tabs>
          <w:tab w:leader="none" w:pos="620" w:val="left"/>
        </w:tabs>
        <w:numPr>
          <w:ilvl w:val="0"/>
          <w:numId w:val="2"/>
        </w:numPr>
        <w:rPr>
          <w:rFonts w:ascii="MS PGothic" w:cs="MS PGothic" w:eastAsia="MS PGothic" w:hAnsi="MS PGothic"/>
          <w:sz w:val="35"/>
          <w:szCs w:val="35"/>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pacing w:after="0" w:line="140" w:lineRule="exact"/>
        <w:rPr>
          <w:sz w:val="24"/>
          <w:szCs w:val="24"/>
          <w:color w:val="auto"/>
        </w:rPr>
      </w:pPr>
    </w:p>
    <w:p>
      <w:pPr>
        <w:jc w:val="center"/>
        <w:ind w:right="-39"/>
        <w:spacing w:after="0"/>
        <w:tabs>
          <w:tab w:leader="none" w:pos="1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001-40049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1443990</wp:posOffset>
            </wp:positionH>
            <wp:positionV relativeFrom="paragraph">
              <wp:posOffset>229235</wp:posOffset>
            </wp:positionV>
            <wp:extent cx="4255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51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SPRINGBIG HOLDINGS, INC.</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(Exact name of registrant as specified in its charter)</w:t>
      </w:r>
    </w:p>
    <w:p>
      <w:pPr>
        <w:spacing w:after="0" w:line="194" w:lineRule="exact"/>
        <w:rPr>
          <w:sz w:val="24"/>
          <w:szCs w:val="24"/>
          <w:color w:val="auto"/>
        </w:rPr>
      </w:pPr>
    </w:p>
    <w:tbl>
      <w:tblPr>
        <w:tblLayout w:type="fixed"/>
        <w:tblInd w:w="1920" w:type="dxa"/>
        <w:tblCellMar>
          <w:top w:w="0" w:type="dxa"/>
          <w:left w:w="0" w:type="dxa"/>
          <w:bottom w:w="0" w:type="dxa"/>
          <w:right w:w="0" w:type="dxa"/>
        </w:tblCellMar>
      </w:tblPr>
      <w:tr>
        <w:trPr>
          <w:trHeight w:val="228"/>
        </w:trPr>
        <w:tc>
          <w:tcPr>
            <w:tcW w:w="3100" w:type="dxa"/>
            <w:vAlign w:val="bottom"/>
            <w:tcBorders>
              <w:bottom w:val="single" w:sz="8" w:color="auto"/>
            </w:tcBorders>
          </w:tcPr>
          <w:p>
            <w:pPr>
              <w:jc w:val="center"/>
              <w:ind w:left="233"/>
              <w:spacing w:after="0"/>
              <w:rPr>
                <w:sz w:val="20"/>
                <w:szCs w:val="20"/>
                <w:color w:val="auto"/>
              </w:rPr>
            </w:pPr>
            <w:r>
              <w:rPr>
                <w:rFonts w:ascii="Arial" w:cs="Arial" w:eastAsia="Arial" w:hAnsi="Arial"/>
                <w:sz w:val="17"/>
                <w:szCs w:val="17"/>
                <w:b w:val="1"/>
                <w:bCs w:val="1"/>
                <w:color w:val="auto"/>
                <w:w w:val="93"/>
              </w:rPr>
              <w:t>Delaware</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right"/>
              <w:ind w:right="1373"/>
              <w:spacing w:after="0"/>
              <w:rPr>
                <w:sz w:val="20"/>
                <w:szCs w:val="20"/>
                <w:color w:val="auto"/>
              </w:rPr>
            </w:pPr>
            <w:r>
              <w:rPr>
                <w:rFonts w:ascii="Arial" w:cs="Arial" w:eastAsia="Arial" w:hAnsi="Arial"/>
                <w:sz w:val="17"/>
                <w:szCs w:val="17"/>
                <w:b w:val="1"/>
                <w:bCs w:val="1"/>
                <w:color w:val="auto"/>
              </w:rPr>
              <w:t>88-2789488</w:t>
            </w:r>
          </w:p>
        </w:tc>
      </w:tr>
      <w:tr>
        <w:trPr>
          <w:trHeight w:val="216"/>
        </w:trPr>
        <w:tc>
          <w:tcPr>
            <w:tcW w:w="3980" w:type="dxa"/>
            <w:vAlign w:val="bottom"/>
            <w:gridSpan w:val="4"/>
          </w:tcPr>
          <w:p>
            <w:pPr>
              <w:jc w:val="center"/>
              <w:ind w:right="580"/>
              <w:spacing w:after="0"/>
              <w:rPr>
                <w:sz w:val="20"/>
                <w:szCs w:val="20"/>
                <w:color w:val="auto"/>
              </w:rPr>
            </w:pPr>
            <w:r>
              <w:rPr>
                <w:rFonts w:ascii="Arial" w:cs="Arial" w:eastAsia="Arial" w:hAnsi="Arial"/>
                <w:sz w:val="17"/>
                <w:szCs w:val="17"/>
                <w:color w:val="auto"/>
                <w:w w:val="95"/>
              </w:rPr>
              <w:t>(State or other jurisdiction of incorporation)</w:t>
            </w:r>
          </w:p>
        </w:tc>
        <w:tc>
          <w:tcPr>
            <w:tcW w:w="3420" w:type="dxa"/>
            <w:vAlign w:val="bottom"/>
          </w:tcPr>
          <w:p>
            <w:pPr>
              <w:jc w:val="center"/>
              <w:ind w:right="273"/>
              <w:spacing w:after="0"/>
              <w:rPr>
                <w:sz w:val="20"/>
                <w:szCs w:val="20"/>
                <w:color w:val="auto"/>
              </w:rPr>
            </w:pPr>
            <w:r>
              <w:rPr>
                <w:rFonts w:ascii="Arial" w:cs="Arial" w:eastAsia="Arial" w:hAnsi="Arial"/>
                <w:sz w:val="17"/>
                <w:szCs w:val="17"/>
                <w:color w:val="auto"/>
                <w:w w:val="97"/>
              </w:rPr>
              <w:t>(I.R.S Employer Identification No.)</w:t>
            </w:r>
          </w:p>
        </w:tc>
      </w:tr>
      <w:tr>
        <w:trPr>
          <w:trHeight w:val="559"/>
        </w:trPr>
        <w:tc>
          <w:tcPr>
            <w:tcW w:w="3100" w:type="dxa"/>
            <w:vAlign w:val="bottom"/>
          </w:tcPr>
          <w:p>
            <w:pPr>
              <w:jc w:val="center"/>
              <w:ind w:left="1393"/>
              <w:spacing w:after="0"/>
              <w:rPr>
                <w:sz w:val="20"/>
                <w:szCs w:val="20"/>
                <w:color w:val="auto"/>
              </w:rPr>
            </w:pPr>
            <w:r>
              <w:rPr>
                <w:rFonts w:ascii="Arial" w:cs="Arial" w:eastAsia="Arial" w:hAnsi="Arial"/>
                <w:sz w:val="17"/>
                <w:szCs w:val="17"/>
                <w:b w:val="1"/>
                <w:bCs w:val="1"/>
                <w:color w:val="auto"/>
                <w:w w:val="96"/>
              </w:rPr>
              <w:t>621 NW 53rd Street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3"/>
        </w:trPr>
        <w:tc>
          <w:tcPr>
            <w:tcW w:w="3100" w:type="dxa"/>
            <w:vAlign w:val="bottom"/>
          </w:tcPr>
          <w:p>
            <w:pPr>
              <w:jc w:val="center"/>
              <w:ind w:left="1393"/>
              <w:spacing w:after="0"/>
              <w:rPr>
                <w:sz w:val="20"/>
                <w:szCs w:val="20"/>
                <w:color w:val="auto"/>
              </w:rPr>
            </w:pPr>
            <w:r>
              <w:rPr>
                <w:rFonts w:ascii="Arial" w:cs="Arial" w:eastAsia="Arial" w:hAnsi="Arial"/>
                <w:sz w:val="17"/>
                <w:szCs w:val="17"/>
                <w:b w:val="1"/>
                <w:bCs w:val="1"/>
                <w:color w:val="auto"/>
                <w:w w:val="90"/>
              </w:rPr>
              <w:t>Ste. 260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28"/>
        </w:trPr>
        <w:tc>
          <w:tcPr>
            <w:tcW w:w="3100" w:type="dxa"/>
            <w:vAlign w:val="bottom"/>
          </w:tcPr>
          <w:p>
            <w:pPr>
              <w:ind w:left="680"/>
              <w:spacing w:after="0"/>
              <w:rPr>
                <w:sz w:val="20"/>
                <w:szCs w:val="20"/>
                <w:color w:val="auto"/>
              </w:rPr>
            </w:pPr>
            <w:r>
              <w:rPr>
                <w:rFonts w:ascii="Arial" w:cs="Arial" w:eastAsia="Arial" w:hAnsi="Arial"/>
                <w:sz w:val="17"/>
                <w:szCs w:val="17"/>
                <w:b w:val="1"/>
                <w:bCs w:val="1"/>
                <w:color w:val="auto"/>
              </w:rPr>
              <w:t>Boca Raton,</w:t>
            </w:r>
          </w:p>
        </w:tc>
        <w:tc>
          <w:tcPr>
            <w:tcW w:w="880" w:type="dxa"/>
            <w:vAlign w:val="bottom"/>
            <w:gridSpan w:val="3"/>
          </w:tcPr>
          <w:p>
            <w:pPr>
              <w:ind w:left="60"/>
              <w:spacing w:after="0"/>
              <w:rPr>
                <w:sz w:val="20"/>
                <w:szCs w:val="20"/>
                <w:color w:val="auto"/>
              </w:rPr>
            </w:pPr>
            <w:r>
              <w:rPr>
                <w:rFonts w:ascii="Arial" w:cs="Arial" w:eastAsia="Arial" w:hAnsi="Arial"/>
                <w:sz w:val="17"/>
                <w:szCs w:val="17"/>
                <w:b w:val="1"/>
                <w:bCs w:val="1"/>
                <w:color w:val="auto"/>
              </w:rPr>
              <w:t>Florida</w:t>
            </w:r>
          </w:p>
        </w:tc>
        <w:tc>
          <w:tcPr>
            <w:tcW w:w="3420" w:type="dxa"/>
            <w:vAlign w:val="bottom"/>
          </w:tcPr>
          <w:p>
            <w:pPr>
              <w:jc w:val="right"/>
              <w:ind w:right="913"/>
              <w:spacing w:after="0"/>
              <w:rPr>
                <w:sz w:val="20"/>
                <w:szCs w:val="20"/>
                <w:color w:val="auto"/>
              </w:rPr>
            </w:pPr>
            <w:r>
              <w:rPr>
                <w:rFonts w:ascii="Arial" w:cs="Arial" w:eastAsia="Arial" w:hAnsi="Arial"/>
                <w:sz w:val="17"/>
                <w:szCs w:val="17"/>
                <w:b w:val="1"/>
                <w:bCs w:val="1"/>
                <w:color w:val="auto"/>
              </w:rPr>
              <w:t>33487</w:t>
            </w:r>
          </w:p>
        </w:tc>
      </w:tr>
      <w:tr>
        <w:trPr>
          <w:trHeight w:val="223"/>
        </w:trPr>
        <w:tc>
          <w:tcPr>
            <w:tcW w:w="3980" w:type="dxa"/>
            <w:vAlign w:val="bottom"/>
            <w:gridSpan w:val="4"/>
          </w:tcPr>
          <w:p>
            <w:pPr>
              <w:jc w:val="center"/>
              <w:ind w:left="513"/>
              <w:spacing w:after="0"/>
              <w:rPr>
                <w:sz w:val="20"/>
                <w:szCs w:val="20"/>
                <w:color w:val="auto"/>
              </w:rPr>
            </w:pPr>
            <w:r>
              <w:rPr>
                <w:rFonts w:ascii="Arial" w:cs="Arial" w:eastAsia="Arial" w:hAnsi="Arial"/>
                <w:sz w:val="17"/>
                <w:szCs w:val="17"/>
                <w:color w:val="auto"/>
                <w:w w:val="95"/>
              </w:rPr>
              <w:t>(Address of principal executive offices)</w:t>
            </w:r>
          </w:p>
        </w:tc>
        <w:tc>
          <w:tcPr>
            <w:tcW w:w="3420" w:type="dxa"/>
            <w:vAlign w:val="bottom"/>
          </w:tcPr>
          <w:p>
            <w:pPr>
              <w:jc w:val="center"/>
              <w:ind w:left="873"/>
              <w:spacing w:after="0"/>
              <w:rPr>
                <w:sz w:val="20"/>
                <w:szCs w:val="20"/>
                <w:color w:val="auto"/>
              </w:rPr>
            </w:pPr>
            <w:r>
              <w:rPr>
                <w:rFonts w:ascii="Arial" w:cs="Arial" w:eastAsia="Arial" w:hAnsi="Arial"/>
                <w:sz w:val="17"/>
                <w:szCs w:val="17"/>
                <w:color w:val="auto"/>
                <w:w w:val="93"/>
              </w:rPr>
              <w:t>(zip code)</w:t>
            </w:r>
          </w:p>
        </w:tc>
      </w:tr>
    </w:tbl>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 (800) 772-9172</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20"/>
          </w:cols>
          <w:pgMar w:left="320" w:top="481" w:right="359" w:bottom="1440" w:gutter="0" w:footer="0" w:header="0"/>
        </w:sectPr>
      </w:pPr>
    </w:p>
    <w:p>
      <w:pPr>
        <w:spacing w:after="0" w:line="153" w:lineRule="exact"/>
        <w:rPr>
          <w:sz w:val="24"/>
          <w:szCs w:val="24"/>
          <w:color w:val="auto"/>
        </w:rPr>
      </w:pPr>
    </w:p>
    <w:p>
      <w:pPr>
        <w:ind w:left="1720"/>
        <w:spacing w:after="0"/>
        <w:rPr>
          <w:sz w:val="20"/>
          <w:szCs w:val="20"/>
          <w:color w:val="auto"/>
        </w:rPr>
      </w:pPr>
      <w:r>
        <w:rPr>
          <w:rFonts w:ascii="Arial" w:cs="Arial" w:eastAsia="Arial" w:hAnsi="Arial"/>
          <w:sz w:val="17"/>
          <w:szCs w:val="17"/>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014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4345"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Arial" w:cs="Arial" w:eastAsia="Arial" w:hAnsi="Arial"/>
          <w:sz w:val="14"/>
          <w:szCs w:val="14"/>
          <w:color w:val="auto"/>
        </w:rPr>
        <w:t>Class A common stock, par value $0.0001 per share</w:t>
      </w:r>
    </w:p>
    <w:p>
      <w:pPr>
        <w:spacing w:after="0" w:line="36" w:lineRule="exact"/>
        <w:rPr>
          <w:sz w:val="24"/>
          <w:szCs w:val="24"/>
          <w:color w:val="auto"/>
        </w:rPr>
      </w:pPr>
    </w:p>
    <w:p>
      <w:pPr>
        <w:ind w:left="20"/>
        <w:spacing w:after="0" w:line="241" w:lineRule="auto"/>
        <w:rPr>
          <w:sz w:val="20"/>
          <w:szCs w:val="20"/>
          <w:color w:val="auto"/>
        </w:rPr>
      </w:pPr>
      <w:r>
        <w:rPr>
          <w:rFonts w:ascii="Arial" w:cs="Arial" w:eastAsia="Arial" w:hAnsi="Arial"/>
          <w:sz w:val="14"/>
          <w:szCs w:val="14"/>
          <w:color w:val="auto"/>
        </w:rPr>
        <w:t>Warrants, each exercisable for one share of Common Stock, at an exercise price of $11.50 per share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1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Trading Symbol(s)</w:t>
            </w:r>
          </w:p>
        </w:tc>
        <w:tc>
          <w:tcPr>
            <w:tcW w:w="4200" w:type="dxa"/>
            <w:vAlign w:val="bottom"/>
          </w:tcPr>
          <w:p>
            <w:pPr>
              <w:jc w:val="center"/>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172"/>
        </w:trPr>
        <w:tc>
          <w:tcPr>
            <w:tcW w:w="2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SBIG</w:t>
            </w:r>
          </w:p>
        </w:tc>
        <w:tc>
          <w:tcPr>
            <w:tcW w:w="100" w:type="dxa"/>
            <w:vAlign w:val="bottom"/>
          </w:tcPr>
          <w:p>
            <w:pPr>
              <w:spacing w:after="0"/>
              <w:rPr>
                <w:sz w:val="14"/>
                <w:szCs w:val="14"/>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The Nasdaq Global Market</w:t>
            </w:r>
          </w:p>
        </w:tc>
      </w:tr>
      <w:tr>
        <w:trPr>
          <w:trHeight w:val="257"/>
        </w:trPr>
        <w:tc>
          <w:tcPr>
            <w:tcW w:w="21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SBIGW</w:t>
            </w:r>
          </w:p>
        </w:tc>
        <w:tc>
          <w:tcPr>
            <w:tcW w:w="4200" w:type="dxa"/>
            <w:vAlign w:val="bottom"/>
          </w:tcPr>
          <w:p>
            <w:pPr>
              <w:jc w:val="center"/>
              <w:spacing w:after="0"/>
              <w:rPr>
                <w:sz w:val="20"/>
                <w:szCs w:val="20"/>
                <w:color w:val="auto"/>
              </w:rPr>
            </w:pPr>
            <w:r>
              <w:rPr>
                <w:rFonts w:ascii="Arial" w:cs="Arial" w:eastAsia="Arial" w:hAnsi="Arial"/>
                <w:sz w:val="14"/>
                <w:szCs w:val="14"/>
                <w:color w:val="auto"/>
                <w:w w:val="90"/>
              </w:rPr>
              <w:t>The Nasdaq Global Market</w:t>
            </w:r>
          </w:p>
        </w:tc>
      </w:tr>
    </w:tbl>
    <w:p>
      <w:pPr>
        <w:spacing w:after="0" w:line="279" w:lineRule="exact"/>
        <w:rPr>
          <w:sz w:val="24"/>
          <w:szCs w:val="24"/>
          <w:color w:val="auto"/>
        </w:rPr>
      </w:pPr>
    </w:p>
    <w:p>
      <w:pPr>
        <w:sectPr>
          <w:pgSz w:w="11900" w:h="16838" w:orient="portrait"/>
          <w:cols w:equalWidth="0" w:num="2">
            <w:col w:w="4640" w:space="200"/>
            <w:col w:w="6380"/>
          </w:cols>
          <w:pgMar w:left="320" w:top="481" w:right="359" w:bottom="1440" w:gutter="0" w:footer="0" w:header="0"/>
          <w:type w:val="continuous"/>
        </w:sectPr>
      </w:pPr>
    </w:p>
    <w:p>
      <w:pPr>
        <w:spacing w:after="0" w:line="159" w:lineRule="exact"/>
        <w:rPr>
          <w:sz w:val="24"/>
          <w:szCs w:val="24"/>
          <w:color w:val="auto"/>
        </w:rPr>
      </w:pPr>
    </w:p>
    <w:p>
      <w:pPr>
        <w:ind w:right="180"/>
        <w:spacing w:after="0" w:line="34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ind w:right="80"/>
        <w:spacing w:after="0" w:line="425"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No</w:t>
      </w:r>
    </w:p>
    <w:p>
      <w:pPr>
        <w:sectPr>
          <w:pgSz w:w="11900" w:h="16838" w:orient="portrait"/>
          <w:cols w:equalWidth="0" w:num="1">
            <w:col w:w="11220"/>
          </w:cols>
          <w:pgMar w:left="320" w:top="48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line="3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2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jc w:val="center"/>
              <w:ind w:left="610"/>
              <w:spacing w:after="0"/>
              <w:rPr>
                <w:sz w:val="20"/>
                <w:szCs w:val="20"/>
                <w:color w:val="auto"/>
              </w:rPr>
            </w:pPr>
            <w:r>
              <w:rPr>
                <w:rFonts w:ascii="Arial" w:cs="Arial" w:eastAsia="Arial" w:hAnsi="Arial"/>
                <w:sz w:val="14"/>
                <w:szCs w:val="14"/>
                <w:color w:val="auto"/>
                <w:w w:val="93"/>
              </w:rPr>
              <w:t>Accelerated filer</w:t>
            </w:r>
          </w:p>
        </w:tc>
        <w:tc>
          <w:tcPr>
            <w:tcW w:w="860" w:type="dxa"/>
            <w:vAlign w:val="bottom"/>
          </w:tcPr>
          <w:p>
            <w:pPr>
              <w:spacing w:after="0"/>
              <w:rPr>
                <w:sz w:val="16"/>
                <w:szCs w:val="16"/>
                <w:color w:val="auto"/>
              </w:rPr>
            </w:pPr>
          </w:p>
        </w:tc>
      </w:tr>
      <w:tr>
        <w:trPr>
          <w:trHeight w:val="263"/>
        </w:trPr>
        <w:tc>
          <w:tcPr>
            <w:tcW w:w="26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jc w:val="center"/>
              <w:ind w:left="610"/>
              <w:spacing w:after="0"/>
              <w:rPr>
                <w:sz w:val="20"/>
                <w:szCs w:val="20"/>
                <w:color w:val="auto"/>
              </w:rPr>
            </w:pPr>
            <w:r>
              <w:rPr>
                <w:rFonts w:ascii="Arial" w:cs="Arial" w:eastAsia="Arial" w:hAnsi="Arial"/>
                <w:sz w:val="14"/>
                <w:szCs w:val="14"/>
                <w:color w:val="auto"/>
                <w:w w:val="92"/>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62"/>
        </w:trPr>
        <w:tc>
          <w:tcPr>
            <w:tcW w:w="2640" w:type="dxa"/>
            <w:vAlign w:val="bottom"/>
          </w:tcPr>
          <w:p>
            <w:pPr>
              <w:spacing w:after="0"/>
              <w:rPr>
                <w:sz w:val="22"/>
                <w:szCs w:val="22"/>
                <w:color w:val="auto"/>
              </w:rPr>
            </w:pPr>
          </w:p>
        </w:tc>
        <w:tc>
          <w:tcPr>
            <w:tcW w:w="3660" w:type="dxa"/>
            <w:vAlign w:val="bottom"/>
          </w:tcPr>
          <w:p>
            <w:pPr>
              <w:jc w:val="center"/>
              <w:ind w:left="630"/>
              <w:spacing w:after="0"/>
              <w:rPr>
                <w:sz w:val="20"/>
                <w:szCs w:val="20"/>
                <w:color w:val="auto"/>
              </w:rPr>
            </w:pPr>
            <w:r>
              <w:rPr>
                <w:rFonts w:ascii="Arial" w:cs="Arial" w:eastAsia="Arial" w:hAnsi="Arial"/>
                <w:sz w:val="14"/>
                <w:szCs w:val="14"/>
                <w:color w:val="auto"/>
                <w:w w:val="91"/>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bl>
    <w:p>
      <w:pPr>
        <w:spacing w:after="0" w:line="200" w:lineRule="exact"/>
        <w:rPr>
          <w:sz w:val="20"/>
          <w:szCs w:val="20"/>
          <w:color w:val="auto"/>
        </w:rPr>
      </w:pPr>
    </w:p>
    <w:p>
      <w:pPr>
        <w:spacing w:after="0" w:line="381" w:lineRule="exact"/>
        <w:rPr>
          <w:sz w:val="20"/>
          <w:szCs w:val="20"/>
          <w:color w:val="auto"/>
        </w:rPr>
      </w:pPr>
    </w:p>
    <w:p>
      <w:pPr>
        <w:ind w:right="320"/>
        <w:spacing w:after="0" w:line="29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1" w:lineRule="exact"/>
        <w:rPr>
          <w:sz w:val="20"/>
          <w:szCs w:val="20"/>
          <w:color w:val="auto"/>
        </w:rPr>
      </w:pPr>
    </w:p>
    <w:p>
      <w:pPr>
        <w:ind w:right="4780"/>
        <w:spacing w:after="0" w:line="526" w:lineRule="auto"/>
        <w:rPr>
          <w:sz w:val="20"/>
          <w:szCs w:val="20"/>
          <w:color w:val="auto"/>
        </w:rPr>
      </w:pPr>
      <w:r>
        <w:rPr>
          <w:rFonts w:ascii="Arial" w:cs="Arial" w:eastAsia="Arial" w:hAnsi="Arial"/>
          <w:sz w:val="12"/>
          <w:szCs w:val="12"/>
          <w:color w:val="auto"/>
        </w:rPr>
        <w:t>Indicate by check mark whether the registrant is a shell company (as defined in Rule 12b-2 of the Act). Yes No As of August 14, 2022, there were 25,290,270 shares of common stock, $0.0001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713613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SPRINGBIG,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Page</w:t>
            </w:r>
          </w:p>
        </w:tc>
      </w:tr>
      <w:tr>
        <w:trPr>
          <w:trHeight w:val="20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20" w:type="dxa"/>
            <w:vAlign w:val="bottom"/>
            <w:gridSpan w:val="8"/>
          </w:tcPr>
          <w:p>
            <w:pPr>
              <w:jc w:val="center"/>
              <w:ind w:right="1800"/>
              <w:spacing w:after="0"/>
              <w:rPr>
                <w:sz w:val="20"/>
                <w:szCs w:val="20"/>
                <w:color w:val="auto"/>
              </w:rPr>
            </w:pPr>
            <w:r>
              <w:rPr>
                <w:rFonts w:ascii="Arial" w:cs="Arial" w:eastAsia="Arial" w:hAnsi="Arial"/>
                <w:sz w:val="16"/>
                <w:szCs w:val="16"/>
                <w:b w:val="1"/>
                <w:bCs w:val="1"/>
                <w:color w:val="auto"/>
                <w:w w:val="92"/>
              </w:rPr>
              <w:t>Part I – Financial Information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spacing w:after="0" w:line="153" w:lineRule="exact"/>
              <w:rPr>
                <w:sz w:val="20"/>
                <w:szCs w:val="20"/>
                <w:color w:val="auto"/>
              </w:rPr>
            </w:pPr>
            <w:r>
              <w:rPr>
                <w:rFonts w:ascii="Arial" w:cs="Arial" w:eastAsia="Arial" w:hAnsi="Arial"/>
                <w:sz w:val="16"/>
                <w:szCs w:val="16"/>
                <w:color w:val="0000FF"/>
              </w:rPr>
              <w:t>Item 1.</w:t>
            </w:r>
          </w:p>
        </w:tc>
        <w:tc>
          <w:tcPr>
            <w:tcW w:w="8520" w:type="dxa"/>
            <w:vAlign w:val="bottom"/>
            <w:gridSpan w:val="18"/>
            <w:shd w:val="clear" w:color="auto" w:fill="CCEEFF"/>
          </w:tcPr>
          <w:p>
            <w:pPr>
              <w:ind w:left="200"/>
              <w:spacing w:after="0" w:line="153" w:lineRule="exact"/>
              <w:rPr>
                <w:sz w:val="20"/>
                <w:szCs w:val="20"/>
                <w:color w:val="auto"/>
              </w:rPr>
            </w:pPr>
            <w:r>
              <w:rPr>
                <w:rFonts w:ascii="Arial" w:cs="Arial" w:eastAsia="Arial" w:hAnsi="Arial"/>
                <w:sz w:val="16"/>
                <w:szCs w:val="16"/>
                <w:color w:val="0000FF"/>
              </w:rPr>
              <w:t>Financial Statements (Unaudited)</w:t>
            </w:r>
          </w:p>
        </w:tc>
        <w:tc>
          <w:tcPr>
            <w:tcW w:w="1920" w:type="dxa"/>
            <w:vAlign w:val="bottom"/>
            <w:tcBorders>
              <w:right w:val="single" w:sz="8" w:color="CCEEFF"/>
            </w:tcBorders>
            <w:gridSpan w:val="3"/>
            <w:shd w:val="clear" w:color="auto" w:fill="CCEEFF"/>
          </w:tcPr>
          <w:p>
            <w:pPr>
              <w:jc w:val="right"/>
              <w:spacing w:after="0" w:line="153" w:lineRule="exact"/>
              <w:rPr>
                <w:sz w:val="20"/>
                <w:szCs w:val="20"/>
                <w:color w:val="auto"/>
              </w:rPr>
            </w:pPr>
            <w:r>
              <w:rPr>
                <w:rFonts w:ascii="Arial" w:cs="Arial" w:eastAsia="Arial" w:hAnsi="Arial"/>
                <w:sz w:val="16"/>
                <w:szCs w:val="16"/>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40" w:type="dxa"/>
            <w:vAlign w:val="bottom"/>
            <w:tcBorders>
              <w:bottom w:val="single" w:sz="8" w:color="0000FF"/>
            </w:tcBorders>
            <w:gridSpan w:val="12"/>
          </w:tcPr>
          <w:p>
            <w:pPr>
              <w:spacing w:after="0" w:line="163" w:lineRule="exact"/>
              <w:rPr>
                <w:sz w:val="20"/>
                <w:szCs w:val="20"/>
                <w:color w:val="auto"/>
              </w:rPr>
            </w:pPr>
            <w:r>
              <w:rPr>
                <w:rFonts w:ascii="Arial" w:cs="Arial" w:eastAsia="Arial" w:hAnsi="Arial"/>
                <w:sz w:val="16"/>
                <w:szCs w:val="16"/>
                <w:color w:val="0000FF"/>
                <w:w w:val="87"/>
              </w:rPr>
              <w:t>Consolidated Balance Sheets as of June 30, 2022 and December 31, 2021</w:t>
            </w:r>
          </w:p>
        </w:tc>
        <w:tc>
          <w:tcPr>
            <w:tcW w:w="3680" w:type="dxa"/>
            <w:vAlign w:val="bottom"/>
            <w:gridSpan w:val="5"/>
          </w:tcPr>
          <w:p>
            <w:pPr>
              <w:spacing w:after="0"/>
              <w:rPr>
                <w:sz w:val="15"/>
                <w:szCs w:val="15"/>
                <w:color w:val="auto"/>
              </w:rPr>
            </w:pPr>
          </w:p>
        </w:tc>
        <w:tc>
          <w:tcPr>
            <w:tcW w:w="182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63" w:lineRule="exact"/>
              <w:rPr>
                <w:sz w:val="20"/>
                <w:szCs w:val="20"/>
                <w:color w:val="auto"/>
              </w:rPr>
            </w:pPr>
            <w:r>
              <w:rPr>
                <w:rFonts w:ascii="Arial" w:cs="Arial" w:eastAsia="Arial" w:hAnsi="Arial"/>
                <w:sz w:val="15"/>
                <w:szCs w:val="15"/>
                <w:color w:val="0000FF"/>
                <w:w w:val="71"/>
              </w:rPr>
              <w:t>1</w:t>
            </w: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320" w:type="dxa"/>
            <w:vAlign w:val="bottom"/>
            <w:gridSpan w:val="17"/>
            <w:shd w:val="clear" w:color="auto" w:fill="CCEEFF"/>
          </w:tcPr>
          <w:p>
            <w:pPr>
              <w:spacing w:after="0"/>
              <w:rPr>
                <w:sz w:val="20"/>
                <w:szCs w:val="20"/>
                <w:color w:val="auto"/>
              </w:rPr>
            </w:pPr>
            <w:r>
              <w:rPr>
                <w:rFonts w:ascii="Arial" w:cs="Arial" w:eastAsia="Arial" w:hAnsi="Arial"/>
                <w:sz w:val="16"/>
                <w:szCs w:val="16"/>
                <w:color w:val="0000FF"/>
              </w:rPr>
              <w:t>Consolidated Statements of Operations for the three and six months June 30, 2022 and 2021</w:t>
            </w:r>
          </w:p>
        </w:tc>
        <w:tc>
          <w:tcPr>
            <w:tcW w:w="1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0000FF"/>
              </w:rPr>
              <w:t>2</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0000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760" w:type="dxa"/>
            <w:vAlign w:val="bottom"/>
            <w:tcBorders>
              <w:bottom w:val="single" w:sz="8" w:color="0000FF"/>
            </w:tcBorders>
            <w:gridSpan w:val="16"/>
          </w:tcPr>
          <w:p>
            <w:pPr>
              <w:spacing w:after="0" w:line="171" w:lineRule="exact"/>
              <w:rPr>
                <w:sz w:val="20"/>
                <w:szCs w:val="20"/>
                <w:color w:val="auto"/>
              </w:rPr>
            </w:pPr>
            <w:r>
              <w:rPr>
                <w:rFonts w:ascii="Arial" w:cs="Arial" w:eastAsia="Arial" w:hAnsi="Arial"/>
                <w:sz w:val="16"/>
                <w:szCs w:val="16"/>
                <w:color w:val="0000FF"/>
                <w:w w:val="88"/>
              </w:rPr>
              <w:t>Consolidated Statements of Changes in Stockholder’s Equity for six months ended June 30, 2022 and 2021</w:t>
            </w:r>
          </w:p>
        </w:tc>
        <w:tc>
          <w:tcPr>
            <w:tcW w:w="1560" w:type="dxa"/>
            <w:vAlign w:val="bottom"/>
          </w:tcPr>
          <w:p>
            <w:pPr>
              <w:spacing w:after="0"/>
              <w:rPr>
                <w:sz w:val="15"/>
                <w:szCs w:val="15"/>
                <w:color w:val="auto"/>
              </w:rPr>
            </w:pPr>
          </w:p>
        </w:tc>
        <w:tc>
          <w:tcPr>
            <w:tcW w:w="182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71" w:lineRule="exact"/>
              <w:rPr>
                <w:sz w:val="20"/>
                <w:szCs w:val="20"/>
                <w:color w:val="auto"/>
              </w:rPr>
            </w:pPr>
            <w:r>
              <w:rPr>
                <w:rFonts w:ascii="Arial" w:cs="Arial" w:eastAsia="Arial" w:hAnsi="Arial"/>
                <w:sz w:val="15"/>
                <w:szCs w:val="15"/>
                <w:color w:val="0000FF"/>
                <w:w w:val="71"/>
              </w:rPr>
              <w:t>3</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0" w:type="dxa"/>
            <w:vAlign w:val="bottom"/>
            <w:tcBorders>
              <w:bottom w:val="single" w:sz="8" w:color="0000FF"/>
              <w:right w:val="single" w:sz="8" w:color="CCEEFF"/>
            </w:tcBorders>
            <w:gridSpan w:val="15"/>
            <w:shd w:val="clear" w:color="auto" w:fill="CCEEFF"/>
          </w:tcPr>
          <w:p>
            <w:pPr>
              <w:spacing w:after="0" w:line="180" w:lineRule="exact"/>
              <w:rPr>
                <w:sz w:val="20"/>
                <w:szCs w:val="20"/>
                <w:color w:val="auto"/>
              </w:rPr>
            </w:pPr>
            <w:r>
              <w:rPr>
                <w:rFonts w:ascii="Arial" w:cs="Arial" w:eastAsia="Arial" w:hAnsi="Arial"/>
                <w:sz w:val="16"/>
                <w:szCs w:val="16"/>
                <w:color w:val="0000FF"/>
                <w:w w:val="87"/>
              </w:rPr>
              <w:t>Consolidated Statements of Cash Flows for the three months ended June 30, 2022 and 2021</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18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0000FF"/>
                <w:w w:val="71"/>
              </w:rPr>
              <w:t>4</w:t>
            </w:r>
          </w:p>
        </w:tc>
      </w:t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20" w:type="dxa"/>
            <w:vAlign w:val="bottom"/>
            <w:gridSpan w:val="17"/>
          </w:tcPr>
          <w:p>
            <w:pPr>
              <w:spacing w:after="0" w:line="171" w:lineRule="exact"/>
              <w:rPr>
                <w:sz w:val="20"/>
                <w:szCs w:val="20"/>
                <w:color w:val="auto"/>
              </w:rPr>
            </w:pPr>
            <w:r>
              <w:rPr>
                <w:rFonts w:ascii="Arial" w:cs="Arial" w:eastAsia="Arial" w:hAnsi="Arial"/>
                <w:sz w:val="16"/>
                <w:szCs w:val="16"/>
                <w:color w:val="0000FF"/>
              </w:rPr>
              <w:t>Consolidated Statements of Cash Flows for the six months ended June 30, 2022 and 2021</w:t>
            </w:r>
          </w:p>
        </w:tc>
        <w:tc>
          <w:tcPr>
            <w:tcW w:w="1920" w:type="dxa"/>
            <w:vAlign w:val="bottom"/>
            <w:gridSpan w:val="3"/>
          </w:tcPr>
          <w:p>
            <w:pPr>
              <w:jc w:val="right"/>
              <w:spacing w:after="0" w:line="171" w:lineRule="exact"/>
              <w:rPr>
                <w:sz w:val="20"/>
                <w:szCs w:val="20"/>
                <w:color w:val="auto"/>
              </w:rPr>
            </w:pPr>
            <w:r>
              <w:rPr>
                <w:rFonts w:ascii="Arial" w:cs="Arial" w:eastAsia="Arial" w:hAnsi="Arial"/>
                <w:sz w:val="16"/>
                <w:szCs w:val="16"/>
                <w:color w:val="0000FF"/>
              </w:rPr>
              <w:t>5</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top w:val="single" w:sz="8" w:color="0000FF"/>
              <w:bottom w:val="single" w:sz="8" w:color="0000FF"/>
            </w:tcBorders>
            <w:gridSpan w:val="9"/>
            <w:shd w:val="clear" w:color="auto" w:fill="CCEEFF"/>
          </w:tcPr>
          <w:p>
            <w:pPr>
              <w:spacing w:after="0" w:line="180" w:lineRule="exact"/>
              <w:rPr>
                <w:sz w:val="20"/>
                <w:szCs w:val="20"/>
                <w:color w:val="auto"/>
              </w:rPr>
            </w:pPr>
            <w:r>
              <w:rPr>
                <w:rFonts w:ascii="Arial" w:cs="Arial" w:eastAsia="Arial" w:hAnsi="Arial"/>
                <w:sz w:val="16"/>
                <w:szCs w:val="16"/>
                <w:color w:val="0000FF"/>
                <w:w w:val="88"/>
              </w:rPr>
              <w:t>Notes to the Consolidated Financial Statements</w:t>
            </w:r>
          </w:p>
        </w:tc>
        <w:tc>
          <w:tcPr>
            <w:tcW w:w="264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2680" w:type="dxa"/>
            <w:vAlign w:val="bottom"/>
            <w:tcBorders>
              <w:bottom w:val="single" w:sz="8" w:color="CCEEFF"/>
            </w:tcBorders>
            <w:gridSpan w:val="4"/>
            <w:shd w:val="clear" w:color="auto" w:fill="CCEEFF"/>
          </w:tcPr>
          <w:p>
            <w:pPr>
              <w:spacing w:after="0"/>
              <w:rPr>
                <w:sz w:val="17"/>
                <w:szCs w:val="17"/>
                <w:color w:val="auto"/>
              </w:rPr>
            </w:pPr>
          </w:p>
        </w:tc>
        <w:tc>
          <w:tcPr>
            <w:tcW w:w="18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0000FF"/>
              <w:bottom w:val="single" w:sz="8" w:color="0000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0000FF"/>
                <w:w w:val="71"/>
              </w:rPr>
              <w:t>6</w:t>
            </w:r>
          </w:p>
        </w:tc>
      </w:tr>
      <w:tr>
        <w:trPr>
          <w:trHeight w:val="180"/>
        </w:trPr>
        <w:tc>
          <w:tcPr>
            <w:tcW w:w="20" w:type="dxa"/>
            <w:vAlign w:val="bottom"/>
          </w:tcPr>
          <w:p>
            <w:pPr>
              <w:spacing w:after="0"/>
              <w:rPr>
                <w:sz w:val="15"/>
                <w:szCs w:val="15"/>
                <w:color w:val="auto"/>
              </w:rPr>
            </w:pPr>
          </w:p>
        </w:tc>
        <w:tc>
          <w:tcPr>
            <w:tcW w:w="780" w:type="dxa"/>
            <w:vAlign w:val="bottom"/>
            <w:gridSpan w:val="2"/>
          </w:tcPr>
          <w:p>
            <w:pPr>
              <w:spacing w:after="0" w:line="171" w:lineRule="exact"/>
              <w:rPr>
                <w:sz w:val="20"/>
                <w:szCs w:val="20"/>
                <w:color w:val="auto"/>
              </w:rPr>
            </w:pPr>
            <w:r>
              <w:rPr>
                <w:rFonts w:ascii="Arial" w:cs="Arial" w:eastAsia="Arial" w:hAnsi="Arial"/>
                <w:sz w:val="16"/>
                <w:szCs w:val="16"/>
                <w:color w:val="auto"/>
              </w:rPr>
              <w:t>Item 2.</w:t>
            </w:r>
          </w:p>
        </w:tc>
        <w:tc>
          <w:tcPr>
            <w:tcW w:w="200" w:type="dxa"/>
            <w:vAlign w:val="bottom"/>
          </w:tcPr>
          <w:p>
            <w:pPr>
              <w:spacing w:after="0"/>
              <w:rPr>
                <w:sz w:val="15"/>
                <w:szCs w:val="15"/>
                <w:color w:val="auto"/>
              </w:rPr>
            </w:pPr>
          </w:p>
        </w:tc>
        <w:tc>
          <w:tcPr>
            <w:tcW w:w="5660" w:type="dxa"/>
            <w:vAlign w:val="bottom"/>
            <w:tcBorders>
              <w:bottom w:val="single" w:sz="8" w:color="0000FF"/>
            </w:tcBorders>
            <w:gridSpan w:val="14"/>
          </w:tcPr>
          <w:p>
            <w:pPr>
              <w:spacing w:after="0" w:line="171" w:lineRule="exact"/>
              <w:rPr>
                <w:sz w:val="20"/>
                <w:szCs w:val="20"/>
                <w:color w:val="auto"/>
              </w:rPr>
            </w:pPr>
            <w:r>
              <w:rPr>
                <w:rFonts w:ascii="Arial" w:cs="Arial" w:eastAsia="Arial" w:hAnsi="Arial"/>
                <w:sz w:val="16"/>
                <w:szCs w:val="16"/>
                <w:color w:val="0000FF"/>
                <w:w w:val="89"/>
              </w:rPr>
              <w:t>Management’s Discussion and Analysis of Financial Condition and Results of Operations</w:t>
            </w:r>
          </w:p>
        </w:tc>
        <w:tc>
          <w:tcPr>
            <w:tcW w:w="2660" w:type="dxa"/>
            <w:vAlign w:val="bottom"/>
            <w:gridSpan w:val="3"/>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Borders>
              <w:bottom w:val="single" w:sz="8" w:color="0000FF"/>
            </w:tcBorders>
            <w:gridSpan w:val="2"/>
          </w:tcPr>
          <w:p>
            <w:pPr>
              <w:jc w:val="right"/>
              <w:spacing w:after="0" w:line="171" w:lineRule="exact"/>
              <w:rPr>
                <w:sz w:val="20"/>
                <w:szCs w:val="20"/>
                <w:color w:val="auto"/>
              </w:rPr>
            </w:pPr>
            <w:r>
              <w:rPr>
                <w:rFonts w:ascii="Arial" w:cs="Arial" w:eastAsia="Arial" w:hAnsi="Arial"/>
                <w:sz w:val="16"/>
                <w:szCs w:val="16"/>
                <w:color w:val="0000FF"/>
                <w:w w:val="78"/>
              </w:rPr>
              <w:t>25</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Item 3.</w:t>
            </w:r>
          </w:p>
        </w:tc>
        <w:tc>
          <w:tcPr>
            <w:tcW w:w="200" w:type="dxa"/>
            <w:vAlign w:val="bottom"/>
            <w:tcBorders>
              <w:bottom w:val="single" w:sz="8" w:color="CCEEFF"/>
            </w:tcBorders>
            <w:shd w:val="clear" w:color="auto" w:fill="CCEEFF"/>
          </w:tcPr>
          <w:p>
            <w:pPr>
              <w:spacing w:after="0"/>
              <w:rPr>
                <w:sz w:val="17"/>
                <w:szCs w:val="17"/>
                <w:color w:val="auto"/>
              </w:rPr>
            </w:pPr>
          </w:p>
        </w:tc>
        <w:tc>
          <w:tcPr>
            <w:tcW w:w="3760" w:type="dxa"/>
            <w:vAlign w:val="bottom"/>
            <w:tcBorders>
              <w:bottom w:val="single" w:sz="8" w:color="0000FF"/>
            </w:tcBorders>
            <w:gridSpan w:val="10"/>
            <w:shd w:val="clear" w:color="auto" w:fill="CCEEFF"/>
          </w:tcPr>
          <w:p>
            <w:pPr>
              <w:spacing w:after="0" w:line="180" w:lineRule="exact"/>
              <w:rPr>
                <w:sz w:val="20"/>
                <w:szCs w:val="20"/>
                <w:color w:val="auto"/>
              </w:rPr>
            </w:pPr>
            <w:r>
              <w:rPr>
                <w:rFonts w:ascii="Arial" w:cs="Arial" w:eastAsia="Arial" w:hAnsi="Arial"/>
                <w:sz w:val="16"/>
                <w:szCs w:val="16"/>
                <w:color w:val="0000FF"/>
                <w:w w:val="91"/>
              </w:rPr>
              <w:t>Quantitative and Qualitative Disclosure About Market Risk</w:t>
            </w:r>
          </w:p>
        </w:tc>
        <w:tc>
          <w:tcPr>
            <w:tcW w:w="4560" w:type="dxa"/>
            <w:vAlign w:val="bottom"/>
            <w:tcBorders>
              <w:bottom w:val="single" w:sz="8" w:color="CCEEFF"/>
            </w:tcBorders>
            <w:gridSpan w:val="7"/>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right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6"/>
                <w:szCs w:val="16"/>
                <w:color w:val="0000FF"/>
                <w:w w:val="78"/>
              </w:rPr>
              <w:t>36</w:t>
            </w:r>
          </w:p>
        </w:tc>
      </w:tr>
      <w:tr>
        <w:trPr>
          <w:trHeight w:val="180"/>
        </w:trPr>
        <w:tc>
          <w:tcPr>
            <w:tcW w:w="20" w:type="dxa"/>
            <w:vAlign w:val="bottom"/>
          </w:tcPr>
          <w:p>
            <w:pPr>
              <w:spacing w:after="0"/>
              <w:rPr>
                <w:sz w:val="15"/>
                <w:szCs w:val="15"/>
                <w:color w:val="auto"/>
              </w:rPr>
            </w:pPr>
          </w:p>
        </w:tc>
        <w:tc>
          <w:tcPr>
            <w:tcW w:w="780" w:type="dxa"/>
            <w:vAlign w:val="bottom"/>
            <w:gridSpan w:val="2"/>
          </w:tcPr>
          <w:p>
            <w:pPr>
              <w:spacing w:after="0" w:line="171" w:lineRule="exact"/>
              <w:rPr>
                <w:sz w:val="20"/>
                <w:szCs w:val="20"/>
                <w:color w:val="auto"/>
              </w:rPr>
            </w:pPr>
            <w:r>
              <w:rPr>
                <w:rFonts w:ascii="Arial" w:cs="Arial" w:eastAsia="Arial" w:hAnsi="Arial"/>
                <w:sz w:val="16"/>
                <w:szCs w:val="16"/>
                <w:color w:val="auto"/>
              </w:rPr>
              <w:t>Item 4.</w:t>
            </w:r>
          </w:p>
        </w:tc>
        <w:tc>
          <w:tcPr>
            <w:tcW w:w="8520" w:type="dxa"/>
            <w:vAlign w:val="bottom"/>
            <w:gridSpan w:val="18"/>
          </w:tcPr>
          <w:p>
            <w:pPr>
              <w:ind w:left="200"/>
              <w:spacing w:after="0" w:line="171" w:lineRule="exact"/>
              <w:rPr>
                <w:sz w:val="20"/>
                <w:szCs w:val="20"/>
                <w:color w:val="auto"/>
              </w:rPr>
            </w:pPr>
            <w:r>
              <w:rPr>
                <w:rFonts w:ascii="Arial" w:cs="Arial" w:eastAsia="Arial" w:hAnsi="Arial"/>
                <w:sz w:val="16"/>
                <w:szCs w:val="16"/>
                <w:color w:val="0000FF"/>
              </w:rPr>
              <w:t>Controls and Procedures</w:t>
            </w:r>
          </w:p>
        </w:tc>
        <w:tc>
          <w:tcPr>
            <w:tcW w:w="1920" w:type="dxa"/>
            <w:vAlign w:val="bottom"/>
            <w:gridSpan w:val="3"/>
          </w:tcPr>
          <w:p>
            <w:pPr>
              <w:jc w:val="right"/>
              <w:spacing w:after="0" w:line="171" w:lineRule="exact"/>
              <w:rPr>
                <w:sz w:val="20"/>
                <w:szCs w:val="20"/>
                <w:color w:val="auto"/>
              </w:rPr>
            </w:pPr>
            <w:r>
              <w:rPr>
                <w:rFonts w:ascii="Arial" w:cs="Arial" w:eastAsia="Arial" w:hAnsi="Arial"/>
                <w:sz w:val="16"/>
                <w:szCs w:val="16"/>
                <w:color w:val="0000FF"/>
              </w:rPr>
              <w:t>36</w:t>
            </w:r>
          </w:p>
        </w:tc>
      </w:tr>
      <w:tr>
        <w:trPr>
          <w:trHeight w:val="219"/>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tcBorders>
              <w:top w:val="single" w:sz="8" w:color="0000FF"/>
            </w:tcBorders>
            <w:shd w:val="clear" w:color="auto" w:fill="CCEEFF"/>
          </w:tcPr>
          <w:p>
            <w:pPr>
              <w:spacing w:after="0"/>
              <w:rPr>
                <w:sz w:val="19"/>
                <w:szCs w:val="19"/>
                <w:color w:val="auto"/>
              </w:rPr>
            </w:pPr>
          </w:p>
        </w:tc>
        <w:tc>
          <w:tcPr>
            <w:tcW w:w="140" w:type="dxa"/>
            <w:vAlign w:val="bottom"/>
            <w:tcBorders>
              <w:top w:val="single" w:sz="8" w:color="0000FF"/>
            </w:tcBorders>
            <w:shd w:val="clear" w:color="auto" w:fill="CCEEFF"/>
          </w:tcPr>
          <w:p>
            <w:pPr>
              <w:spacing w:after="0"/>
              <w:rPr>
                <w:sz w:val="19"/>
                <w:szCs w:val="19"/>
                <w:color w:val="auto"/>
              </w:rPr>
            </w:pPr>
          </w:p>
        </w:tc>
        <w:tc>
          <w:tcPr>
            <w:tcW w:w="120" w:type="dxa"/>
            <w:vAlign w:val="bottom"/>
            <w:tcBorders>
              <w:top w:val="single" w:sz="8" w:color="0000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520" w:type="dxa"/>
            <w:vAlign w:val="bottom"/>
            <w:gridSpan w:val="6"/>
            <w:shd w:val="clear" w:color="auto" w:fill="CCEEFF"/>
          </w:tcPr>
          <w:p>
            <w:pPr>
              <w:jc w:val="center"/>
              <w:ind w:right="2600"/>
              <w:spacing w:after="0"/>
              <w:rPr>
                <w:sz w:val="20"/>
                <w:szCs w:val="20"/>
                <w:color w:val="auto"/>
              </w:rPr>
            </w:pPr>
            <w:r>
              <w:rPr>
                <w:rFonts w:ascii="Arial" w:cs="Arial" w:eastAsia="Arial" w:hAnsi="Arial"/>
                <w:sz w:val="16"/>
                <w:szCs w:val="16"/>
                <w:b w:val="1"/>
                <w:bCs w:val="1"/>
                <w:color w:val="auto"/>
                <w:w w:val="95"/>
              </w:rPr>
              <w:t>Part II – Other Information</w:t>
            </w:r>
          </w:p>
        </w:tc>
        <w:tc>
          <w:tcPr>
            <w:tcW w:w="174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right w:val="single" w:sz="8" w:color="CCEEFF"/>
            </w:tcBorders>
            <w:shd w:val="clear" w:color="auto" w:fill="CCEEFF"/>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spacing w:after="0" w:line="171" w:lineRule="exact"/>
              <w:rPr>
                <w:sz w:val="20"/>
                <w:szCs w:val="20"/>
                <w:color w:val="auto"/>
              </w:rPr>
            </w:pPr>
            <w:r>
              <w:rPr>
                <w:rFonts w:ascii="Arial" w:cs="Arial" w:eastAsia="Arial" w:hAnsi="Arial"/>
                <w:sz w:val="16"/>
                <w:szCs w:val="16"/>
                <w:color w:val="auto"/>
              </w:rPr>
              <w:t>Item 1.</w:t>
            </w:r>
          </w:p>
        </w:tc>
        <w:tc>
          <w:tcPr>
            <w:tcW w:w="200" w:type="dxa"/>
            <w:vAlign w:val="bottom"/>
          </w:tcPr>
          <w:p>
            <w:pPr>
              <w:spacing w:after="0"/>
              <w:rPr>
                <w:sz w:val="15"/>
                <w:szCs w:val="15"/>
                <w:color w:val="auto"/>
              </w:rPr>
            </w:pPr>
          </w:p>
        </w:tc>
        <w:tc>
          <w:tcPr>
            <w:tcW w:w="1180" w:type="dxa"/>
            <w:vAlign w:val="bottom"/>
            <w:tcBorders>
              <w:bottom w:val="single" w:sz="8" w:color="0000FF"/>
            </w:tcBorders>
            <w:gridSpan w:val="5"/>
          </w:tcPr>
          <w:p>
            <w:pPr>
              <w:spacing w:after="0" w:line="171" w:lineRule="exact"/>
              <w:rPr>
                <w:sz w:val="20"/>
                <w:szCs w:val="20"/>
                <w:color w:val="auto"/>
              </w:rPr>
            </w:pPr>
            <w:r>
              <w:rPr>
                <w:rFonts w:ascii="Arial" w:cs="Arial" w:eastAsia="Arial" w:hAnsi="Arial"/>
                <w:sz w:val="16"/>
                <w:szCs w:val="16"/>
                <w:color w:val="0000FF"/>
                <w:w w:val="87"/>
              </w:rPr>
              <w:t>Legal Proceedings</w:t>
            </w:r>
          </w:p>
        </w:tc>
        <w:tc>
          <w:tcPr>
            <w:tcW w:w="7140" w:type="dxa"/>
            <w:vAlign w:val="bottom"/>
            <w:gridSpan w:val="12"/>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Borders>
              <w:bottom w:val="single" w:sz="8" w:color="0000FF"/>
            </w:tcBorders>
            <w:gridSpan w:val="2"/>
          </w:tcPr>
          <w:p>
            <w:pPr>
              <w:jc w:val="right"/>
              <w:spacing w:after="0" w:line="171" w:lineRule="exact"/>
              <w:rPr>
                <w:sz w:val="20"/>
                <w:szCs w:val="20"/>
                <w:color w:val="auto"/>
              </w:rPr>
            </w:pPr>
            <w:r>
              <w:rPr>
                <w:rFonts w:ascii="Arial" w:cs="Arial" w:eastAsia="Arial" w:hAnsi="Arial"/>
                <w:sz w:val="16"/>
                <w:szCs w:val="16"/>
                <w:color w:val="0000FF"/>
                <w:w w:val="78"/>
              </w:rPr>
              <w:t>36</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Item 1A.</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0000FF"/>
            </w:tcBorders>
            <w:gridSpan w:val="3"/>
            <w:shd w:val="clear" w:color="auto" w:fill="CCEEFF"/>
          </w:tcPr>
          <w:p>
            <w:pPr>
              <w:spacing w:after="0" w:line="180" w:lineRule="exact"/>
              <w:rPr>
                <w:sz w:val="20"/>
                <w:szCs w:val="20"/>
                <w:color w:val="auto"/>
              </w:rPr>
            </w:pPr>
            <w:r>
              <w:rPr>
                <w:rFonts w:ascii="Arial" w:cs="Arial" w:eastAsia="Arial" w:hAnsi="Arial"/>
                <w:sz w:val="16"/>
                <w:szCs w:val="16"/>
                <w:color w:val="0000FF"/>
                <w:w w:val="87"/>
              </w:rPr>
              <w:t>Risk Factors</w:t>
            </w:r>
          </w:p>
        </w:tc>
        <w:tc>
          <w:tcPr>
            <w:tcW w:w="7520" w:type="dxa"/>
            <w:vAlign w:val="bottom"/>
            <w:tcBorders>
              <w:bottom w:val="single" w:sz="8" w:color="CCEEFF"/>
            </w:tcBorders>
            <w:gridSpan w:val="14"/>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right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6"/>
                <w:szCs w:val="16"/>
                <w:color w:val="0000FF"/>
                <w:w w:val="78"/>
              </w:rPr>
              <w:t>36</w:t>
            </w:r>
          </w:p>
        </w:tc>
      </w:tr>
      <w:tr>
        <w:trPr>
          <w:trHeight w:val="180"/>
        </w:trPr>
        <w:tc>
          <w:tcPr>
            <w:tcW w:w="20" w:type="dxa"/>
            <w:vAlign w:val="bottom"/>
          </w:tcPr>
          <w:p>
            <w:pPr>
              <w:spacing w:after="0"/>
              <w:rPr>
                <w:sz w:val="15"/>
                <w:szCs w:val="15"/>
                <w:color w:val="auto"/>
              </w:rPr>
            </w:pPr>
          </w:p>
        </w:tc>
        <w:tc>
          <w:tcPr>
            <w:tcW w:w="780" w:type="dxa"/>
            <w:vAlign w:val="bottom"/>
            <w:gridSpan w:val="2"/>
          </w:tcPr>
          <w:p>
            <w:pPr>
              <w:spacing w:after="0" w:line="171" w:lineRule="exact"/>
              <w:rPr>
                <w:sz w:val="20"/>
                <w:szCs w:val="20"/>
                <w:color w:val="auto"/>
              </w:rPr>
            </w:pPr>
            <w:r>
              <w:rPr>
                <w:rFonts w:ascii="Arial" w:cs="Arial" w:eastAsia="Arial" w:hAnsi="Arial"/>
                <w:sz w:val="16"/>
                <w:szCs w:val="16"/>
                <w:color w:val="auto"/>
              </w:rPr>
              <w:t>Item 2.</w:t>
            </w:r>
          </w:p>
        </w:tc>
        <w:tc>
          <w:tcPr>
            <w:tcW w:w="200" w:type="dxa"/>
            <w:vAlign w:val="bottom"/>
          </w:tcPr>
          <w:p>
            <w:pPr>
              <w:spacing w:after="0"/>
              <w:rPr>
                <w:sz w:val="15"/>
                <w:szCs w:val="15"/>
                <w:color w:val="auto"/>
              </w:rPr>
            </w:pPr>
          </w:p>
        </w:tc>
        <w:tc>
          <w:tcPr>
            <w:tcW w:w="8320" w:type="dxa"/>
            <w:vAlign w:val="bottom"/>
            <w:gridSpan w:val="17"/>
          </w:tcPr>
          <w:p>
            <w:pPr>
              <w:spacing w:after="0" w:line="171" w:lineRule="exact"/>
              <w:rPr>
                <w:sz w:val="20"/>
                <w:szCs w:val="20"/>
                <w:color w:val="auto"/>
              </w:rPr>
            </w:pPr>
            <w:r>
              <w:rPr>
                <w:rFonts w:ascii="Arial" w:cs="Arial" w:eastAsia="Arial" w:hAnsi="Arial"/>
                <w:sz w:val="16"/>
                <w:szCs w:val="16"/>
                <w:color w:val="0000FF"/>
              </w:rPr>
              <w:t>Unregistered Sales of Equity Securities and Use of Proceeds</w:t>
            </w:r>
          </w:p>
        </w:tc>
        <w:tc>
          <w:tcPr>
            <w:tcW w:w="1920" w:type="dxa"/>
            <w:vAlign w:val="bottom"/>
            <w:gridSpan w:val="3"/>
          </w:tcPr>
          <w:p>
            <w:pPr>
              <w:jc w:val="right"/>
              <w:spacing w:after="0" w:line="171" w:lineRule="exact"/>
              <w:rPr>
                <w:sz w:val="20"/>
                <w:szCs w:val="20"/>
                <w:color w:val="auto"/>
              </w:rPr>
            </w:pPr>
            <w:r>
              <w:rPr>
                <w:rFonts w:ascii="Arial" w:cs="Arial" w:eastAsia="Arial" w:hAnsi="Arial"/>
                <w:sz w:val="16"/>
                <w:szCs w:val="16"/>
                <w:color w:val="0000FF"/>
              </w:rPr>
              <w:t>66</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Item 3.</w:t>
            </w:r>
          </w:p>
        </w:tc>
        <w:tc>
          <w:tcPr>
            <w:tcW w:w="2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top w:val="single" w:sz="8" w:color="0000FF"/>
              <w:bottom w:val="single" w:sz="8" w:color="0000FF"/>
            </w:tcBorders>
            <w:gridSpan w:val="7"/>
            <w:shd w:val="clear" w:color="auto" w:fill="CCEEFF"/>
          </w:tcPr>
          <w:p>
            <w:pPr>
              <w:spacing w:after="0" w:line="180" w:lineRule="exact"/>
              <w:rPr>
                <w:sz w:val="20"/>
                <w:szCs w:val="20"/>
                <w:color w:val="auto"/>
              </w:rPr>
            </w:pPr>
            <w:r>
              <w:rPr>
                <w:rFonts w:ascii="Arial" w:cs="Arial" w:eastAsia="Arial" w:hAnsi="Arial"/>
                <w:sz w:val="16"/>
                <w:szCs w:val="16"/>
                <w:color w:val="0000FF"/>
                <w:w w:val="89"/>
              </w:rPr>
              <w:t>Defaults Upon Senior Securities</w:t>
            </w:r>
          </w:p>
        </w:tc>
        <w:tc>
          <w:tcPr>
            <w:tcW w:w="176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4520" w:type="dxa"/>
            <w:vAlign w:val="bottom"/>
            <w:tcBorders>
              <w:bottom w:val="single" w:sz="8" w:color="CCEEFF"/>
            </w:tcBorders>
            <w:gridSpan w:val="6"/>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0000FF"/>
              <w:bottom w:val="single" w:sz="8" w:color="0000FF"/>
              <w:right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6"/>
                <w:szCs w:val="16"/>
                <w:color w:val="0000FF"/>
                <w:w w:val="78"/>
              </w:rPr>
              <w:t>66</w:t>
            </w:r>
          </w:p>
        </w:tc>
      </w:tr>
      <w:tr>
        <w:trPr>
          <w:trHeight w:val="180"/>
        </w:trPr>
        <w:tc>
          <w:tcPr>
            <w:tcW w:w="20" w:type="dxa"/>
            <w:vAlign w:val="bottom"/>
          </w:tcPr>
          <w:p>
            <w:pPr>
              <w:spacing w:after="0"/>
              <w:rPr>
                <w:sz w:val="15"/>
                <w:szCs w:val="15"/>
                <w:color w:val="auto"/>
              </w:rPr>
            </w:pPr>
          </w:p>
        </w:tc>
        <w:tc>
          <w:tcPr>
            <w:tcW w:w="780" w:type="dxa"/>
            <w:vAlign w:val="bottom"/>
            <w:gridSpan w:val="2"/>
          </w:tcPr>
          <w:p>
            <w:pPr>
              <w:spacing w:after="0" w:line="171" w:lineRule="exact"/>
              <w:rPr>
                <w:sz w:val="20"/>
                <w:szCs w:val="20"/>
                <w:color w:val="auto"/>
              </w:rPr>
            </w:pPr>
            <w:r>
              <w:rPr>
                <w:rFonts w:ascii="Arial" w:cs="Arial" w:eastAsia="Arial" w:hAnsi="Arial"/>
                <w:sz w:val="16"/>
                <w:szCs w:val="16"/>
                <w:color w:val="auto"/>
              </w:rPr>
              <w:t>Item 4.</w:t>
            </w:r>
          </w:p>
        </w:tc>
        <w:tc>
          <w:tcPr>
            <w:tcW w:w="200" w:type="dxa"/>
            <w:vAlign w:val="bottom"/>
          </w:tcPr>
          <w:p>
            <w:pPr>
              <w:spacing w:after="0"/>
              <w:rPr>
                <w:sz w:val="15"/>
                <w:szCs w:val="15"/>
                <w:color w:val="auto"/>
              </w:rPr>
            </w:pPr>
          </w:p>
        </w:tc>
        <w:tc>
          <w:tcPr>
            <w:tcW w:w="1560" w:type="dxa"/>
            <w:vAlign w:val="bottom"/>
            <w:tcBorders>
              <w:bottom w:val="single" w:sz="8" w:color="0000FF"/>
            </w:tcBorders>
            <w:gridSpan w:val="6"/>
          </w:tcPr>
          <w:p>
            <w:pPr>
              <w:spacing w:after="0" w:line="171" w:lineRule="exact"/>
              <w:rPr>
                <w:sz w:val="20"/>
                <w:szCs w:val="20"/>
                <w:color w:val="auto"/>
              </w:rPr>
            </w:pPr>
            <w:r>
              <w:rPr>
                <w:rFonts w:ascii="Arial" w:cs="Arial" w:eastAsia="Arial" w:hAnsi="Arial"/>
                <w:sz w:val="16"/>
                <w:szCs w:val="16"/>
                <w:color w:val="0000FF"/>
                <w:w w:val="89"/>
              </w:rPr>
              <w:t>Mine Safety Disclosures</w:t>
            </w:r>
          </w:p>
        </w:tc>
        <w:tc>
          <w:tcPr>
            <w:tcW w:w="6760" w:type="dxa"/>
            <w:vAlign w:val="bottom"/>
            <w:gridSpan w:val="11"/>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Borders>
              <w:bottom w:val="single" w:sz="8" w:color="0000FF"/>
            </w:tcBorders>
            <w:gridSpan w:val="2"/>
          </w:tcPr>
          <w:p>
            <w:pPr>
              <w:jc w:val="right"/>
              <w:spacing w:after="0" w:line="171" w:lineRule="exact"/>
              <w:rPr>
                <w:sz w:val="20"/>
                <w:szCs w:val="20"/>
                <w:color w:val="auto"/>
              </w:rPr>
            </w:pPr>
            <w:r>
              <w:rPr>
                <w:rFonts w:ascii="Arial" w:cs="Arial" w:eastAsia="Arial" w:hAnsi="Arial"/>
                <w:sz w:val="16"/>
                <w:szCs w:val="16"/>
                <w:color w:val="0000FF"/>
                <w:w w:val="78"/>
              </w:rPr>
              <w:t>67</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Item 5.</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0000FF"/>
            </w:tcBorders>
            <w:gridSpan w:val="4"/>
            <w:shd w:val="clear" w:color="auto" w:fill="CCEEFF"/>
          </w:tcPr>
          <w:p>
            <w:pPr>
              <w:spacing w:after="0" w:line="180" w:lineRule="exact"/>
              <w:rPr>
                <w:sz w:val="20"/>
                <w:szCs w:val="20"/>
                <w:color w:val="auto"/>
              </w:rPr>
            </w:pPr>
            <w:r>
              <w:rPr>
                <w:rFonts w:ascii="Arial" w:cs="Arial" w:eastAsia="Arial" w:hAnsi="Arial"/>
                <w:sz w:val="16"/>
                <w:szCs w:val="16"/>
                <w:color w:val="0000FF"/>
                <w:w w:val="91"/>
              </w:rPr>
              <w:t>Other Information</w:t>
            </w:r>
          </w:p>
        </w:tc>
        <w:tc>
          <w:tcPr>
            <w:tcW w:w="7160" w:type="dxa"/>
            <w:vAlign w:val="bottom"/>
            <w:tcBorders>
              <w:bottom w:val="single" w:sz="8" w:color="CCEEFF"/>
            </w:tcBorders>
            <w:gridSpan w:val="13"/>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right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6"/>
                <w:szCs w:val="16"/>
                <w:color w:val="0000FF"/>
                <w:w w:val="78"/>
              </w:rPr>
              <w:t>67</w:t>
            </w:r>
          </w:p>
        </w:tc>
      </w:tr>
      <w:tr>
        <w:trPr>
          <w:trHeight w:val="180"/>
        </w:trPr>
        <w:tc>
          <w:tcPr>
            <w:tcW w:w="20" w:type="dxa"/>
            <w:vAlign w:val="bottom"/>
          </w:tcPr>
          <w:p>
            <w:pPr>
              <w:spacing w:after="0"/>
              <w:rPr>
                <w:sz w:val="15"/>
                <w:szCs w:val="15"/>
                <w:color w:val="auto"/>
              </w:rPr>
            </w:pPr>
          </w:p>
        </w:tc>
        <w:tc>
          <w:tcPr>
            <w:tcW w:w="780" w:type="dxa"/>
            <w:vAlign w:val="bottom"/>
            <w:gridSpan w:val="2"/>
          </w:tcPr>
          <w:p>
            <w:pPr>
              <w:spacing w:after="0" w:line="171" w:lineRule="exact"/>
              <w:rPr>
                <w:sz w:val="20"/>
                <w:szCs w:val="20"/>
                <w:color w:val="auto"/>
              </w:rPr>
            </w:pPr>
            <w:r>
              <w:rPr>
                <w:rFonts w:ascii="Arial" w:cs="Arial" w:eastAsia="Arial" w:hAnsi="Arial"/>
                <w:sz w:val="16"/>
                <w:szCs w:val="16"/>
                <w:color w:val="auto"/>
              </w:rPr>
              <w:t>Item 6.</w:t>
            </w:r>
          </w:p>
        </w:tc>
        <w:tc>
          <w:tcPr>
            <w:tcW w:w="200" w:type="dxa"/>
            <w:vAlign w:val="bottom"/>
          </w:tcPr>
          <w:p>
            <w:pPr>
              <w:spacing w:after="0"/>
              <w:rPr>
                <w:sz w:val="15"/>
                <w:szCs w:val="15"/>
                <w:color w:val="auto"/>
              </w:rPr>
            </w:pPr>
          </w:p>
        </w:tc>
        <w:tc>
          <w:tcPr>
            <w:tcW w:w="540" w:type="dxa"/>
            <w:vAlign w:val="bottom"/>
            <w:tcBorders>
              <w:bottom w:val="single" w:sz="8" w:color="0000FF"/>
            </w:tcBorders>
          </w:tcPr>
          <w:p>
            <w:pPr>
              <w:spacing w:after="0" w:line="171" w:lineRule="exact"/>
              <w:rPr>
                <w:sz w:val="20"/>
                <w:szCs w:val="20"/>
                <w:color w:val="auto"/>
              </w:rPr>
            </w:pPr>
            <w:r>
              <w:rPr>
                <w:rFonts w:ascii="Arial" w:cs="Arial" w:eastAsia="Arial" w:hAnsi="Arial"/>
                <w:sz w:val="16"/>
                <w:szCs w:val="16"/>
                <w:color w:val="0000FF"/>
                <w:w w:val="92"/>
              </w:rPr>
              <w:t>Exhibits</w:t>
            </w:r>
          </w:p>
        </w:tc>
        <w:tc>
          <w:tcPr>
            <w:tcW w:w="7780" w:type="dxa"/>
            <w:vAlign w:val="bottom"/>
            <w:gridSpan w:val="16"/>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Borders>
              <w:bottom w:val="single" w:sz="8" w:color="0000FF"/>
            </w:tcBorders>
            <w:gridSpan w:val="2"/>
          </w:tcPr>
          <w:p>
            <w:pPr>
              <w:jc w:val="right"/>
              <w:spacing w:after="0" w:line="171" w:lineRule="exact"/>
              <w:rPr>
                <w:sz w:val="20"/>
                <w:szCs w:val="20"/>
                <w:color w:val="auto"/>
              </w:rPr>
            </w:pPr>
            <w:r>
              <w:rPr>
                <w:rFonts w:ascii="Arial" w:cs="Arial" w:eastAsia="Arial" w:hAnsi="Arial"/>
                <w:sz w:val="16"/>
                <w:szCs w:val="16"/>
                <w:color w:val="0000FF"/>
                <w:w w:val="78"/>
              </w:rPr>
              <w:t>67</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FF"/>
            </w:tcBorders>
            <w:gridSpan w:val="2"/>
            <w:shd w:val="clear" w:color="auto" w:fill="CCEEFF"/>
          </w:tcPr>
          <w:p>
            <w:pPr>
              <w:spacing w:after="0" w:line="180" w:lineRule="exact"/>
              <w:rPr>
                <w:sz w:val="20"/>
                <w:szCs w:val="20"/>
                <w:color w:val="auto"/>
              </w:rPr>
            </w:pPr>
            <w:r>
              <w:rPr>
                <w:rFonts w:ascii="Arial" w:cs="Arial" w:eastAsia="Arial" w:hAnsi="Arial"/>
                <w:sz w:val="16"/>
                <w:szCs w:val="16"/>
                <w:color w:val="0000FF"/>
                <w:w w:val="86"/>
              </w:rPr>
              <w:t>Signatures</w:t>
            </w:r>
          </w:p>
        </w:tc>
        <w:tc>
          <w:tcPr>
            <w:tcW w:w="7640" w:type="dxa"/>
            <w:vAlign w:val="bottom"/>
            <w:tcBorders>
              <w:bottom w:val="single" w:sz="8" w:color="CCEEFF"/>
            </w:tcBorders>
            <w:gridSpan w:val="15"/>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right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6"/>
                <w:szCs w:val="16"/>
                <w:color w:val="0000FF"/>
                <w:w w:val="78"/>
              </w:rPr>
              <w:t>69</w:t>
            </w:r>
          </w:p>
        </w:tc>
      </w:tr>
    </w:tbl>
    <w:p>
      <w:pPr>
        <w:sectPr>
          <w:pgSz w:w="11900" w:h="16838" w:orient="portrait"/>
          <w:cols w:equalWidth="0" w:num="1">
            <w:col w:w="11240"/>
          </w:cols>
          <w:pgMar w:left="320" w:top="3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b w:val="1"/>
          <w:bCs w:val="1"/>
          <w:color w:val="auto"/>
        </w:rPr>
        <w:t>Part I – Financial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 Looking Statements</w:t>
      </w:r>
    </w:p>
    <w:p>
      <w:pPr>
        <w:spacing w:after="0" w:line="224" w:lineRule="exact"/>
        <w:rPr>
          <w:sz w:val="20"/>
          <w:szCs w:val="20"/>
          <w:color w:val="auto"/>
        </w:rPr>
      </w:pPr>
    </w:p>
    <w:p>
      <w:pPr>
        <w:ind w:firstLine="315"/>
        <w:spacing w:after="0" w:line="265" w:lineRule="auto"/>
        <w:rPr>
          <w:sz w:val="20"/>
          <w:szCs w:val="20"/>
          <w:color w:val="auto"/>
        </w:rPr>
      </w:pPr>
      <w:r>
        <w:rPr>
          <w:rFonts w:ascii="Arial" w:cs="Arial" w:eastAsia="Arial" w:hAnsi="Arial"/>
          <w:sz w:val="15"/>
          <w:szCs w:val="15"/>
          <w:color w:val="auto"/>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w:t>
      </w:r>
    </w:p>
    <w:p>
      <w:pPr>
        <w:spacing w:after="0" w:line="246" w:lineRule="auto"/>
        <w:rPr>
          <w:sz w:val="20"/>
          <w:szCs w:val="20"/>
          <w:color w:val="auto"/>
        </w:rPr>
      </w:pPr>
      <w:r>
        <w:rPr>
          <w:rFonts w:ascii="Arial" w:cs="Arial" w:eastAsia="Arial" w:hAnsi="Arial"/>
          <w:sz w:val="15"/>
          <w:szCs w:val="15"/>
          <w:color w:val="auto"/>
        </w:rPr>
        <w:t>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w:t>
      </w:r>
    </w:p>
    <w:p>
      <w:pPr>
        <w:spacing w:after="0" w:line="225" w:lineRule="auto"/>
        <w:rPr>
          <w:sz w:val="20"/>
          <w:szCs w:val="20"/>
          <w:color w:val="auto"/>
        </w:rPr>
      </w:pPr>
      <w:r>
        <w:rPr>
          <w:rFonts w:ascii="Arial" w:cs="Arial" w:eastAsia="Arial" w:hAnsi="Arial"/>
          <w:sz w:val="17"/>
          <w:szCs w:val="17"/>
          <w:color w:val="auto"/>
        </w:rPr>
        <w:t>"project," "plan," "intend," "believe," "may," "will," "should," "can have," "likely" and other words and terms of similar meaning in connection with any</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discussion of the timing or nature of future cash flows, operating or financial performance or other events. These forward looking statements are not historical facts, and are based on current expectations, estimates and projections about our industry and Company, management’s beliefs and certain assumptions made by</w:t>
      </w:r>
    </w:p>
    <w:p>
      <w:pPr>
        <w:spacing w:after="0" w:line="255" w:lineRule="auto"/>
        <w:rPr>
          <w:sz w:val="20"/>
          <w:szCs w:val="20"/>
          <w:color w:val="auto"/>
        </w:rPr>
      </w:pPr>
      <w:r>
        <w:rPr>
          <w:rFonts w:ascii="Arial" w:cs="Arial" w:eastAsia="Arial" w:hAnsi="Arial"/>
          <w:sz w:val="15"/>
          <w:szCs w:val="15"/>
          <w:color w:val="auto"/>
        </w:rPr>
        <w:t>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believe that the expectations reflected in such forward looking statements are reasonable as of the date made, results may prove to be materially different. Unless otherwise required by law, we disclaim any obligation to update our view of any such risks or uncertainties or to announce publicly the result of 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revisions to the forward-looking statements made in this report.</w:t>
      </w:r>
    </w:p>
    <w:p>
      <w:pPr>
        <w:spacing w:after="0" w:line="210" w:lineRule="exact"/>
        <w:rPr>
          <w:sz w:val="20"/>
          <w:szCs w:val="20"/>
          <w:color w:val="auto"/>
        </w:rPr>
      </w:pPr>
    </w:p>
    <w:p>
      <w:pPr>
        <w:ind w:firstLine="315"/>
        <w:spacing w:after="0" w:line="241" w:lineRule="auto"/>
        <w:rPr>
          <w:sz w:val="20"/>
          <w:szCs w:val="20"/>
          <w:color w:val="auto"/>
        </w:rPr>
      </w:pPr>
      <w:r>
        <w:rPr>
          <w:rFonts w:ascii="Arial" w:cs="Arial" w:eastAsia="Arial" w:hAnsi="Arial"/>
          <w:sz w:val="17"/>
          <w:szCs w:val="17"/>
          <w:color w:val="auto"/>
        </w:rPr>
        <w:t>Factors that could cause our actual results and our financial condition to differ materially from those indicated in our forward looking statements include, but are not limited to, the following:</w:t>
      </w:r>
    </w:p>
    <w:p>
      <w:pPr>
        <w:spacing w:after="0" w:line="217" w:lineRule="exact"/>
        <w:rPr>
          <w:sz w:val="20"/>
          <w:szCs w:val="20"/>
          <w:color w:val="auto"/>
        </w:rPr>
      </w:pPr>
    </w:p>
    <w:p>
      <w:pPr>
        <w:ind w:left="620" w:hanging="300"/>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trends in the cannabis industry and SpringBig market size, including with respect to the potential total addressable market in the industry;</w:t>
      </w:r>
    </w:p>
    <w:p>
      <w:pPr>
        <w:spacing w:after="0" w:line="10" w:lineRule="exact"/>
        <w:rPr>
          <w:rFonts w:ascii="Arial" w:cs="Arial" w:eastAsia="Arial" w:hAnsi="Arial"/>
          <w:sz w:val="21"/>
          <w:szCs w:val="21"/>
          <w:color w:val="auto"/>
        </w:rPr>
      </w:pPr>
    </w:p>
    <w:p>
      <w:pPr>
        <w:ind w:left="620" w:hanging="300"/>
        <w:spacing w:after="0" w:line="224"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SpringBig’s growth prospects;</w:t>
      </w:r>
    </w:p>
    <w:p>
      <w:pPr>
        <w:spacing w:after="0" w:line="10" w:lineRule="exact"/>
        <w:rPr>
          <w:rFonts w:ascii="Arial" w:cs="Arial" w:eastAsia="Arial" w:hAnsi="Arial"/>
          <w:sz w:val="21"/>
          <w:szCs w:val="21"/>
          <w:color w:val="auto"/>
        </w:rPr>
      </w:pPr>
    </w:p>
    <w:p>
      <w:pPr>
        <w:ind w:left="620" w:hanging="300"/>
        <w:spacing w:after="0" w:line="224"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new product and service offerings SpringBig may introduce in the future;</w:t>
      </w:r>
    </w:p>
    <w:p>
      <w:pPr>
        <w:spacing w:after="0" w:line="14" w:lineRule="exact"/>
        <w:rPr>
          <w:rFonts w:ascii="Arial" w:cs="Arial" w:eastAsia="Arial" w:hAnsi="Arial"/>
          <w:sz w:val="21"/>
          <w:szCs w:val="21"/>
          <w:color w:val="auto"/>
        </w:rPr>
      </w:pPr>
    </w:p>
    <w:p>
      <w:pPr>
        <w:jc w:val="both"/>
        <w:ind w:left="640" w:hanging="320"/>
        <w:spacing w:after="0" w:line="233"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spacing w:after="0" w:line="15" w:lineRule="exact"/>
        <w:rPr>
          <w:rFonts w:ascii="Arial" w:cs="Arial" w:eastAsia="Arial" w:hAnsi="Arial"/>
          <w:sz w:val="21"/>
          <w:szCs w:val="21"/>
          <w:color w:val="auto"/>
        </w:rPr>
      </w:pPr>
    </w:p>
    <w:p>
      <w:pPr>
        <w:ind w:left="640" w:hanging="320"/>
        <w:spacing w:after="0" w:line="229"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ability to implement business plans, forecasts, and other expectations after the completion of the proposed business combination, and identify and realize additional opportunities; and</w:t>
      </w:r>
    </w:p>
    <w:p>
      <w:pPr>
        <w:spacing w:after="0" w:line="1" w:lineRule="exact"/>
        <w:rPr>
          <w:rFonts w:ascii="Arial" w:cs="Arial" w:eastAsia="Arial" w:hAnsi="Arial"/>
          <w:sz w:val="21"/>
          <w:szCs w:val="21"/>
          <w:color w:val="auto"/>
        </w:rPr>
      </w:pPr>
    </w:p>
    <w:p>
      <w:pPr>
        <w:ind w:left="620" w:hanging="300"/>
        <w:spacing w:after="0" w:line="234"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other risks and uncertainties indicated from time to time in filings made with the Securities and Exchange Commission (the “SEC”).</w:t>
      </w:r>
    </w:p>
    <w:p>
      <w:pPr>
        <w:spacing w:after="0" w:line="198"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5"/>
          <w:szCs w:val="15"/>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Factors” and in our periodic filings with the SEC. Our SEC filings are available publicly on the SEC’s website at www.sec.gov.</w:t>
      </w:r>
    </w:p>
    <w:p>
      <w:pPr>
        <w:spacing w:after="0" w:line="210" w:lineRule="exact"/>
        <w:rPr>
          <w:sz w:val="20"/>
          <w:szCs w:val="20"/>
          <w:color w:val="auto"/>
        </w:rPr>
      </w:pPr>
    </w:p>
    <w:p>
      <w:pPr>
        <w:jc w:val="both"/>
        <w:ind w:firstLine="315"/>
        <w:spacing w:after="0"/>
        <w:rPr>
          <w:sz w:val="20"/>
          <w:szCs w:val="20"/>
          <w:color w:val="auto"/>
        </w:rPr>
      </w:pPr>
      <w:r>
        <w:rPr>
          <w:rFonts w:ascii="Arial" w:cs="Arial" w:eastAsia="Arial" w:hAnsi="Arial"/>
          <w:sz w:val="16"/>
          <w:szCs w:val="16"/>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w:t>
      </w:r>
    </w:p>
    <w:p>
      <w:pPr>
        <w:spacing w:after="0"/>
        <w:rPr>
          <w:sz w:val="20"/>
          <w:szCs w:val="20"/>
          <w:color w:val="auto"/>
        </w:rPr>
      </w:pPr>
      <w:r>
        <w:rPr>
          <w:rFonts w:ascii="Arial" w:cs="Arial" w:eastAsia="Arial" w:hAnsi="Arial"/>
          <w:sz w:val="17"/>
          <w:szCs w:val="17"/>
          <w:color w:val="auto"/>
        </w:rPr>
        <w:t>these cautionary statements.</w:t>
      </w:r>
    </w:p>
    <w:p>
      <w:pPr>
        <w:sectPr>
          <w:pgSz w:w="11900" w:h="16838" w:orient="portrait"/>
          <w:cols w:equalWidth="0" w:num="1">
            <w:col w:w="11240"/>
          </w:cols>
          <w:pgMar w:left="320" w:top="912"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Item 1. Financial Statements</w:t>
      </w:r>
    </w:p>
    <w:p>
      <w:pPr>
        <w:jc w:val="center"/>
        <w:spacing w:after="0"/>
        <w:rPr>
          <w:sz w:val="20"/>
          <w:szCs w:val="20"/>
          <w:color w:val="auto"/>
        </w:rPr>
      </w:pPr>
      <w:r>
        <w:rPr>
          <w:rFonts w:ascii="Arial" w:cs="Arial" w:eastAsia="Arial" w:hAnsi="Arial"/>
          <w:sz w:val="17"/>
          <w:szCs w:val="17"/>
          <w:b w:val="1"/>
          <w:bCs w:val="1"/>
          <w:color w:val="auto"/>
        </w:rPr>
        <w:t>SPRINGBIG HOLDINGS,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June 30, 2022</w:t>
            </w:r>
          </w:p>
        </w:tc>
        <w:tc>
          <w:tcPr>
            <w:tcW w:w="172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b w:val="1"/>
                <w:bCs w:val="1"/>
                <w:color w:val="auto"/>
                <w:w w:val="97"/>
              </w:rPr>
              <w:t>December, 31, 2021*</w:t>
            </w: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 except share data)</w:t>
            </w: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3580"/>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14,179</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2,227</w:t>
            </w:r>
          </w:p>
        </w:tc>
        <w:tc>
          <w:tcPr>
            <w:tcW w:w="0" w:type="dxa"/>
            <w:vAlign w:val="bottom"/>
          </w:tcPr>
          <w:p>
            <w:pPr>
              <w:spacing w:after="0"/>
              <w:rPr>
                <w:sz w:val="1"/>
                <w:szCs w:val="1"/>
                <w:color w:val="auto"/>
              </w:rPr>
            </w:pPr>
          </w:p>
        </w:tc>
      </w:tr>
      <w:tr>
        <w:trPr>
          <w:trHeight w:val="223"/>
        </w:trPr>
        <w:tc>
          <w:tcPr>
            <w:tcW w:w="7800" w:type="dxa"/>
            <w:vAlign w:val="bottom"/>
          </w:tcPr>
          <w:p>
            <w:pPr>
              <w:ind w:left="120"/>
              <w:spacing w:after="0"/>
              <w:rPr>
                <w:sz w:val="20"/>
                <w:szCs w:val="20"/>
                <w:color w:val="auto"/>
              </w:rPr>
            </w:pPr>
            <w:r>
              <w:rPr>
                <w:rFonts w:ascii="Arial" w:cs="Arial" w:eastAsia="Arial" w:hAnsi="Arial"/>
                <w:sz w:val="17"/>
                <w:szCs w:val="17"/>
                <w:color w:val="auto"/>
              </w:rPr>
              <w:t>Accounts receivable,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3,597</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3,045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Contract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2,742</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6,563</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471</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 receivable</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24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21,563</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7,043</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00"/>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3,532</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23"/>
        </w:trPr>
        <w:tc>
          <w:tcPr>
            <w:tcW w:w="7800" w:type="dxa"/>
            <w:vAlign w:val="bottom"/>
          </w:tcPr>
          <w:p>
            <w:pPr>
              <w:ind w:left="240"/>
              <w:spacing w:after="0"/>
              <w:rPr>
                <w:sz w:val="20"/>
                <w:szCs w:val="20"/>
                <w:color w:val="auto"/>
              </w:rPr>
            </w:pPr>
            <w:r>
              <w:rPr>
                <w:rFonts w:ascii="Arial" w:cs="Arial" w:eastAsia="Arial" w:hAnsi="Arial"/>
                <w:sz w:val="17"/>
                <w:szCs w:val="17"/>
                <w:color w:val="auto"/>
              </w:rPr>
              <w:t>Accrued expense and other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3,018</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1,722</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6,977</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2,584</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Senior secured convertible notes, at estimated fair value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Warrant liabilities, at estimated fair value</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1,616</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18,436</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2,584</w:t>
            </w:r>
          </w:p>
        </w:tc>
        <w:tc>
          <w:tcPr>
            <w:tcW w:w="0" w:type="dxa"/>
            <w:vAlign w:val="bottom"/>
          </w:tcPr>
          <w:p>
            <w:pPr>
              <w:spacing w:after="0"/>
              <w:rPr>
                <w:sz w:val="1"/>
                <w:szCs w:val="1"/>
                <w:color w:val="auto"/>
              </w:rPr>
            </w:pPr>
          </w:p>
        </w:tc>
      </w:tr>
      <w:tr>
        <w:trPr>
          <w:trHeight w:val="124"/>
        </w:trPr>
        <w:tc>
          <w:tcPr>
            <w:tcW w:w="7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800" w:type="dxa"/>
            <w:vAlign w:val="bottom"/>
          </w:tcPr>
          <w:p>
            <w:pPr>
              <w:ind w:left="120"/>
              <w:spacing w:after="0" w:line="171" w:lineRule="exact"/>
              <w:rPr>
                <w:sz w:val="20"/>
                <w:szCs w:val="20"/>
                <w:color w:val="auto"/>
              </w:rPr>
            </w:pPr>
            <w:r>
              <w:rPr>
                <w:rFonts w:ascii="Arial" w:cs="Arial" w:eastAsia="Arial" w:hAnsi="Arial"/>
                <w:sz w:val="17"/>
                <w:szCs w:val="17"/>
                <w:color w:val="auto"/>
                <w:w w:val="99"/>
              </w:rPr>
              <w:t xml:space="preserve">Common stock </w:t>
            </w:r>
            <w:r>
              <w:rPr>
                <w:rFonts w:ascii="Arial" w:cs="Arial" w:eastAsia="Arial" w:hAnsi="Arial"/>
                <w:sz w:val="13"/>
                <w:szCs w:val="13"/>
                <w:color w:val="auto"/>
                <w:w w:val="99"/>
              </w:rPr>
              <w:t>(par value $0.0001 per share, 300,000,000 authorized at June 30, 2022; 25,290,270 issued and outstanding as of</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800" w:type="dxa"/>
            <w:vAlign w:val="bottom"/>
          </w:tcPr>
          <w:p>
            <w:pPr>
              <w:ind w:left="120"/>
              <w:spacing w:after="0" w:line="139" w:lineRule="exact"/>
              <w:rPr>
                <w:sz w:val="20"/>
                <w:szCs w:val="20"/>
                <w:color w:val="auto"/>
              </w:rPr>
            </w:pPr>
            <w:r>
              <w:rPr>
                <w:rFonts w:ascii="Arial" w:cs="Arial" w:eastAsia="Arial" w:hAnsi="Arial"/>
                <w:sz w:val="14"/>
                <w:szCs w:val="14"/>
                <w:color w:val="auto"/>
                <w:w w:val="92"/>
              </w:rPr>
              <w:t>June 30, 2022; (par value $0.0001 per share, 22,764,527 authorized at December 31, 2021; 17,862,108 issued and outstanding as of</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2"/>
                <w:szCs w:val="12"/>
                <w:color w:val="auto"/>
              </w:rPr>
            </w:pPr>
          </w:p>
        </w:tc>
        <w:tc>
          <w:tcPr>
            <w:tcW w:w="1040" w:type="dxa"/>
            <w:vAlign w:val="bottom"/>
            <w:vMerge w:val="restart"/>
          </w:tcPr>
          <w:p>
            <w:pPr>
              <w:jc w:val="right"/>
              <w:ind w:right="833"/>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2"/>
        </w:trPr>
        <w:tc>
          <w:tcPr>
            <w:tcW w:w="7800" w:type="dxa"/>
            <w:vAlign w:val="bottom"/>
          </w:tcPr>
          <w:p>
            <w:pPr>
              <w:ind w:left="120"/>
              <w:spacing w:after="0"/>
              <w:rPr>
                <w:sz w:val="20"/>
                <w:szCs w:val="20"/>
                <w:color w:val="auto"/>
              </w:rPr>
            </w:pPr>
            <w:r>
              <w:rPr>
                <w:rFonts w:ascii="Arial" w:cs="Arial" w:eastAsia="Arial" w:hAnsi="Arial"/>
                <w:sz w:val="14"/>
                <w:szCs w:val="14"/>
                <w:color w:val="auto"/>
              </w:rPr>
              <w:t>December 31, 2021;</w:t>
            </w:r>
          </w:p>
        </w:tc>
        <w:tc>
          <w:tcPr>
            <w:tcW w:w="2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Additional paid-in-capital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17,682</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Accumulated deficit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(18,701)</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(13,225)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3,127</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4,459</w:t>
            </w:r>
          </w:p>
        </w:tc>
        <w:tc>
          <w:tcPr>
            <w:tcW w:w="0" w:type="dxa"/>
            <w:vAlign w:val="bottom"/>
          </w:tcPr>
          <w:p>
            <w:pPr>
              <w:spacing w:after="0"/>
              <w:rPr>
                <w:sz w:val="1"/>
                <w:szCs w:val="1"/>
                <w:color w:val="auto"/>
              </w:rPr>
            </w:pPr>
          </w:p>
        </w:tc>
      </w:tr>
      <w:tr>
        <w:trPr>
          <w:trHeight w:val="216"/>
        </w:trPr>
        <w:tc>
          <w:tcPr>
            <w:tcW w:w="7800" w:type="dxa"/>
            <w:vAlign w:val="bottom"/>
          </w:tcPr>
          <w:p>
            <w:pPr>
              <w:ind w:left="34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21,563</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*Derived from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1</w:t>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240"/>
          </w:cols>
          <w:pgMar w:left="320" w:top="35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SPRINGBIG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720" w:type="dxa"/>
            <w:vAlign w:val="bottom"/>
            <w:gridSpan w:val="5"/>
            <w:shd w:val="clear" w:color="auto" w:fill="CCEEFF"/>
          </w:tcPr>
          <w:p>
            <w:pPr>
              <w:ind w:left="60"/>
              <w:spacing w:after="0"/>
              <w:rPr>
                <w:sz w:val="20"/>
                <w:szCs w:val="20"/>
                <w:color w:val="auto"/>
              </w:rPr>
            </w:pPr>
            <w:r>
              <w:rPr>
                <w:rFonts w:ascii="Arial" w:cs="Arial" w:eastAsia="Arial" w:hAnsi="Arial"/>
                <w:sz w:val="17"/>
                <w:szCs w:val="17"/>
                <w:b w:val="1"/>
                <w:bCs w:val="1"/>
                <w:color w:val="auto"/>
              </w:rPr>
              <w:t>Three Months Ended June 30,</w:t>
            </w:r>
          </w:p>
        </w:tc>
        <w:tc>
          <w:tcPr>
            <w:tcW w:w="220" w:type="dxa"/>
            <w:vAlign w:val="bottom"/>
            <w:shd w:val="clear" w:color="auto" w:fill="CCEEFF"/>
          </w:tcPr>
          <w:p>
            <w:pPr>
              <w:spacing w:after="0"/>
              <w:rPr>
                <w:sz w:val="19"/>
                <w:szCs w:val="19"/>
                <w:color w:val="auto"/>
              </w:rPr>
            </w:pPr>
          </w:p>
        </w:tc>
        <w:tc>
          <w:tcPr>
            <w:tcW w:w="2520" w:type="dxa"/>
            <w:vAlign w:val="bottom"/>
            <w:gridSpan w:val="4"/>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98"/>
              </w:rPr>
              <w:t>Six Months Ended June 30,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0"/>
        </w:trPr>
        <w:tc>
          <w:tcPr>
            <w:tcW w:w="5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ind w:left="12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11,013</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9,107</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7,554</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Selling, servicing and marketing</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4,520</w:t>
            </w:r>
          </w:p>
        </w:tc>
        <w:tc>
          <w:tcPr>
            <w:tcW w:w="0" w:type="dxa"/>
            <w:vAlign w:val="bottom"/>
          </w:tcPr>
          <w:p>
            <w:pPr>
              <w:spacing w:after="0"/>
              <w:rPr>
                <w:sz w:val="1"/>
                <w:szCs w:val="1"/>
                <w:color w:val="auto"/>
              </w:rPr>
            </w:pPr>
          </w:p>
        </w:tc>
      </w:tr>
      <w:tr>
        <w:trPr>
          <w:trHeight w:val="223"/>
        </w:trPr>
        <w:tc>
          <w:tcPr>
            <w:tcW w:w="5600" w:type="dxa"/>
            <w:vAlign w:val="bottom"/>
          </w:tcPr>
          <w:p>
            <w:pPr>
              <w:ind w:left="100"/>
              <w:spacing w:after="0"/>
              <w:rPr>
                <w:sz w:val="20"/>
                <w:szCs w:val="20"/>
                <w:color w:val="auto"/>
              </w:rPr>
            </w:pPr>
            <w:r>
              <w:rPr>
                <w:rFonts w:ascii="Arial" w:cs="Arial" w:eastAsia="Arial" w:hAnsi="Arial"/>
                <w:sz w:val="17"/>
                <w:szCs w:val="17"/>
                <w:color w:val="auto"/>
              </w:rPr>
              <w:t>Technology and software development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5,547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3,376</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2,232</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17,162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10,128</w:t>
            </w:r>
          </w:p>
        </w:tc>
        <w:tc>
          <w:tcPr>
            <w:tcW w:w="0" w:type="dxa"/>
            <w:vAlign w:val="bottom"/>
          </w:tcPr>
          <w:p>
            <w:pPr>
              <w:spacing w:after="0"/>
              <w:rPr>
                <w:sz w:val="1"/>
                <w:szCs w:val="1"/>
                <w:color w:val="auto"/>
              </w:rPr>
            </w:pPr>
          </w:p>
        </w:tc>
      </w:tr>
      <w:tr>
        <w:trPr>
          <w:trHeight w:val="85"/>
        </w:trPr>
        <w:tc>
          <w:tcPr>
            <w:tcW w:w="5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(1,455)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(8,055)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(2,574)</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5600" w:type="dxa"/>
            <w:vAlign w:val="bottom"/>
          </w:tcPr>
          <w:p>
            <w:pPr>
              <w:ind w:left="12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fair value of senior secured convertible note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600" w:type="dxa"/>
            <w:vAlign w:val="bottom"/>
          </w:tcPr>
          <w:p>
            <w:pPr>
              <w:ind w:left="120"/>
              <w:spacing w:after="0"/>
              <w:rPr>
                <w:sz w:val="20"/>
                <w:szCs w:val="20"/>
                <w:color w:val="auto"/>
              </w:rPr>
            </w:pPr>
            <w:r>
              <w:rPr>
                <w:rFonts w:ascii="Arial" w:cs="Arial" w:eastAsia="Arial" w:hAnsi="Arial"/>
                <w:sz w:val="17"/>
                <w:szCs w:val="17"/>
                <w:color w:val="auto"/>
              </w:rPr>
              <w:t>Change in fair value of warrants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2,880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(2,611)</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(5,476)</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(2,572)</w:t>
            </w:r>
          </w:p>
        </w:tc>
        <w:tc>
          <w:tcPr>
            <w:tcW w:w="0" w:type="dxa"/>
            <w:vAlign w:val="bottom"/>
          </w:tcPr>
          <w:p>
            <w:pPr>
              <w:spacing w:after="0"/>
              <w:rPr>
                <w:sz w:val="1"/>
                <w:szCs w:val="1"/>
                <w:color w:val="auto"/>
              </w:rPr>
            </w:pPr>
          </w:p>
        </w:tc>
      </w:tr>
      <w:tr>
        <w:trPr>
          <w:trHeight w:val="223"/>
        </w:trPr>
        <w:tc>
          <w:tcPr>
            <w:tcW w:w="5600" w:type="dxa"/>
            <w:vAlign w:val="bottom"/>
          </w:tcPr>
          <w:p>
            <w:pPr>
              <w:ind w:left="240"/>
              <w:spacing w:after="0"/>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loss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60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19,285,050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17,767,554</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18,586,515</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17,749,178</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2</w:t>
      </w:r>
    </w:p>
    <w:p>
      <w:pPr>
        <w:spacing w:after="0" w:line="1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240"/>
          </w:cols>
          <w:pgMar w:left="320" w:top="34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SPRINGBIG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Six Months Ended June 30, 2022</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b w:val="1"/>
                <w:bCs w:val="1"/>
                <w:color w:val="auto"/>
                <w:w w:val="95"/>
              </w:rPr>
              <w:t>Additional Paid-</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b w:val="1"/>
                <w:bCs w:val="1"/>
                <w:color w:val="auto"/>
                <w:w w:val="91"/>
              </w:rPr>
              <w:t>Accumulated</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6"/>
        </w:trPr>
        <w:tc>
          <w:tcPr>
            <w:tcW w:w="38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w w:val="91"/>
              </w:rPr>
              <w:t>Common Stock</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b w:val="1"/>
                <w:bCs w:val="1"/>
                <w:color w:val="auto"/>
                <w:w w:val="97"/>
              </w:rPr>
              <w:t>in- Capital</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b w:val="1"/>
                <w:bCs w:val="1"/>
                <w:color w:val="auto"/>
                <w:w w:val="96"/>
              </w:rPr>
              <w:t>Deficit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73"/>
              <w:spacing w:after="0"/>
              <w:rPr>
                <w:sz w:val="20"/>
                <w:szCs w:val="20"/>
                <w:color w:val="auto"/>
              </w:rPr>
            </w:pPr>
            <w:r>
              <w:rPr>
                <w:rFonts w:ascii="Arial" w:cs="Arial" w:eastAsia="Arial" w:hAnsi="Arial"/>
                <w:sz w:val="17"/>
                <w:szCs w:val="17"/>
                <w:b w:val="1"/>
                <w:bCs w:val="1"/>
                <w:color w:val="auto"/>
              </w:rPr>
              <w:t>Total</w:t>
            </w:r>
          </w:p>
        </w:tc>
      </w:tr>
      <w:tr>
        <w:trPr>
          <w:trHeight w:val="223"/>
        </w:trPr>
        <w:tc>
          <w:tcPr>
            <w:tcW w:w="38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7"/>
                <w:szCs w:val="17"/>
                <w:b w:val="1"/>
                <w:bCs w:val="1"/>
                <w:color w:val="auto"/>
                <w:w w:val="88"/>
              </w:rPr>
              <w:t>Shares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Amount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90"/>
        </w:trPr>
        <w:tc>
          <w:tcPr>
            <w:tcW w:w="38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40" w:type="dxa"/>
            <w:vAlign w:val="bottom"/>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 except share data)</w:t>
            </w: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7"/>
                <w:szCs w:val="17"/>
                <w:color w:val="auto"/>
              </w:rPr>
              <w:t>Balance at December 31, 2021</w:t>
            </w:r>
          </w:p>
        </w:tc>
        <w:tc>
          <w:tcPr>
            <w:tcW w:w="1620" w:type="dxa"/>
            <w:vAlign w:val="bottom"/>
          </w:tcPr>
          <w:p>
            <w:pPr>
              <w:jc w:val="right"/>
              <w:spacing w:after="0"/>
              <w:rPr>
                <w:sz w:val="20"/>
                <w:szCs w:val="20"/>
                <w:color w:val="auto"/>
              </w:rPr>
            </w:pPr>
            <w:r>
              <w:rPr>
                <w:rFonts w:ascii="Arial" w:cs="Arial" w:eastAsia="Arial" w:hAnsi="Arial"/>
                <w:sz w:val="17"/>
                <w:szCs w:val="17"/>
                <w:color w:val="auto"/>
              </w:rPr>
              <w:t>17,862,108</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17,682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(13,225)</w:t>
            </w:r>
          </w:p>
        </w:tc>
        <w:tc>
          <w:tcPr>
            <w:tcW w:w="14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4,459</w:t>
            </w:r>
          </w:p>
        </w:tc>
      </w:tr>
      <w:tr>
        <w:trPr>
          <w:trHeight w:val="223"/>
        </w:trPr>
        <w:tc>
          <w:tcPr>
            <w:tcW w:w="3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Stock-based compensation</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w:t>
            </w:r>
          </w:p>
        </w:tc>
      </w:tr>
      <w:tr>
        <w:trPr>
          <w:trHeight w:val="223"/>
        </w:trPr>
        <w:tc>
          <w:tcPr>
            <w:tcW w:w="3820" w:type="dxa"/>
            <w:vAlign w:val="bottom"/>
          </w:tcPr>
          <w:p>
            <w:pPr>
              <w:ind w:left="120"/>
              <w:spacing w:after="0"/>
              <w:rPr>
                <w:sz w:val="20"/>
                <w:szCs w:val="20"/>
                <w:color w:val="auto"/>
              </w:rPr>
            </w:pPr>
            <w:r>
              <w:rPr>
                <w:rFonts w:ascii="Arial" w:cs="Arial" w:eastAsia="Arial" w:hAnsi="Arial"/>
                <w:sz w:val="17"/>
                <w:szCs w:val="17"/>
                <w:color w:val="auto"/>
              </w:rPr>
              <w:t>Exercise of stock options</w:t>
            </w:r>
          </w:p>
        </w:tc>
        <w:tc>
          <w:tcPr>
            <w:tcW w:w="1620" w:type="dxa"/>
            <w:vAlign w:val="bottom"/>
          </w:tcPr>
          <w:p>
            <w:pPr>
              <w:jc w:val="right"/>
              <w:spacing w:after="0"/>
              <w:rPr>
                <w:sz w:val="20"/>
                <w:szCs w:val="20"/>
                <w:color w:val="auto"/>
              </w:rPr>
            </w:pPr>
            <w:r>
              <w:rPr>
                <w:rFonts w:ascii="Arial" w:cs="Arial" w:eastAsia="Arial" w:hAnsi="Arial"/>
                <w:sz w:val="17"/>
                <w:szCs w:val="17"/>
                <w:color w:val="auto"/>
              </w:rPr>
              <w:t>334,418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23"/>
        </w:trPr>
        <w:tc>
          <w:tcPr>
            <w:tcW w:w="3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Recapitalization</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7,093,744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2,836</w:t>
            </w:r>
          </w:p>
        </w:tc>
      </w:tr>
      <w:tr>
        <w:trPr>
          <w:trHeight w:val="223"/>
        </w:trPr>
        <w:tc>
          <w:tcPr>
            <w:tcW w:w="3820" w:type="dxa"/>
            <w:vAlign w:val="bottom"/>
          </w:tcPr>
          <w:p>
            <w:pPr>
              <w:ind w:left="120"/>
              <w:spacing w:after="0"/>
              <w:rPr>
                <w:sz w:val="20"/>
                <w:szCs w:val="20"/>
                <w:color w:val="auto"/>
              </w:rPr>
            </w:pPr>
            <w:r>
              <w:rPr>
                <w:rFonts w:ascii="Arial" w:cs="Arial" w:eastAsia="Arial" w:hAnsi="Arial"/>
                <w:sz w:val="17"/>
                <w:szCs w:val="17"/>
                <w:color w:val="auto"/>
              </w:rPr>
              <w:t>Net loss</w:t>
            </w: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(5,476)</w:t>
            </w:r>
          </w:p>
        </w:tc>
      </w:tr>
      <w:tr>
        <w:trPr>
          <w:trHeight w:val="241"/>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2022</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25,290,270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(18,701)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Six Months Ended June 30,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center"/>
              <w:ind w:right="140"/>
              <w:spacing w:after="0"/>
              <w:rPr>
                <w:sz w:val="20"/>
                <w:szCs w:val="20"/>
                <w:color w:val="auto"/>
              </w:rPr>
            </w:pPr>
            <w:r>
              <w:rPr>
                <w:rFonts w:ascii="Arial" w:cs="Arial" w:eastAsia="Arial" w:hAnsi="Arial"/>
                <w:sz w:val="17"/>
                <w:szCs w:val="17"/>
                <w:b w:val="1"/>
                <w:bCs w:val="1"/>
                <w:color w:val="auto"/>
                <w:w w:val="95"/>
              </w:rPr>
              <w:t>Additional Paid-</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b w:val="1"/>
                <w:bCs w:val="1"/>
                <w:color w:val="auto"/>
                <w:w w:val="91"/>
              </w:rPr>
              <w:t>Accumulated</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6"/>
        </w:trPr>
        <w:tc>
          <w:tcPr>
            <w:tcW w:w="38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w w:val="92"/>
              </w:rPr>
              <w:t>Common Stock</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b w:val="1"/>
                <w:bCs w:val="1"/>
                <w:color w:val="auto"/>
                <w:w w:val="97"/>
              </w:rPr>
              <w:t>in- Capital</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b w:val="1"/>
                <w:bCs w:val="1"/>
                <w:color w:val="auto"/>
                <w:w w:val="96"/>
              </w:rPr>
              <w:t>Deficit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13"/>
              <w:spacing w:after="0"/>
              <w:rPr>
                <w:sz w:val="20"/>
                <w:szCs w:val="20"/>
                <w:color w:val="auto"/>
              </w:rPr>
            </w:pPr>
            <w:r>
              <w:rPr>
                <w:rFonts w:ascii="Arial" w:cs="Arial" w:eastAsia="Arial" w:hAnsi="Arial"/>
                <w:sz w:val="17"/>
                <w:szCs w:val="17"/>
                <w:b w:val="1"/>
                <w:bCs w:val="1"/>
                <w:color w:val="auto"/>
              </w:rPr>
              <w:t>Total</w:t>
            </w:r>
          </w:p>
        </w:tc>
      </w:tr>
      <w:tr>
        <w:trPr>
          <w:trHeight w:val="223"/>
        </w:trPr>
        <w:tc>
          <w:tcPr>
            <w:tcW w:w="38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7"/>
                <w:szCs w:val="17"/>
                <w:b w:val="1"/>
                <w:bCs w:val="1"/>
                <w:color w:val="auto"/>
                <w:w w:val="88"/>
              </w:rPr>
              <w:t>Shares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Amount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90"/>
        </w:trPr>
        <w:tc>
          <w:tcPr>
            <w:tcW w:w="38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80" w:type="dxa"/>
            <w:vAlign w:val="bottom"/>
            <w:gridSpan w:val="6"/>
            <w:shd w:val="clear" w:color="auto" w:fill="CCEEFF"/>
          </w:tcPr>
          <w:p>
            <w:pPr>
              <w:jc w:val="center"/>
              <w:ind w:left="795"/>
              <w:spacing w:after="0"/>
              <w:rPr>
                <w:sz w:val="20"/>
                <w:szCs w:val="20"/>
                <w:color w:val="auto"/>
              </w:rPr>
            </w:pPr>
            <w:r>
              <w:rPr>
                <w:rFonts w:ascii="Arial" w:cs="Arial" w:eastAsia="Arial" w:hAnsi="Arial"/>
                <w:sz w:val="14"/>
                <w:szCs w:val="14"/>
                <w:b w:val="1"/>
                <w:bCs w:val="1"/>
                <w:color w:val="auto"/>
                <w:w w:val="88"/>
              </w:rPr>
              <w:t>(In thousands, except share data)</w:t>
            </w: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Balance at December 31, 2020</w:t>
            </w:r>
          </w:p>
        </w:tc>
        <w:tc>
          <w:tcPr>
            <w:tcW w:w="1520" w:type="dxa"/>
            <w:vAlign w:val="bottom"/>
          </w:tcPr>
          <w:p>
            <w:pPr>
              <w:jc w:val="right"/>
              <w:spacing w:after="0"/>
              <w:rPr>
                <w:sz w:val="20"/>
                <w:szCs w:val="20"/>
                <w:color w:val="auto"/>
              </w:rPr>
            </w:pPr>
            <w:r>
              <w:rPr>
                <w:rFonts w:ascii="Arial" w:cs="Arial" w:eastAsia="Arial" w:hAnsi="Arial"/>
                <w:sz w:val="17"/>
                <w:szCs w:val="17"/>
                <w:color w:val="auto"/>
              </w:rPr>
              <w:t>17,660,258</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16,999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(7,475)</w:t>
            </w:r>
          </w:p>
        </w:tc>
        <w:tc>
          <w:tcPr>
            <w:tcW w:w="14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9,526</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color w:val="auto"/>
              </w:rPr>
              <w:t>Issue of common stock</w:t>
            </w:r>
          </w:p>
        </w:tc>
        <w:tc>
          <w:tcPr>
            <w:tcW w:w="1520" w:type="dxa"/>
            <w:vAlign w:val="bottom"/>
          </w:tcPr>
          <w:p>
            <w:pPr>
              <w:jc w:val="right"/>
              <w:spacing w:after="0"/>
              <w:rPr>
                <w:sz w:val="20"/>
                <w:szCs w:val="20"/>
                <w:color w:val="auto"/>
              </w:rPr>
            </w:pPr>
            <w:r>
              <w:rPr>
                <w:rFonts w:ascii="Arial" w:cs="Arial" w:eastAsia="Arial" w:hAnsi="Arial"/>
                <w:sz w:val="17"/>
                <w:szCs w:val="17"/>
                <w:color w:val="auto"/>
              </w:rPr>
              <w:t>39,762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w:t>
            </w:r>
          </w:p>
        </w:tc>
      </w:tr>
      <w:tr>
        <w:trPr>
          <w:trHeight w:val="216"/>
        </w:trPr>
        <w:tc>
          <w:tcPr>
            <w:tcW w:w="3800" w:type="dxa"/>
            <w:vAlign w:val="bottom"/>
          </w:tcPr>
          <w:p>
            <w:pPr>
              <w:ind w:left="20"/>
              <w:spacing w:after="0"/>
              <w:rPr>
                <w:sz w:val="20"/>
                <w:szCs w:val="20"/>
                <w:color w:val="auto"/>
              </w:rPr>
            </w:pPr>
            <w:r>
              <w:rPr>
                <w:rFonts w:ascii="Arial" w:cs="Arial" w:eastAsia="Arial" w:hAnsi="Arial"/>
                <w:sz w:val="17"/>
                <w:szCs w:val="17"/>
                <w:color w:val="auto"/>
              </w:rPr>
              <w:t>Balance at June 30, 2021</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17,767,555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17,286</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(10,047)</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7,241</w:t>
            </w:r>
          </w:p>
        </w:tc>
      </w:tr>
      <w:tr>
        <w:trPr>
          <w:trHeight w:val="20"/>
        </w:trPr>
        <w:tc>
          <w:tcPr>
            <w:tcW w:w="38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3</w:t>
      </w:r>
    </w:p>
    <w:p>
      <w:pPr>
        <w:spacing w:after="0" w:line="1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240"/>
          </w:cols>
          <w:pgMar w:left="320" w:top="34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jc w:val="center"/>
              <w:ind w:right="153"/>
              <w:spacing w:after="0"/>
              <w:rPr>
                <w:sz w:val="20"/>
                <w:szCs w:val="20"/>
                <w:color w:val="auto"/>
              </w:rPr>
            </w:pPr>
            <w:r>
              <w:rPr>
                <w:rFonts w:ascii="Arial" w:cs="Arial" w:eastAsia="Arial" w:hAnsi="Arial"/>
                <w:sz w:val="17"/>
                <w:szCs w:val="17"/>
                <w:b w:val="1"/>
                <w:bCs w:val="1"/>
                <w:color w:val="auto"/>
                <w:w w:val="93"/>
              </w:rPr>
              <w:t>Three Months Ended June 30,</w:t>
            </w:r>
          </w:p>
        </w:tc>
      </w:tr>
      <w:tr>
        <w:trPr>
          <w:trHeight w:val="223"/>
        </w:trPr>
        <w:tc>
          <w:tcPr>
            <w:tcW w:w="8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r>
      <w:tr>
        <w:trPr>
          <w:trHeight w:val="190"/>
        </w:trPr>
        <w:tc>
          <w:tcPr>
            <w:tcW w:w="8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center"/>
              <w:ind w:left="653"/>
              <w:spacing w:after="0"/>
              <w:rPr>
                <w:sz w:val="20"/>
                <w:szCs w:val="20"/>
                <w:color w:val="auto"/>
              </w:rPr>
            </w:pPr>
            <w:r>
              <w:rPr>
                <w:rFonts w:ascii="Arial" w:cs="Arial" w:eastAsia="Arial" w:hAnsi="Arial"/>
                <w:sz w:val="14"/>
                <w:szCs w:val="14"/>
                <w:b w:val="1"/>
                <w:bCs w:val="1"/>
                <w:color w:val="auto"/>
                <w:w w:val="89"/>
              </w:rPr>
              <w:t>(In thousands)</w:t>
            </w:r>
          </w:p>
        </w:tc>
        <w:tc>
          <w:tcPr>
            <w:tcW w:w="980" w:type="dxa"/>
            <w:vAlign w:val="bottom"/>
            <w:shd w:val="clear" w:color="auto" w:fill="CCEEFF"/>
          </w:tcPr>
          <w:p>
            <w:pPr>
              <w:spacing w:after="0"/>
              <w:rPr>
                <w:sz w:val="16"/>
                <w:szCs w:val="16"/>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r>
      <w:tr>
        <w:trPr>
          <w:trHeight w:val="223"/>
        </w:trPr>
        <w:tc>
          <w:tcPr>
            <w:tcW w:w="8220" w:type="dxa"/>
            <w:vAlign w:val="bottom"/>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8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822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1,045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23"/>
        </w:trPr>
        <w:tc>
          <w:tcPr>
            <w:tcW w:w="82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Change in fair value of convertible notes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20" w:type="dxa"/>
            <w:vAlign w:val="bottom"/>
          </w:tcPr>
          <w:p>
            <w:pPr>
              <w:ind w:left="240"/>
              <w:spacing w:after="0"/>
              <w:rPr>
                <w:sz w:val="20"/>
                <w:szCs w:val="20"/>
                <w:color w:val="auto"/>
              </w:rPr>
            </w:pPr>
            <w:r>
              <w:rPr>
                <w:rFonts w:ascii="Arial" w:cs="Arial" w:eastAsia="Arial" w:hAnsi="Arial"/>
                <w:sz w:val="17"/>
                <w:szCs w:val="17"/>
                <w:color w:val="auto"/>
              </w:rPr>
              <w:t>Change in fair value of warrants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(2,880)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7"/>
                <w:szCs w:val="17"/>
                <w:color w:val="auto"/>
              </w:rPr>
              <w:t>Accounts receivable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(349)</w:t>
            </w:r>
          </w:p>
        </w:tc>
      </w:tr>
      <w:tr>
        <w:trPr>
          <w:trHeight w:val="223"/>
        </w:trPr>
        <w:tc>
          <w:tcPr>
            <w:tcW w:w="8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23"/>
        </w:trPr>
        <w:tc>
          <w:tcPr>
            <w:tcW w:w="8220" w:type="dxa"/>
            <w:vAlign w:val="bottom"/>
          </w:tcPr>
          <w:p>
            <w:pPr>
              <w:ind w:left="220"/>
              <w:spacing w:after="0"/>
              <w:rPr>
                <w:sz w:val="20"/>
                <w:szCs w:val="20"/>
                <w:color w:val="auto"/>
              </w:rPr>
            </w:pPr>
            <w:r>
              <w:rPr>
                <w:rFonts w:ascii="Arial" w:cs="Arial" w:eastAsia="Arial" w:hAnsi="Arial"/>
                <w:sz w:val="17"/>
                <w:szCs w:val="17"/>
                <w:color w:val="auto"/>
              </w:rPr>
              <w:t>Contract assets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8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 and other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r>
      <w:tr>
        <w:trPr>
          <w:trHeight w:val="22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Contract liabilities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(2,464)</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w:t>
            </w:r>
          </w:p>
        </w:tc>
      </w:tr>
      <w:tr>
        <w:trPr>
          <w:trHeight w:val="242"/>
        </w:trPr>
        <w:tc>
          <w:tcPr>
            <w:tcW w:w="8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7"/>
                <w:szCs w:val="17"/>
                <w:color w:val="auto"/>
              </w:rPr>
              <w:t>Purchase of convertible note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Purchases of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r>
      <w:tr>
        <w:trPr>
          <w:trHeight w:val="21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r>
      <w:tr>
        <w:trPr>
          <w:trHeight w:val="242"/>
        </w:trPr>
        <w:tc>
          <w:tcPr>
            <w:tcW w:w="8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82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Business combination, net of issuing cost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Proceeds from exercise of stock options, net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10,172</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141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increase (decrease) in cash and cash equivalents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166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7,418</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center"/>
              <w:ind w:left="293"/>
              <w:spacing w:after="0"/>
              <w:rPr>
                <w:sz w:val="20"/>
                <w:szCs w:val="20"/>
                <w:color w:val="auto"/>
              </w:rPr>
            </w:pPr>
            <w:r>
              <w:rPr>
                <w:rFonts w:ascii="Arial" w:cs="Arial" w:eastAsia="Arial" w:hAnsi="Arial"/>
                <w:sz w:val="17"/>
                <w:szCs w:val="17"/>
                <w:color w:val="auto"/>
                <w:w w:val="96"/>
              </w:rPr>
              <w:t>(1,454)</w:t>
            </w:r>
          </w:p>
        </w:tc>
      </w:tr>
      <w:tr>
        <w:trPr>
          <w:trHeight w:val="223"/>
        </w:trPr>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6,761</w:t>
            </w: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333"/>
              <w:spacing w:after="0"/>
              <w:rPr>
                <w:sz w:val="20"/>
                <w:szCs w:val="20"/>
                <w:color w:val="auto"/>
              </w:rPr>
            </w:pPr>
            <w:r>
              <w:rPr>
                <w:rFonts w:ascii="Arial" w:cs="Arial" w:eastAsia="Arial" w:hAnsi="Arial"/>
                <w:sz w:val="17"/>
                <w:szCs w:val="17"/>
                <w:color w:val="auto"/>
                <w:w w:val="93"/>
              </w:rPr>
              <w:t>9,132</w:t>
            </w:r>
          </w:p>
        </w:tc>
      </w:tr>
      <w:tr>
        <w:trPr>
          <w:trHeight w:val="216"/>
        </w:trPr>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14,179</w:t>
            </w:r>
          </w:p>
        </w:tc>
        <w:tc>
          <w:tcPr>
            <w:tcW w:w="20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center"/>
              <w:ind w:left="333"/>
              <w:spacing w:after="0"/>
              <w:rPr>
                <w:sz w:val="20"/>
                <w:szCs w:val="20"/>
                <w:color w:val="auto"/>
              </w:rPr>
            </w:pPr>
            <w:r>
              <w:rPr>
                <w:rFonts w:ascii="Arial" w:cs="Arial" w:eastAsia="Arial" w:hAnsi="Arial"/>
                <w:sz w:val="17"/>
                <w:szCs w:val="17"/>
                <w:color w:val="auto"/>
                <w:w w:val="93"/>
              </w:rPr>
              <w:t>7,678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110" w:right="33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non-cash financing activities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7"/>
                <w:szCs w:val="17"/>
                <w:color w:val="auto"/>
              </w:rPr>
              <w:t>Conversion of convertible note and outstanding interest into common stock</w:t>
            </w: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7,305</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0"/>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Warrant assumed in business combination at estimate fair value</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4,496</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rPr>
              <w:t>—</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4</w:t>
      </w:r>
    </w:p>
    <w:p>
      <w:pPr>
        <w:spacing w:after="0" w:line="1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240"/>
          </w:cols>
          <w:pgMar w:left="320" w:top="11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SPRINGBIG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60" w:type="dxa"/>
            <w:vAlign w:val="bottom"/>
            <w:gridSpan w:val="4"/>
            <w:shd w:val="clear" w:color="auto" w:fill="CCEEFF"/>
          </w:tcPr>
          <w:p>
            <w:pPr>
              <w:jc w:val="right"/>
              <w:ind w:right="353"/>
              <w:spacing w:after="0"/>
              <w:rPr>
                <w:sz w:val="20"/>
                <w:szCs w:val="20"/>
                <w:color w:val="auto"/>
              </w:rPr>
            </w:pPr>
            <w:r>
              <w:rPr>
                <w:rFonts w:ascii="Arial" w:cs="Arial" w:eastAsia="Arial" w:hAnsi="Arial"/>
                <w:sz w:val="17"/>
                <w:szCs w:val="17"/>
                <w:b w:val="1"/>
                <w:bCs w:val="1"/>
                <w:color w:val="auto"/>
                <w:w w:val="99"/>
              </w:rPr>
              <w:t>Six Months Ended June 30,</w:t>
            </w:r>
          </w:p>
        </w:tc>
      </w:tr>
      <w:tr>
        <w:trPr>
          <w:trHeight w:val="223"/>
        </w:trPr>
        <w:tc>
          <w:tcPr>
            <w:tcW w:w="8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2021</w:t>
            </w:r>
          </w:p>
        </w:tc>
      </w:tr>
      <w:tr>
        <w:trPr>
          <w:trHeight w:val="190"/>
        </w:trPr>
        <w:tc>
          <w:tcPr>
            <w:tcW w:w="8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(In thousands)</w:t>
            </w:r>
          </w:p>
        </w:tc>
        <w:tc>
          <w:tcPr>
            <w:tcW w:w="940" w:type="dxa"/>
            <w:vAlign w:val="bottom"/>
            <w:shd w:val="clear" w:color="auto" w:fill="CCEEFF"/>
          </w:tcPr>
          <w:p>
            <w:pPr>
              <w:spacing w:after="0"/>
              <w:rPr>
                <w:sz w:val="16"/>
                <w:szCs w:val="16"/>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(5,476)</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w:t>
            </w:r>
          </w:p>
        </w:tc>
      </w:tr>
      <w:tr>
        <w:trPr>
          <w:trHeight w:val="223"/>
        </w:trPr>
        <w:tc>
          <w:tcPr>
            <w:tcW w:w="8300" w:type="dxa"/>
            <w:vAlign w:val="bottom"/>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830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1,226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fair value of convertible notes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300" w:type="dxa"/>
            <w:vAlign w:val="bottom"/>
          </w:tcPr>
          <w:p>
            <w:pPr>
              <w:ind w:left="240"/>
              <w:spacing w:after="0"/>
              <w:rPr>
                <w:sz w:val="20"/>
                <w:szCs w:val="20"/>
                <w:color w:val="auto"/>
              </w:rPr>
            </w:pPr>
            <w:r>
              <w:rPr>
                <w:rFonts w:ascii="Arial" w:cs="Arial" w:eastAsia="Arial" w:hAnsi="Arial"/>
                <w:sz w:val="17"/>
                <w:szCs w:val="17"/>
                <w:color w:val="auto"/>
              </w:rPr>
              <w:t>Change in fair value of warrants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(2,880)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8300" w:type="dxa"/>
            <w:vAlign w:val="bottom"/>
          </w:tcPr>
          <w:p>
            <w:pPr>
              <w:ind w:left="20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(459)</w:t>
            </w: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r>
      <w:tr>
        <w:trPr>
          <w:trHeight w:val="223"/>
        </w:trPr>
        <w:tc>
          <w:tcPr>
            <w:tcW w:w="8300" w:type="dxa"/>
            <w:vAlign w:val="bottom"/>
          </w:tcPr>
          <w:p>
            <w:pPr>
              <w:ind w:left="220"/>
              <w:spacing w:after="0"/>
              <w:rPr>
                <w:sz w:val="20"/>
                <w:szCs w:val="20"/>
                <w:color w:val="auto"/>
              </w:rPr>
            </w:pPr>
            <w:r>
              <w:rPr>
                <w:rFonts w:ascii="Arial" w:cs="Arial" w:eastAsia="Arial" w:hAnsi="Arial"/>
                <w:sz w:val="17"/>
                <w:szCs w:val="17"/>
                <w:color w:val="auto"/>
              </w:rPr>
              <w:t>Contract assets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8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 and other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4,416</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r>
      <w:tr>
        <w:trPr>
          <w:trHeight w:val="223"/>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Contract liabilities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(4,952)</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(2,452)</w:t>
            </w:r>
          </w:p>
        </w:tc>
      </w:tr>
      <w:tr>
        <w:trPr>
          <w:trHeight w:val="138"/>
        </w:trPr>
        <w:tc>
          <w:tcPr>
            <w:tcW w:w="8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8300" w:type="dxa"/>
            <w:vAlign w:val="bottom"/>
          </w:tcPr>
          <w:p>
            <w:pPr>
              <w:ind w:left="260"/>
              <w:spacing w:after="0"/>
              <w:rPr>
                <w:sz w:val="20"/>
                <w:szCs w:val="20"/>
                <w:color w:val="auto"/>
              </w:rPr>
            </w:pPr>
            <w:r>
              <w:rPr>
                <w:rFonts w:ascii="Arial" w:cs="Arial" w:eastAsia="Arial" w:hAnsi="Arial"/>
                <w:sz w:val="17"/>
                <w:szCs w:val="17"/>
                <w:color w:val="auto"/>
              </w:rPr>
              <w:t>Business combination, net of cash acquired</w:t>
            </w: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23"/>
        </w:trPr>
        <w:tc>
          <w:tcPr>
            <w:tcW w:w="8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 of convertible note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30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w:t>
            </w:r>
          </w:p>
        </w:tc>
      </w:tr>
      <w:tr>
        <w:trPr>
          <w:trHeight w:val="124"/>
        </w:trPr>
        <w:tc>
          <w:tcPr>
            <w:tcW w:w="8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8300" w:type="dxa"/>
            <w:vAlign w:val="bottom"/>
          </w:tcPr>
          <w:p>
            <w:pPr>
              <w:ind w:left="240"/>
              <w:spacing w:after="0"/>
              <w:rPr>
                <w:sz w:val="20"/>
                <w:szCs w:val="20"/>
                <w:color w:val="auto"/>
              </w:rPr>
            </w:pPr>
            <w:r>
              <w:rPr>
                <w:rFonts w:ascii="Arial" w:cs="Arial" w:eastAsia="Arial" w:hAnsi="Arial"/>
                <w:sz w:val="17"/>
                <w:szCs w:val="17"/>
                <w:color w:val="auto"/>
              </w:rPr>
              <w:t>Business combination, net of issuing cost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10,185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3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Proceeds from convertible notes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Proceeds from exercise of stock options, net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17,267</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38"/>
        </w:trPr>
        <w:tc>
          <w:tcPr>
            <w:tcW w:w="8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11,952</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2,227</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10,447</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14,179</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8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non-cash financing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8300" w:type="dxa"/>
            <w:vAlign w:val="bottom"/>
          </w:tcPr>
          <w:p>
            <w:pPr>
              <w:ind w:left="120"/>
              <w:spacing w:after="0"/>
              <w:rPr>
                <w:sz w:val="20"/>
                <w:szCs w:val="20"/>
                <w:color w:val="auto"/>
              </w:rPr>
            </w:pPr>
            <w:r>
              <w:rPr>
                <w:rFonts w:ascii="Arial" w:cs="Arial" w:eastAsia="Arial" w:hAnsi="Arial"/>
                <w:sz w:val="17"/>
                <w:szCs w:val="17"/>
                <w:color w:val="auto"/>
              </w:rPr>
              <w:t>Issue of common stock for business combination</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83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Indemnity holdback for business combination</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300" w:type="dxa"/>
            <w:vAlign w:val="bottom"/>
          </w:tcPr>
          <w:p>
            <w:pPr>
              <w:ind w:left="120"/>
              <w:spacing w:after="0"/>
              <w:rPr>
                <w:sz w:val="20"/>
                <w:szCs w:val="20"/>
                <w:color w:val="auto"/>
              </w:rPr>
            </w:pPr>
            <w:r>
              <w:rPr>
                <w:rFonts w:ascii="Arial" w:cs="Arial" w:eastAsia="Arial" w:hAnsi="Arial"/>
                <w:sz w:val="17"/>
                <w:szCs w:val="17"/>
                <w:color w:val="auto"/>
              </w:rPr>
              <w:t>Conversion of convertible note and outstanding interest into common stock</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7,305</w:t>
            </w:r>
          </w:p>
        </w:tc>
        <w:tc>
          <w:tcPr>
            <w:tcW w:w="200" w:type="dxa"/>
            <w:vAlign w:val="bottom"/>
          </w:tcPr>
          <w:p>
            <w:pPr>
              <w:spacing w:after="0"/>
              <w:rPr>
                <w:sz w:val="17"/>
                <w:szCs w:val="17"/>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0"/>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Warrant assumed in business combination at estimate fair value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4,496</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5</w:t>
      </w:r>
    </w:p>
    <w:p>
      <w:pPr>
        <w:spacing w:after="0" w:line="1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240"/>
          </w:cols>
          <w:pgMar w:left="320" w:top="344"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243"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SpringBig Holdings, Inc. and its wholly-owned subsidiaries (the “Company,” “we,” “us,”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has one direct wholly-owned subsidiary, SpringBig, Inc.</w:t>
      </w:r>
    </w:p>
    <w:p>
      <w:pPr>
        <w:spacing w:after="0" w:line="237" w:lineRule="exact"/>
        <w:rPr>
          <w:sz w:val="20"/>
          <w:szCs w:val="20"/>
          <w:color w:val="auto"/>
        </w:rPr>
      </w:pPr>
    </w:p>
    <w:p>
      <w:pPr>
        <w:jc w:val="both"/>
        <w:ind w:firstLine="315"/>
        <w:spacing w:after="0" w:line="243" w:lineRule="auto"/>
        <w:rPr>
          <w:sz w:val="20"/>
          <w:szCs w:val="20"/>
          <w:color w:val="auto"/>
        </w:rPr>
      </w:pPr>
      <w:r>
        <w:rPr>
          <w:rFonts w:ascii="Arial" w:cs="Arial" w:eastAsia="Arial" w:hAnsi="Arial"/>
          <w:sz w:val="17"/>
          <w:szCs w:val="17"/>
          <w:color w:val="auto"/>
        </w:rPr>
        <w:t>On June 14, 2022 (the “Closing Date”), SpringBig Holdings, Inc. (formerly known as Tuatara Capital Acquisition Corporation (“Tuatara” or “TCAC”)), consummated the previously announced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 See Note 8, Business Combination, to these consolidated financial statements for further information.</w:t>
      </w:r>
    </w:p>
    <w:p>
      <w:pPr>
        <w:spacing w:after="0" w:line="213" w:lineRule="exact"/>
        <w:rPr>
          <w:sz w:val="20"/>
          <w:szCs w:val="20"/>
          <w:color w:val="auto"/>
        </w:rPr>
      </w:pPr>
    </w:p>
    <w:p>
      <w:pPr>
        <w:jc w:val="both"/>
        <w:ind w:firstLine="315"/>
        <w:spacing w:after="0" w:line="278" w:lineRule="auto"/>
        <w:rPr>
          <w:sz w:val="20"/>
          <w:szCs w:val="20"/>
          <w:color w:val="auto"/>
        </w:rPr>
      </w:pPr>
      <w:r>
        <w:rPr>
          <w:rFonts w:ascii="Arial" w:cs="Arial" w:eastAsia="Arial" w:hAnsi="Arial"/>
          <w:sz w:val="15"/>
          <w:szCs w:val="15"/>
          <w:color w:val="auto"/>
        </w:rPr>
        <w:t>While the legal acquirer in the business combination is SpringBig for financial accounting and reporting purposes under U.S. GAAP, Legacy SpringBig is the accounting acquirer, with the merger accounted for as a “reverse recapitalization.” A reverse recapitalization does not result in a new basis of accounting, and the financial statements of the combined entity represent the continuation of the financial statements of Legacy SpringBig. Under this accounting method, SpringBig is treated as the “acquired” company and Legacy SpringBig is the accounting acquirer, with the transaction treated as a recapitalization of Legacy SpringBig. SpringBig’s assets, liabilities and results of operations were consolidated with Legacy SpringBig’s beginning on the date of the business combination. Except for certain warrant liabilities, the assets and liabilities of SpringBig were recognized at historical cost (which is consistent with carrying value) and were not material, with no goodwill or other intangible assets recorded. The warrant liabilities, which are discussed in Note 11, Warrant Liabilities, were recorded at fair value. The consolidated assets, liabilities, and results of operations of Legacy SpringBig became the historical financial statements, and operations prior to the closing of the business combination presented for comparative purposes are those of Legacy SpringBig. Pre-merger shares of common stock and preferred stock of Legacy SpringBig were converted to shares of common stock of the combined company using the conversion ratio of 0.59289 and for comparative purposes, the shares and net loss per share of Legacy SpringBig prior to the merger have been retroactively restated using the conversion ratio.</w:t>
      </w:r>
    </w:p>
    <w:p>
      <w:pPr>
        <w:spacing w:after="0" w:line="189" w:lineRule="exact"/>
        <w:rPr>
          <w:sz w:val="20"/>
          <w:szCs w:val="20"/>
          <w:color w:val="auto"/>
        </w:rPr>
      </w:pPr>
    </w:p>
    <w:p>
      <w:pPr>
        <w:jc w:val="both"/>
        <w:ind w:firstLine="315"/>
        <w:spacing w:after="0" w:line="263" w:lineRule="auto"/>
        <w:rPr>
          <w:sz w:val="20"/>
          <w:szCs w:val="20"/>
          <w:color w:val="auto"/>
        </w:rPr>
      </w:pPr>
      <w:r>
        <w:rPr>
          <w:rFonts w:ascii="Arial" w:cs="Arial" w:eastAsia="Arial" w:hAnsi="Arial"/>
          <w:sz w:val="16"/>
          <w:szCs w:val="16"/>
          <w:color w:val="auto"/>
        </w:rPr>
        <w:t>Beginning June 15, 2022, the ticker symbols for the Company’s common stock and publicly-traded warrants were changed to “SBIG” and “SBIGW,” respectively, and commenced trading on The Nasdaq Global Market. The Company received net proceeds of $18.8 million, with gross proceeds of $25.1 million, which were in addition to the $7.0 million in Convertible Notes proceeds, which were received in February 2022 in connection with Legacy SpringBig’s issuance of such notes (and which Convertible Notes and the interest due thereon were converted into common stock in connection with the business combination. See Note 9, 15% Convertible Promissory Notes, to these consolidated financial statements). Of the amount received at the Closing, approximately $8.8 million represented cash from the TCAC trust related to unredeemed shares; $6.1 million represented proceeds from the subscription for common stock from certain investors (the “PIPE Financing”), and $10.0 million from the Secured Convertible Note (defined below). The Company incurred additional cash and non cash expenses totaling $8.6 million, resulting in net business combination proceeds of $10.2 million.</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Common Stock Purchase Agreement</w:t>
      </w:r>
    </w:p>
    <w:p>
      <w:pPr>
        <w:spacing w:after="0" w:line="224"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On April 29, 2022, the Company entered into a Common Stock Purchase Agreement (as amended, the “Stock Purchase Agreement”) with CF Principal Investments LLC ("Cantor"), an affiliate of Cantor Fitzgerald L.P. The Company, in its sole discretion, shall have the right, but not the obligation, to issue and sell to the Cantor,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80" w:right="3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color w:val="auto"/>
        </w:rPr>
        <w:t>Cantor shall purchase from the Company, up to $50.0 million of common shares, par value $0.0001 per share, subject to certain terms and conditions (the “Facility”)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Principles of Consolidation and Basis of Presentation</w:t>
      </w:r>
    </w:p>
    <w:p>
      <w:pPr>
        <w:spacing w:after="0" w:line="224"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spacing w:after="0" w:line="198" w:lineRule="exact"/>
        <w:rPr>
          <w:sz w:val="20"/>
          <w:szCs w:val="20"/>
          <w:color w:val="auto"/>
        </w:rPr>
      </w:pPr>
    </w:p>
    <w:p>
      <w:pPr>
        <w:jc w:val="both"/>
        <w:ind w:firstLine="315"/>
        <w:spacing w:after="0" w:line="243" w:lineRule="auto"/>
        <w:rPr>
          <w:sz w:val="20"/>
          <w:szCs w:val="20"/>
          <w:color w:val="auto"/>
        </w:rPr>
      </w:pPr>
      <w:r>
        <w:rPr>
          <w:rFonts w:ascii="Arial" w:cs="Arial" w:eastAsia="Arial" w:hAnsi="Arial"/>
          <w:sz w:val="17"/>
          <w:szCs w:val="17"/>
          <w:color w:val="auto"/>
        </w:rPr>
        <w:t>The unaudited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months ended June 30, 2022 and the six months ended June 30, 2022 are not necessarily indicative of the results that may be expected for future periods or for the year ending December 31, 2022. These interim financial statements should be read in conjunction with the Company's audited consolidated financial statements and accompanying notes included in the Company’s Registration Statement on Form S-1 filed with the SEC on July 22, 2022 and the audited financial statements and notes thereto included in the Annual Report on Form 10-K of Tuatara for the fiscal year ended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Going Concern and Liquidity</w:t>
      </w:r>
    </w:p>
    <w:p>
      <w:pPr>
        <w:spacing w:after="0" w:line="224"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Historically, the Company has incurred losses, which has resulted in an accumulated deficit of approximately $18.7 million as of June 30, 2022. Cash flows used in operating activities were $5.0 million and $2.5 million for the six months ended June 30, 2022 and 2021, respectively. As of June 30, 2022, the Company had approximately $14.0 million in working capital, inclusive of $14.2 million in cash and cash equivalents to cover overhead expenses.</w:t>
      </w:r>
    </w:p>
    <w:p>
      <w:pPr>
        <w:spacing w:after="0" w:line="180"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Company’s ability to continue as a going concern is dependent on its ability to meet its liquidity needs through a combination of factors but not limited to, cash and cash equivalents, the ongoing increase in revenue through increased usage by customers and new customers, its Stock Purchase Agreement and strategic capital raises. The ultimate success to these plans is not guaranteed.</w:t>
      </w:r>
    </w:p>
    <w:p>
      <w:pPr>
        <w:spacing w:after="0" w:line="19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Based on management projections for increases in revenue and cash on hand, we estimate that our liquidity and capital resources are sufficient for our current and projected financial needs for the next twelve months, at a minimum.</w:t>
      </w:r>
    </w:p>
    <w:p>
      <w:pPr>
        <w:spacing w:after="0" w:line="18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accompanying consolidated financial statements are prepared on a going concern basis and do not include any adjustments that might result from uncertainty about the Company’s ability to continue as a going concern.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Foreign Currency</w:t>
      </w:r>
    </w:p>
    <w:p>
      <w:pPr>
        <w:spacing w:after="0" w:line="224"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We translate the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 Translation gains and losses are included within “general and administrative expense” on the consolidated statements of operations. These gains and losses are immaterial to the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Use of Estimates</w:t>
      </w:r>
    </w:p>
    <w:p>
      <w:pPr>
        <w:spacing w:after="0" w:line="224"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We base our estimates on historical experience and various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373" w:right="339" w:bottom="144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6"/>
          <w:szCs w:val="16"/>
          <w:color w:val="auto"/>
        </w:rPr>
        <w:t>assumptions believed to be reasonable. The Company’s significant estimates include, but are not limited to, the allowance for doubtful accounts, useful lives of deferred contract assets, intangible assets, property and equipment, deferred income tax asset valuation, and certain assumptions used in the valuation for equity awards, convertible notes and warrant liabilities. 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Concentrations of Credit Risk</w:t>
      </w:r>
    </w:p>
    <w:p>
      <w:pPr>
        <w:spacing w:after="0" w:line="224"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Financial instruments that potentially subject us to concentration of credit risk consist principally of cash and cash equivalents and accounts receivable. We place our cash and cash equivalents with high credit-quality financial institutions. Such deposits may be in excess of federally insured limits. To date, we have not experienced any losses on our cash and cash equivalents. We perform periodic evaluations of the relative credit standing of the financial institutions.</w:t>
      </w:r>
    </w:p>
    <w:p>
      <w:pPr>
        <w:spacing w:after="0" w:line="180" w:lineRule="exact"/>
        <w:rPr>
          <w:sz w:val="20"/>
          <w:szCs w:val="20"/>
          <w:color w:val="auto"/>
        </w:rPr>
      </w:pPr>
    </w:p>
    <w:p>
      <w:pPr>
        <w:jc w:val="both"/>
        <w:ind w:firstLine="315"/>
        <w:spacing w:after="0" w:line="250" w:lineRule="auto"/>
        <w:rPr>
          <w:sz w:val="20"/>
          <w:szCs w:val="20"/>
          <w:color w:val="auto"/>
        </w:rPr>
      </w:pPr>
      <w:r>
        <w:rPr>
          <w:rFonts w:ascii="Arial" w:cs="Arial" w:eastAsia="Arial" w:hAnsi="Arial"/>
          <w:sz w:val="17"/>
          <w:szCs w:val="17"/>
          <w:color w:val="auto"/>
        </w:rPr>
        <w:t>We perform ongoing credit evaluations of our customers’ financial condition and require no collateral from our customers. We maintain an allowance for doubtful accounts receivable based upon the expected collectability of accounts receivable balances.</w:t>
      </w:r>
    </w:p>
    <w:p>
      <w:pPr>
        <w:jc w:val="both"/>
        <w:ind w:firstLine="315"/>
        <w:spacing w:after="0"/>
        <w:rPr>
          <w:sz w:val="20"/>
          <w:szCs w:val="20"/>
          <w:color w:val="auto"/>
        </w:rPr>
      </w:pPr>
      <w:r>
        <w:rPr>
          <w:rFonts w:ascii="Arial" w:cs="Arial" w:eastAsia="Arial" w:hAnsi="Arial"/>
          <w:sz w:val="17"/>
          <w:szCs w:val="17"/>
          <w:color w:val="auto"/>
        </w:rPr>
        <w:t>During the three and six months ended June 30, 2022, we had one customer representing 13% concentration of revenue, within the United States with 15% and 13% for the three and six months June 30, 2021, respectively.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 June 30, 2022 and December 31, 2021 we had one customer representing 6% and 28% of accounts receivable within the United States,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Transaction Costs</w:t>
      </w:r>
    </w:p>
    <w:p>
      <w:pPr>
        <w:spacing w:after="0" w:line="237"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The Company incurred significant costs direct and incremental to the business combination and therefore to the recapitalization of the Company. We deferred such costs incurred in 2021. In 2022, upon closing of the business combination, total direct transaction costs were allocated between equity and liability instruments measured at fair value on a recurring basis that were newly issued in the recapitalization. Amounts allocated to equity were recorded to additional paid-in capital, while amounts allocated to the specified liabilities were recorded as other expense. See Note 8, Business Combination, to these consolidated financial statements for further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Cash and Cash Equivalents</w:t>
      </w:r>
    </w:p>
    <w:p>
      <w:pPr>
        <w:spacing w:after="0" w:line="23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considers all highly liquid investments with a maturity of three months or less, when acquired, to be cash equivalents. The Company maintains its cash with one commercial bank.</w:t>
      </w:r>
    </w:p>
    <w:p>
      <w:pPr>
        <w:spacing w:after="0" w:line="185"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As of June 30, 2022 and December 31, 2021, the Company exceeded the federally insured limits of $250,000 for interest and noninterest bearing deposits. The Company had cash balances with a single financial institution in excess of the FDIC insured limits by amounts of $13.9 million and $1.9 million as of June 30, 2022 and December 31, 2021, respectively. We monitor the financial condition of such institution and have not experienced any losses associated with these accounts.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Effective Accounting Pronouncements</w:t>
      </w:r>
    </w:p>
    <w:p>
      <w:pPr>
        <w:spacing w:after="0" w:line="23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which simplifies how an entity is required to test goodwill for impairment by eliminating Step 2 from the goodwill impairment test. The amendments in this update modify the concept of impairment from the condition that exists when the carrying amount of goodwill exceeds its implied fair value to the condition that exists when the carrying amount of a reporting unit exceeds its fair value. This update is effective beginning after December 15, 2021. We adopted this standard on January 1, 2022. The adoption of this standard did not have a material impact on our consolidated financial statements for the period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373" w:right="339" w:bottom="1440" w:gutter="0" w:footer="0" w:header="0"/>
        </w:sectPr>
      </w:pPr>
    </w:p>
    <w:bookmarkStart w:id="12" w:name="page13"/>
    <w:bookmarkEnd w:id="12"/>
    <w:p>
      <w:pPr>
        <w:jc w:val="both"/>
        <w:ind w:firstLine="315"/>
        <w:spacing w:after="0" w:line="24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 Simplifying the Accounting for Income Taxes.</w:t>
      </w:r>
      <w:r>
        <w:rPr>
          <w:rFonts w:ascii="Arial" w:cs="Arial" w:eastAsia="Arial" w:hAnsi="Arial"/>
          <w:sz w:val="17"/>
          <w:szCs w:val="17"/>
          <w:color w:val="auto"/>
        </w:rPr>
        <w:t xml:space="preserve"> The ASU enhances and simplifies various aspects of the income tax accounting guidance in ASC 740, including requirements related to the following: (1) hybrid tax regimes; (2) tax basis step-up in goodwill obtained in a transaction that is not a business combination; (3) separate financial statements of entities not subject to tax; (4) intra-period tax allocation exception to the incremental approach; (5) ownership changes in investments; (6) interim-period accounting for enacted changes in tax law; and (7) year-to-date loss limitation in interim-period tax accounting. The amendments in ASU 2019-12 are effective for public business entities for fiscal years beginning after December 15, 2020, including interim periods therein. This update is effective beginning after December 15, 2021. We adopted this standard on January 1, 2022. The adoption of this standard did not have a material impact on our consolidated financial statements for the period ended June 30, 2022.</w:t>
      </w:r>
    </w:p>
    <w:p>
      <w:pPr>
        <w:spacing w:after="0" w:line="213"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Clarifying the Interactions between Topic 321, Topic 323, and Topic 815</w:t>
      </w:r>
      <w:r>
        <w:rPr>
          <w:rFonts w:ascii="Arial" w:cs="Arial" w:eastAsia="Arial" w:hAnsi="Arial"/>
          <w:sz w:val="17"/>
          <w:szCs w:val="17"/>
          <w:color w:val="auto"/>
        </w:rPr>
        <w:t>. The amendments in this update clarify certain interactions between the guidance to account for certain equity securities. This update is effective beginning after December 15, 2021. We adopted this standard on January 1, 2022. The adoption of this standard did not have a material impact on our consolidated financial statements for the period ended June 30, 2022.</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Under ASU 2020-06,</w:t>
      </w:r>
    </w:p>
    <w:p>
      <w:pPr>
        <w:spacing w:after="0" w:line="14"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embedded conversion features are no longer separated from the host contract for convertible instruments with conversion features that are not required to be accounted for as derivatives, or that do not result in substantial premiums accounted for as paid-in capital. The convertible debt instruments will now be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accounted for as a single liability measured at amortized cost. This results in the interest expense recognized for convertible debt instruments to be closer to the coupon interest rate. The new guidance also requires the if-converted method to be applied for all convertible instruments when calculating earnings per share.</w:t>
      </w:r>
    </w:p>
    <w:p>
      <w:pPr>
        <w:jc w:val="both"/>
        <w:spacing w:after="0"/>
        <w:rPr>
          <w:sz w:val="20"/>
          <w:szCs w:val="20"/>
          <w:color w:val="auto"/>
        </w:rPr>
      </w:pPr>
      <w:r>
        <w:rPr>
          <w:rFonts w:ascii="Arial" w:cs="Arial" w:eastAsia="Arial" w:hAnsi="Arial"/>
          <w:sz w:val="17"/>
          <w:szCs w:val="17"/>
          <w:color w:val="auto"/>
        </w:rPr>
        <w:t>This update is effective beginning after December 15, 2021. We adopted this standard on January 1, 2022. The adoption of this standard did not have a material impact on our consolidated financial statements for the period ended June 30, 2022.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Recent Accounting Pronouncements Not Yet Adopted</w:t>
      </w:r>
    </w:p>
    <w:p>
      <w:pPr>
        <w:spacing w:after="0" w:line="237" w:lineRule="exact"/>
        <w:rPr>
          <w:sz w:val="20"/>
          <w:szCs w:val="20"/>
          <w:color w:val="auto"/>
        </w:rPr>
      </w:pPr>
    </w:p>
    <w:p>
      <w:pPr>
        <w:jc w:val="both"/>
        <w:ind w:firstLine="315"/>
        <w:spacing w:after="0" w:line="278" w:lineRule="auto"/>
        <w:rPr>
          <w:sz w:val="20"/>
          <w:szCs w:val="20"/>
          <w:color w:val="auto"/>
        </w:rPr>
      </w:pPr>
      <w:r>
        <w:rPr>
          <w:rFonts w:ascii="Arial" w:cs="Arial" w:eastAsia="Arial" w:hAnsi="Arial"/>
          <w:sz w:val="15"/>
          <w:szCs w:val="15"/>
          <w:color w:val="auto"/>
        </w:rPr>
        <w:t xml:space="preserve">In February 2016, the Financial Accounting Standards Board (“FASB”) issued Accounting Standards Update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FASB issued ASU 2016-02 to increase transparency and comparability among organizations by recognizing lease assets and lease liabilities on the balance sheet and disclosing key information about leasing arrangements. Certain qualitative and quantitative disclosures are required, as well as a retrospective recognition and measurement of impacted leases. In June 2020, FASB issued ASU 2020-05, </w:t>
      </w:r>
      <w:r>
        <w:rPr>
          <w:rFonts w:ascii="Arial" w:cs="Arial" w:eastAsia="Arial" w:hAnsi="Arial"/>
          <w:sz w:val="15"/>
          <w:szCs w:val="15"/>
          <w:i w:val="1"/>
          <w:iCs w:val="1"/>
          <w:color w:val="auto"/>
        </w:rPr>
        <w:t>Revenue from Contracts with Customers (Topic 606) and Leases (Topic 842):</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Deferral of the Effective Dates for Certain Entities</w:t>
      </w:r>
      <w:r>
        <w:rPr>
          <w:rFonts w:ascii="Arial" w:cs="Arial" w:eastAsia="Arial" w:hAnsi="Arial"/>
          <w:sz w:val="16"/>
          <w:szCs w:val="16"/>
          <w:color w:val="auto"/>
        </w:rPr>
        <w:t>, which deferred the effective date of ASU 2016-02 to annual reporting periods beginning after December 15,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2021, with early adoption permitted. In July 2021, the FASB released Update No. 2021-05 </w:t>
      </w:r>
      <w:r>
        <w:rPr>
          <w:rFonts w:ascii="Arial" w:cs="Arial" w:eastAsia="Arial" w:hAnsi="Arial"/>
          <w:sz w:val="16"/>
          <w:szCs w:val="16"/>
          <w:i w:val="1"/>
          <w:iCs w:val="1"/>
          <w:color w:val="auto"/>
        </w:rPr>
        <w:t>Lessors—Certain Leases with Variable Lease Payments</w:t>
      </w:r>
      <w:r>
        <w:rPr>
          <w:rFonts w:ascii="Arial" w:cs="Arial" w:eastAsia="Arial" w:hAnsi="Arial"/>
          <w:sz w:val="16"/>
          <w:szCs w:val="16"/>
          <w:color w:val="auto"/>
        </w:rPr>
        <w:t xml:space="preserve">. The amendments in this update affect lessors with lease contracts that (1) have variable lease payments that do not depend on a reference index or a rate and (2) would have resulted in the recognition of a selling loss at lease commencement if classified as sales-type or direct financing. The amendments in this update amend Topic 842. The amendments are effective for fiscal years beginning after December 15, 2021, for all entities, and interim periods within those fiscal years for public business entities and interim periods within fiscal years beginning after December 15, 2022, for all other entities. Management is currently evaluating the impact of adopting this standard </w:t>
      </w:r>
      <w:r>
        <w:rPr>
          <w:rFonts w:ascii="Arial" w:cs="Arial" w:eastAsia="Arial" w:hAnsi="Arial"/>
          <w:sz w:val="16"/>
          <w:szCs w:val="16"/>
          <w:color w:val="333333"/>
        </w:rPr>
        <w:t>on our financial condition and results of operations</w:t>
      </w:r>
      <w:r>
        <w:rPr>
          <w:rFonts w:ascii="Arial" w:cs="Arial" w:eastAsia="Arial" w:hAnsi="Arial"/>
          <w:sz w:val="16"/>
          <w:szCs w:val="16"/>
          <w:color w:val="auto"/>
        </w:rPr>
        <w:t>.</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In June 2016, FASB issued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to</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revise the criteria for the measurement, recognition, and reporting of credit losses on financial instruments to be recognized when expected. In November 2019,</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FASB issued ASU 2019-10, </w:t>
      </w:r>
      <w:r>
        <w:rPr>
          <w:rFonts w:ascii="Arial" w:cs="Arial" w:eastAsia="Arial" w:hAnsi="Arial"/>
          <w:sz w:val="17"/>
          <w:szCs w:val="17"/>
          <w:i w:val="1"/>
          <w:iCs w:val="1"/>
          <w:color w:val="auto"/>
        </w:rPr>
        <w:t>Financial Instruments—Credit Losses (Topic 326), Derivatives and Hedging (Topic 815), and Leases (Topic 842)</w:t>
      </w:r>
      <w:r>
        <w:rPr>
          <w:rFonts w:ascii="Arial" w:cs="Arial" w:eastAsia="Arial" w:hAnsi="Arial"/>
          <w:sz w:val="17"/>
          <w:szCs w:val="17"/>
          <w:color w:val="auto"/>
        </w:rPr>
        <w:t>, which deferred the effective date of ASU 2016-13 to annual reporting periods beginning after December 15, 2022, with early adoption permitted. Management is currently evaluating the impact of adopting this standard on our financial condition and results of operations.</w:t>
      </w:r>
    </w:p>
    <w:p>
      <w:pPr>
        <w:spacing w:after="0" w:line="204" w:lineRule="exact"/>
        <w:rPr>
          <w:sz w:val="20"/>
          <w:szCs w:val="20"/>
          <w:color w:val="auto"/>
        </w:rPr>
      </w:pPr>
    </w:p>
    <w:p>
      <w:pPr>
        <w:jc w:val="both"/>
        <w:ind w:firstLine="315"/>
        <w:spacing w:after="0"/>
        <w:rPr>
          <w:sz w:val="20"/>
          <w:szCs w:val="20"/>
          <w:color w:val="auto"/>
        </w:rPr>
      </w:pPr>
      <w:r>
        <w:rPr>
          <w:rFonts w:ascii="Arial" w:cs="Arial" w:eastAsia="Arial" w:hAnsi="Arial"/>
          <w:sz w:val="16"/>
          <w:szCs w:val="16"/>
          <w:color w:val="auto"/>
        </w:rPr>
        <w:t xml:space="preserve">In October 2021, the FASB issued ASU 2021-08 -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w:t>
      </w:r>
      <w:r>
        <w:rPr>
          <w:rFonts w:ascii="Arial" w:cs="Arial" w:eastAsia="Arial" w:hAnsi="Arial"/>
          <w:sz w:val="16"/>
          <w:szCs w:val="16"/>
          <w:color w:val="auto"/>
        </w:rPr>
        <w:t>s. The amendments in this update require that an entity (acquirer) recognize and measure contract assets and contract liabilities</w:t>
      </w:r>
    </w:p>
    <w:p>
      <w:pPr>
        <w:spacing w:after="0"/>
        <w:rPr>
          <w:sz w:val="20"/>
          <w:szCs w:val="20"/>
          <w:color w:val="auto"/>
        </w:rPr>
      </w:pPr>
      <w:r>
        <w:rPr>
          <w:rFonts w:ascii="Arial" w:cs="Arial" w:eastAsia="Arial" w:hAnsi="Arial"/>
          <w:sz w:val="16"/>
          <w:szCs w:val="16"/>
          <w:color w:val="auto"/>
        </w:rPr>
        <w:t>acquired in a business combination in accordance with Topic 606. At the acquisition date, an acquirer should account for the related revenue contracts in</w:t>
      </w:r>
    </w:p>
    <w:p>
      <w:pPr>
        <w:jc w:val="both"/>
        <w:spacing w:after="0" w:line="232" w:lineRule="auto"/>
        <w:rPr>
          <w:sz w:val="20"/>
          <w:szCs w:val="20"/>
          <w:color w:val="auto"/>
        </w:rPr>
      </w:pPr>
      <w:r>
        <w:rPr>
          <w:rFonts w:ascii="Arial" w:cs="Arial" w:eastAsia="Arial" w:hAnsi="Arial"/>
          <w:sz w:val="17"/>
          <w:szCs w:val="17"/>
          <w:color w:val="auto"/>
        </w:rPr>
        <w:t>accordance with Topic 606 as if it had originated the contracts. For public business entities, the amendments in this update are effective for fiscal years beginning after December 15, 2022, including interim periods within those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37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years. The amendments in this update should be applied prospectively to business combinations occurring on or after the effective date of the amendments.</w:t>
      </w:r>
    </w:p>
    <w:p>
      <w:pPr>
        <w:spacing w:after="0" w:line="14"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Early adoption of the amendments is permitted, including adoption in an interim period. An entity that early adopts in an interim period should apply the amendments (1) retrospectively to all business combinations for which the acquisition date occurs on or after the beginning of the fiscal year that includes the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interim period of early application and (2) prospectively to all business combinations that occur on or after the date of initial application. Management is currently evaluating the impact of adopting this standard </w:t>
      </w:r>
      <w:r>
        <w:rPr>
          <w:rFonts w:ascii="Arial" w:cs="Arial" w:eastAsia="Arial" w:hAnsi="Arial"/>
          <w:sz w:val="17"/>
          <w:szCs w:val="17"/>
          <w:color w:val="333333"/>
        </w:rPr>
        <w:t>on our financial condition and results of operations</w:t>
      </w:r>
      <w:r>
        <w:rPr>
          <w:rFonts w:ascii="Arial" w:cs="Arial" w:eastAsia="Arial" w:hAnsi="Arial"/>
          <w:sz w:val="17"/>
          <w:szCs w:val="17"/>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80" w:type="dxa"/>
            <w:vAlign w:val="bottom"/>
          </w:tcPr>
          <w:p>
            <w:pPr>
              <w:spacing w:after="0"/>
              <w:rPr>
                <w:sz w:val="20"/>
                <w:szCs w:val="20"/>
                <w:color w:val="auto"/>
              </w:rPr>
            </w:pPr>
            <w:r>
              <w:rPr>
                <w:rFonts w:ascii="Arial" w:cs="Arial" w:eastAsia="Arial" w:hAnsi="Arial"/>
                <w:sz w:val="17"/>
                <w:szCs w:val="17"/>
                <w:b w:val="1"/>
                <w:bCs w:val="1"/>
                <w:color w:val="auto"/>
              </w:rPr>
              <w:t>NOTE 3 – ACCOUNTS RECEIVABLE</w:t>
            </w: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3"/>
        </w:trPr>
        <w:tc>
          <w:tcPr>
            <w:tcW w:w="7580" w:type="dxa"/>
            <w:vAlign w:val="bottom"/>
          </w:tcPr>
          <w:p>
            <w:pPr>
              <w:ind w:left="320"/>
              <w:spacing w:after="0"/>
              <w:rPr>
                <w:sz w:val="20"/>
                <w:szCs w:val="20"/>
                <w:color w:val="auto"/>
              </w:rPr>
            </w:pPr>
            <w:r>
              <w:rPr>
                <w:rFonts w:ascii="Arial" w:cs="Arial" w:eastAsia="Arial" w:hAnsi="Arial"/>
                <w:sz w:val="17"/>
                <w:szCs w:val="17"/>
                <w:color w:val="auto"/>
              </w:rPr>
              <w:t>Accounts receivable, net consisted of the following (in thousands):</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3"/>
        </w:trPr>
        <w:tc>
          <w:tcPr>
            <w:tcW w:w="7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3"/>
        </w:trPr>
        <w:tc>
          <w:tcPr>
            <w:tcW w:w="7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60"/>
              <w:spacing w:after="0"/>
              <w:rPr>
                <w:sz w:val="20"/>
                <w:szCs w:val="20"/>
                <w:color w:val="auto"/>
              </w:rPr>
            </w:pPr>
            <w:r>
              <w:rPr>
                <w:rFonts w:ascii="Arial" w:cs="Arial" w:eastAsia="Arial" w:hAnsi="Arial"/>
                <w:sz w:val="17"/>
                <w:szCs w:val="17"/>
                <w:b w:val="1"/>
                <w:bCs w:val="1"/>
                <w:color w:val="auto"/>
              </w:rPr>
              <w:t>June 30,</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95"/>
              </w:rPr>
              <w:t>December 31,</w:t>
            </w:r>
          </w:p>
        </w:tc>
      </w:tr>
      <w:tr>
        <w:trPr>
          <w:trHeight w:val="223"/>
        </w:trPr>
        <w:tc>
          <w:tcPr>
            <w:tcW w:w="7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2021</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Unbilled receivables</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w:t>
            </w:r>
          </w:p>
        </w:tc>
      </w:tr>
      <w:tr>
        <w:trPr>
          <w:trHeight w:val="216"/>
        </w:trPr>
        <w:tc>
          <w:tcPr>
            <w:tcW w:w="7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doubtful accounts</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r>
      <w:tr>
        <w:trPr>
          <w:trHeight w:val="241"/>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3,597</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315"/>
        <w:spacing w:after="0" w:line="242" w:lineRule="auto"/>
        <w:rPr>
          <w:sz w:val="20"/>
          <w:szCs w:val="20"/>
          <w:color w:val="auto"/>
        </w:rPr>
      </w:pPr>
      <w:r>
        <w:rPr>
          <w:rFonts w:ascii="Arial" w:cs="Arial" w:eastAsia="Arial" w:hAnsi="Arial"/>
          <w:sz w:val="17"/>
          <w:szCs w:val="17"/>
          <w:color w:val="auto"/>
        </w:rPr>
        <w:t>Bad debt expense was $181,000 and $30,000 for the three months ended June 30, 2022 and 2021, respectively, and $214,000 and $60,000 for the six months ended June 30, 2022 and 2021, respectively.</w:t>
      </w:r>
    </w:p>
    <w:p>
      <w:pPr>
        <w:spacing w:after="0"/>
        <w:rPr>
          <w:sz w:val="20"/>
          <w:szCs w:val="20"/>
          <w:color w:val="auto"/>
        </w:rPr>
      </w:pPr>
      <w:r>
        <w:rPr>
          <w:rFonts w:ascii="Arial" w:cs="Arial" w:eastAsia="Arial" w:hAnsi="Arial"/>
          <w:sz w:val="17"/>
          <w:szCs w:val="17"/>
          <w:b w:val="1"/>
          <w:bCs w:val="1"/>
          <w:color w:val="auto"/>
        </w:rPr>
        <w:t>NOTE 4 – PREPAID EXPENSES AND OTHER CURRENT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0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 consisted of the following (in thousands):</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7"/>
                <w:szCs w:val="17"/>
                <w:b w:val="1"/>
                <w:bCs w:val="1"/>
                <w:color w:val="auto"/>
              </w:rPr>
              <w:t>June 30,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113"/>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2022</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b w:val="1"/>
                <w:bCs w:val="1"/>
                <w:color w:val="auto"/>
                <w:w w:val="95"/>
              </w:rPr>
              <w:t>2021</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7"/>
                <w:szCs w:val="17"/>
                <w:color w:val="auto"/>
              </w:rPr>
              <w:t>Other prepaid expenses</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788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2,742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7"/>
                <w:szCs w:val="17"/>
                <w:b w:val="1"/>
                <w:bCs w:val="1"/>
                <w:color w:val="auto"/>
              </w:rPr>
              <w:t>NOTE 5 – PROPERTY AND EQUIPMENT</w:t>
            </w: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7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500" w:type="dxa"/>
            <w:vAlign w:val="bottom"/>
          </w:tcPr>
          <w:p>
            <w:pPr>
              <w:ind w:left="320"/>
              <w:spacing w:after="0"/>
              <w:rPr>
                <w:sz w:val="20"/>
                <w:szCs w:val="20"/>
                <w:color w:val="auto"/>
              </w:rPr>
            </w:pPr>
            <w:r>
              <w:rPr>
                <w:rFonts w:ascii="Arial" w:cs="Arial" w:eastAsia="Arial" w:hAnsi="Arial"/>
                <w:sz w:val="17"/>
                <w:szCs w:val="17"/>
                <w:color w:val="auto"/>
              </w:rPr>
              <w:t>Property and equipment consist of the following (in thousands):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200"/>
              <w:spacing w:after="0"/>
              <w:rPr>
                <w:sz w:val="20"/>
                <w:szCs w:val="20"/>
                <w:color w:val="auto"/>
              </w:rPr>
            </w:pPr>
            <w:r>
              <w:rPr>
                <w:rFonts w:ascii="Arial" w:cs="Arial" w:eastAsia="Arial" w:hAnsi="Arial"/>
                <w:sz w:val="17"/>
                <w:szCs w:val="17"/>
                <w:b w:val="1"/>
                <w:bCs w:val="1"/>
                <w:color w:val="auto"/>
              </w:rPr>
              <w:t>June 30,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153"/>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2022</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b w:val="1"/>
                <w:bCs w:val="1"/>
                <w:color w:val="auto"/>
                <w:w w:val="95"/>
              </w:rPr>
              <w:t>2021</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center"/>
              <w:ind w:left="933"/>
              <w:spacing w:after="0"/>
              <w:rPr>
                <w:sz w:val="20"/>
                <w:szCs w:val="20"/>
                <w:color w:val="auto"/>
              </w:rPr>
            </w:pPr>
            <w:r>
              <w:rPr>
                <w:rFonts w:ascii="Arial" w:cs="Arial" w:eastAsia="Arial" w:hAnsi="Arial"/>
                <w:sz w:val="17"/>
                <w:szCs w:val="17"/>
                <w:color w:val="auto"/>
                <w:w w:val="91"/>
              </w:rPr>
              <w:t>308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7"/>
                <w:szCs w:val="17"/>
                <w:color w:val="auto"/>
              </w:rPr>
              <w:t>Data warehouse</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center"/>
              <w:ind w:left="933"/>
              <w:spacing w:after="0"/>
              <w:rPr>
                <w:sz w:val="20"/>
                <w:szCs w:val="20"/>
                <w:color w:val="auto"/>
              </w:rPr>
            </w:pPr>
            <w:r>
              <w:rPr>
                <w:rFonts w:ascii="Arial" w:cs="Arial" w:eastAsia="Arial" w:hAnsi="Arial"/>
                <w:sz w:val="17"/>
                <w:szCs w:val="17"/>
                <w:color w:val="auto"/>
                <w:w w:val="91"/>
              </w:rPr>
              <w:t>286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33"/>
              <w:spacing w:after="0"/>
              <w:rPr>
                <w:sz w:val="20"/>
                <w:szCs w:val="20"/>
                <w:color w:val="auto"/>
              </w:rPr>
            </w:pPr>
            <w:r>
              <w:rPr>
                <w:rFonts w:ascii="Arial" w:cs="Arial" w:eastAsia="Arial" w:hAnsi="Arial"/>
                <w:sz w:val="17"/>
                <w:szCs w:val="17"/>
                <w:color w:val="auto"/>
                <w:w w:val="91"/>
              </w:rPr>
              <w:t>196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677</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893"/>
              <w:spacing w:after="0"/>
              <w:rPr>
                <w:sz w:val="20"/>
                <w:szCs w:val="20"/>
                <w:color w:val="auto"/>
              </w:rPr>
            </w:pPr>
            <w:r>
              <w:rPr>
                <w:rFonts w:ascii="Arial" w:cs="Arial" w:eastAsia="Arial" w:hAnsi="Arial"/>
                <w:sz w:val="17"/>
                <w:szCs w:val="17"/>
                <w:color w:val="auto"/>
                <w:w w:val="95"/>
              </w:rPr>
              <w:t>(319)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center"/>
              <w:ind w:left="933"/>
              <w:spacing w:after="0"/>
              <w:rPr>
                <w:sz w:val="20"/>
                <w:szCs w:val="20"/>
                <w:color w:val="auto"/>
              </w:rPr>
            </w:pPr>
            <w:r>
              <w:rPr>
                <w:rFonts w:ascii="Arial" w:cs="Arial" w:eastAsia="Arial" w:hAnsi="Arial"/>
                <w:sz w:val="17"/>
                <w:szCs w:val="17"/>
                <w:color w:val="auto"/>
                <w:w w:val="91"/>
              </w:rPr>
              <w:t>471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373" w:right="339" w:bottom="1440" w:gutter="0" w:footer="0" w:header="0"/>
        </w:sectPr>
      </w:pPr>
    </w:p>
    <w:bookmarkStart w:id="14" w:name="page15"/>
    <w:bookmarkEnd w:id="14"/>
    <w:p>
      <w:pPr>
        <w:ind w:left="320"/>
        <w:spacing w:after="0"/>
        <w:rPr>
          <w:sz w:val="20"/>
          <w:szCs w:val="20"/>
          <w:color w:val="auto"/>
        </w:rPr>
      </w:pPr>
      <w:r>
        <w:rPr>
          <w:rFonts w:ascii="Arial" w:cs="Arial" w:eastAsia="Arial" w:hAnsi="Arial"/>
          <w:sz w:val="17"/>
          <w:szCs w:val="17"/>
          <w:color w:val="auto"/>
        </w:rPr>
        <w:t>The useful life of computer equipment, software and the data warehouse is 3 years.</w:t>
      </w:r>
    </w:p>
    <w:p>
      <w:pPr>
        <w:spacing w:after="0" w:line="23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Depreciation and amortization expense for the three months ended June 30, 2022 and 2021 was $64,000 and $6,000, respectively, and $123,000 and $12,000 for the six months ended June 30, 2022 and 2021, respectively.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amounts are included in general and administrative expenses in the consolidated statements of operations.</w:t>
      </w: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NOTE 6 – CONVERTIBLE NOTE RECEIVABLE</w:t>
      </w:r>
    </w:p>
    <w:p>
      <w:pPr>
        <w:spacing w:after="0" w:line="243"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April 2022, the Company purchased $250,000 in aggregate principal amount of convertible promissory note due April 1, 2026 (the “Convertible Note Receivable”).</w:t>
      </w:r>
    </w:p>
    <w:p>
      <w:pPr>
        <w:spacing w:after="0" w:line="172" w:lineRule="exact"/>
        <w:rPr>
          <w:sz w:val="20"/>
          <w:szCs w:val="20"/>
          <w:color w:val="auto"/>
        </w:rPr>
      </w:pPr>
    </w:p>
    <w:p>
      <w:pPr>
        <w:jc w:val="both"/>
        <w:ind w:firstLine="352"/>
        <w:spacing w:after="0" w:line="257" w:lineRule="auto"/>
        <w:rPr>
          <w:sz w:val="20"/>
          <w:szCs w:val="20"/>
          <w:color w:val="auto"/>
        </w:rPr>
      </w:pPr>
      <w:r>
        <w:rPr>
          <w:rFonts w:ascii="Arial" w:cs="Arial" w:eastAsia="Arial" w:hAnsi="Arial"/>
          <w:sz w:val="17"/>
          <w:szCs w:val="17"/>
          <w:color w:val="auto"/>
        </w:rPr>
        <w:t>The Convertible Note Receivable accrues interest at the rate of 5% per annum on the principal amount of the Convertible Note Receivable. The issuer may not prepay the note prior to its maturity date without the consent of the Company. The Convertible Note Receivable is convertible, and the conversion price is based on the occurrence of certain actions by the issuer.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80" w:type="dxa"/>
            <w:vAlign w:val="bottom"/>
          </w:tcPr>
          <w:p>
            <w:pPr>
              <w:spacing w:after="0"/>
              <w:rPr>
                <w:sz w:val="20"/>
                <w:szCs w:val="20"/>
                <w:color w:val="auto"/>
              </w:rPr>
            </w:pPr>
            <w:r>
              <w:rPr>
                <w:rFonts w:ascii="Arial" w:cs="Arial" w:eastAsia="Arial" w:hAnsi="Arial"/>
                <w:sz w:val="17"/>
                <w:szCs w:val="17"/>
                <w:b w:val="1"/>
                <w:bCs w:val="1"/>
                <w:color w:val="auto"/>
              </w:rPr>
              <w:t>NOTE 7 – ACCRUED EXPENSES AND OTHER LIABILITIES</w:t>
            </w: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46"/>
        </w:trPr>
        <w:tc>
          <w:tcPr>
            <w:tcW w:w="748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 consisted of the following (in thousands):</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3"/>
        </w:trPr>
        <w:tc>
          <w:tcPr>
            <w:tcW w:w="7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3"/>
        </w:trPr>
        <w:tc>
          <w:tcPr>
            <w:tcW w:w="7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June 30,</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74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wages, commission and bonus</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r>
      <w:tr>
        <w:trPr>
          <w:trHeight w:val="223"/>
        </w:trPr>
        <w:tc>
          <w:tcPr>
            <w:tcW w:w="7480" w:type="dxa"/>
            <w:vAlign w:val="bottom"/>
          </w:tcPr>
          <w:p>
            <w:pPr>
              <w:ind w:left="20"/>
              <w:spacing w:after="0"/>
              <w:rPr>
                <w:sz w:val="20"/>
                <w:szCs w:val="20"/>
                <w:color w:val="auto"/>
              </w:rPr>
            </w:pPr>
            <w:r>
              <w:rPr>
                <w:rFonts w:ascii="Arial" w:cs="Arial" w:eastAsia="Arial" w:hAnsi="Arial"/>
                <w:sz w:val="17"/>
                <w:szCs w:val="17"/>
                <w:color w:val="auto"/>
              </w:rPr>
              <w:t>Accrued expenses</w:t>
            </w:r>
          </w:p>
        </w:tc>
        <w:tc>
          <w:tcPr>
            <w:tcW w:w="1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3"/>
              </w:rPr>
              <w:t>1,390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855</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1,015</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2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Related party payable</w:t>
            </w: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41"/>
        </w:trPr>
        <w:tc>
          <w:tcPr>
            <w:tcW w:w="74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3,018</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Company incurred software development and information technology related costs to a vendor related to a major stockholder of approximately $36,000 and $93,000 for the three and six months ended June 30, 2022, respectively, with $187,000 and $257,000 for the three and six months ended June 30, 2021, respectively. The amount is included in data warehouse under property and equipment.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BUSINESS COMBINATION</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17"/>
          <w:szCs w:val="17"/>
          <w:u w:val="single" w:color="auto"/>
          <w:color w:val="auto"/>
        </w:rPr>
        <w:t>Reverse Merger</w:t>
      </w:r>
    </w:p>
    <w:p>
      <w:pPr>
        <w:spacing w:after="0" w:line="224" w:lineRule="exact"/>
        <w:rPr>
          <w:sz w:val="20"/>
          <w:szCs w:val="20"/>
          <w:color w:val="auto"/>
        </w:rPr>
      </w:pPr>
    </w:p>
    <w:p>
      <w:pPr>
        <w:jc w:val="both"/>
        <w:ind w:firstLine="352"/>
        <w:spacing w:after="0" w:line="257" w:lineRule="auto"/>
        <w:rPr>
          <w:sz w:val="20"/>
          <w:szCs w:val="20"/>
          <w:color w:val="auto"/>
        </w:rPr>
      </w:pPr>
      <w:r>
        <w:rPr>
          <w:rFonts w:ascii="Arial" w:cs="Arial" w:eastAsia="Arial" w:hAnsi="Arial"/>
          <w:sz w:val="17"/>
          <w:szCs w:val="17"/>
          <w:color w:val="auto"/>
        </w:rPr>
        <w:t>An extraordinary general meeting (the “Special Meeting”) was held on June 9, 2022, where the Tuatara shareholders considered and approved, among other matters, a proposal to approve the transactions contemplated by the Amended and Restated Agreement and Plan of Merger, dated as of April 14, 2022, as amended by the Amendment No. 1 to the Amended and Restated Agreement and Plan of Merger, dated as of May 4, 2022.</w:t>
      </w:r>
    </w:p>
    <w:p>
      <w:pPr>
        <w:spacing w:after="0" w:line="198" w:lineRule="exact"/>
        <w:rPr>
          <w:sz w:val="20"/>
          <w:szCs w:val="20"/>
          <w:color w:val="auto"/>
        </w:rPr>
      </w:pPr>
    </w:p>
    <w:p>
      <w:pPr>
        <w:jc w:val="both"/>
        <w:ind w:firstLine="352"/>
        <w:spacing w:after="0" w:line="296" w:lineRule="auto"/>
        <w:rPr>
          <w:sz w:val="20"/>
          <w:szCs w:val="20"/>
          <w:color w:val="auto"/>
        </w:rPr>
      </w:pPr>
      <w:r>
        <w:rPr>
          <w:rFonts w:ascii="Arial" w:cs="Arial" w:eastAsia="Arial" w:hAnsi="Arial"/>
          <w:sz w:val="15"/>
          <w:szCs w:val="15"/>
          <w:color w:val="auto"/>
        </w:rPr>
        <w:t>The business combination was consummated on June 14, 2022. Holders of an aggregate of 19,123,806 Class A ordinary shares of Tuatara sold in its initial public offering properly exercised their right to have such shares redeemed for a full pro rata portion of the trust account holding the proceeds from Tuatara’s IPO, which was approximately $10.01 per share, or $191,437,817 in the aggregate. The holders that did not elect to have their shares redeemed, received, following the domestication, additional shares of common stock which amounted to 876,194 shares of common stock, resulting in total shares of 1,752,388.</w:t>
      </w:r>
    </w:p>
    <w:p>
      <w:pPr>
        <w:spacing w:after="0" w:line="17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222222"/>
        </w:rPr>
        <w:t>Beginning June 15, 2022, the ticker symbols for TCAC’s common stock and warrants were changed to “SBIG” and “SBIGW,” respectively, and commenced trading on The Nasdaq Global Market. The Company received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373" w:right="339" w:bottom="1440" w:gutter="0" w:footer="0" w:header="0"/>
        </w:sectPr>
      </w:pPr>
    </w:p>
    <w:bookmarkStart w:id="15" w:name="page16"/>
    <w:bookmarkEnd w:id="15"/>
    <w:p>
      <w:pPr>
        <w:jc w:val="both"/>
        <w:spacing w:after="0" w:line="252" w:lineRule="auto"/>
        <w:rPr>
          <w:sz w:val="20"/>
          <w:szCs w:val="20"/>
          <w:color w:val="auto"/>
        </w:rPr>
      </w:pPr>
      <w:r>
        <w:rPr>
          <w:rFonts w:ascii="Arial" w:cs="Arial" w:eastAsia="Arial" w:hAnsi="Arial"/>
          <w:sz w:val="17"/>
          <w:szCs w:val="17"/>
          <w:color w:val="222222"/>
        </w:rPr>
        <w:t>proceeds of $18.8 million, with gross proceeds of $25.1 million, in addition to the $7.0 million Convertible Notes which were issued in February 2022 and were converted into common stock at the Closing, see Note 9, 15% Convertible Promissory Notes, to these consolidated financial statements for further information. Of the amounts received, approximately $8.8 million represents remaining funds for unredeemed shares from the TCAC trust; $6.1 million from PIPE Financing proceeds and $10.0 million from the Secured Convertible Note.</w:t>
      </w:r>
    </w:p>
    <w:p>
      <w:pPr>
        <w:spacing w:after="0" w:line="202"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On April 29, 2022, the Company entered into the Stock Purchase Agreement with Cantor, which was subsequently amended on July 20, 2022. The Company, in its sole discretion, shall have the right, but not the obligation, to issue and sell to Cantor, and Cantor shall purchase from the Company, up to $50.0 million of common shares, par value $0.0001 per share, subject to certain terms and conditions.</w:t>
      </w:r>
    </w:p>
    <w:p>
      <w:pPr>
        <w:spacing w:after="0" w:line="185" w:lineRule="exact"/>
        <w:rPr>
          <w:sz w:val="20"/>
          <w:szCs w:val="20"/>
          <w:color w:val="auto"/>
        </w:rPr>
      </w:pPr>
    </w:p>
    <w:p>
      <w:pPr>
        <w:jc w:val="both"/>
        <w:ind w:firstLine="352"/>
        <w:spacing w:after="0" w:line="273" w:lineRule="auto"/>
        <w:rPr>
          <w:sz w:val="20"/>
          <w:szCs w:val="20"/>
          <w:color w:val="auto"/>
        </w:rPr>
      </w:pPr>
      <w:r>
        <w:rPr>
          <w:rFonts w:ascii="Arial" w:cs="Arial" w:eastAsia="Arial" w:hAnsi="Arial"/>
          <w:sz w:val="17"/>
          <w:szCs w:val="17"/>
          <w:color w:val="auto"/>
        </w:rPr>
        <w:t>The following table provides a summary of the significant sources and uses of cash related to the closing of the business combination on June 14, 2022,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available after paying TCAC redeeming stockholders</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8,771</w:t>
            </w:r>
          </w:p>
        </w:tc>
        <w:tc>
          <w:tcPr>
            <w:tcW w:w="0" w:type="dxa"/>
            <w:vAlign w:val="bottom"/>
          </w:tcPr>
          <w:p>
            <w:pPr>
              <w:spacing w:after="0"/>
              <w:rPr>
                <w:sz w:val="1"/>
                <w:szCs w:val="1"/>
                <w:color w:val="auto"/>
              </w:rPr>
            </w:pPr>
          </w:p>
        </w:tc>
      </w:tr>
      <w:tr>
        <w:trPr>
          <w:trHeight w:val="223"/>
        </w:trPr>
        <w:tc>
          <w:tcPr>
            <w:tcW w:w="9020" w:type="dxa"/>
            <w:vAlign w:val="bottom"/>
          </w:tcPr>
          <w:p>
            <w:pPr>
              <w:ind w:left="20"/>
              <w:spacing w:after="0"/>
              <w:rPr>
                <w:sz w:val="20"/>
                <w:szCs w:val="20"/>
                <w:color w:val="auto"/>
              </w:rPr>
            </w:pPr>
            <w:r>
              <w:rPr>
                <w:rFonts w:ascii="Arial" w:cs="Arial" w:eastAsia="Arial" w:hAnsi="Arial"/>
                <w:sz w:val="17"/>
                <w:szCs w:val="17"/>
                <w:color w:val="auto"/>
              </w:rPr>
              <w:t>Proceeds from convertible notes</w:t>
            </w:r>
          </w:p>
        </w:tc>
        <w:tc>
          <w:tcPr>
            <w:tcW w:w="7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PIPE Financing</w:t>
            </w:r>
          </w:p>
        </w:tc>
        <w:tc>
          <w:tcPr>
            <w:tcW w:w="7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6,100</w:t>
            </w: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TCAC operating account</w:t>
            </w:r>
          </w:p>
        </w:tc>
        <w:tc>
          <w:tcPr>
            <w:tcW w:w="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proceeds available at closing</w:t>
            </w: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25,135</w:t>
            </w: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Expenses paid at closing</w:t>
            </w:r>
          </w:p>
        </w:tc>
        <w:tc>
          <w:tcPr>
            <w:tcW w:w="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to Legacy SpringBig at closing</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18,789</w:t>
            </w: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Post closing expense (cash paid or accrued for expenses by Legacy SpringBig)</w:t>
            </w:r>
          </w:p>
        </w:tc>
        <w:tc>
          <w:tcPr>
            <w:tcW w:w="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(8,604)</w:t>
            </w:r>
          </w:p>
        </w:tc>
        <w:tc>
          <w:tcPr>
            <w:tcW w:w="0" w:type="dxa"/>
            <w:vAlign w:val="bottom"/>
          </w:tcPr>
          <w:p>
            <w:pPr>
              <w:spacing w:after="0"/>
              <w:rPr>
                <w:sz w:val="1"/>
                <w:szCs w:val="1"/>
                <w:color w:val="auto"/>
              </w:rPr>
            </w:pPr>
          </w:p>
        </w:tc>
      </w:tr>
      <w:tr>
        <w:trPr>
          <w:trHeight w:val="241"/>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after closing</w:t>
            </w: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10,185</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w w:val="99"/>
              </w:rPr>
              <w:t>The following table provides a reconciliation of the common shares related to the business combination transaction:</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90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TCAC non-redeeming shareholders</w:t>
            </w:r>
          </w:p>
        </w:tc>
        <w:tc>
          <w:tcPr>
            <w:tcW w:w="7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1,752,388</w:t>
            </w:r>
          </w:p>
        </w:tc>
        <w:tc>
          <w:tcPr>
            <w:tcW w:w="0" w:type="dxa"/>
            <w:vAlign w:val="bottom"/>
          </w:tcPr>
          <w:p>
            <w:pPr>
              <w:spacing w:after="0"/>
              <w:rPr>
                <w:sz w:val="1"/>
                <w:szCs w:val="1"/>
                <w:color w:val="auto"/>
              </w:rPr>
            </w:pPr>
          </w:p>
        </w:tc>
      </w:tr>
      <w:tr>
        <w:trPr>
          <w:trHeight w:val="223"/>
        </w:trPr>
        <w:tc>
          <w:tcPr>
            <w:tcW w:w="9020" w:type="dxa"/>
            <w:vAlign w:val="bottom"/>
          </w:tcPr>
          <w:p>
            <w:pPr>
              <w:ind w:left="20"/>
              <w:spacing w:after="0"/>
              <w:rPr>
                <w:sz w:val="20"/>
                <w:szCs w:val="20"/>
                <w:color w:val="auto"/>
              </w:rPr>
            </w:pPr>
            <w:r>
              <w:rPr>
                <w:rFonts w:ascii="Arial" w:cs="Arial" w:eastAsia="Arial" w:hAnsi="Arial"/>
                <w:sz w:val="17"/>
                <w:szCs w:val="17"/>
                <w:color w:val="auto"/>
              </w:rPr>
              <w:t>PIPE Investors</w:t>
            </w:r>
          </w:p>
        </w:tc>
        <w:tc>
          <w:tcPr>
            <w:tcW w:w="7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1,341,356</w:t>
            </w: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TCAC sponsor shareholders</w:t>
            </w:r>
          </w:p>
        </w:tc>
        <w:tc>
          <w:tcPr>
            <w:tcW w:w="7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Legacy SpringBig shareholders</w:t>
            </w:r>
          </w:p>
        </w:tc>
        <w:tc>
          <w:tcPr>
            <w:tcW w:w="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18,196,526</w:t>
            </w:r>
          </w:p>
        </w:tc>
        <w:tc>
          <w:tcPr>
            <w:tcW w:w="0" w:type="dxa"/>
            <w:vAlign w:val="bottom"/>
          </w:tcPr>
          <w:p>
            <w:pPr>
              <w:spacing w:after="0"/>
              <w:rPr>
                <w:sz w:val="1"/>
                <w:szCs w:val="1"/>
                <w:color w:val="auto"/>
              </w:rPr>
            </w:pPr>
          </w:p>
        </w:tc>
      </w:tr>
      <w:tr>
        <w:trPr>
          <w:trHeight w:val="241"/>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Issued and outstanding</w:t>
            </w:r>
          </w:p>
        </w:tc>
        <w:tc>
          <w:tcPr>
            <w:tcW w:w="7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25,290,270</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352"/>
        <w:spacing w:after="0" w:line="249" w:lineRule="auto"/>
        <w:rPr>
          <w:sz w:val="20"/>
          <w:szCs w:val="20"/>
          <w:color w:val="auto"/>
        </w:rPr>
      </w:pPr>
      <w:r>
        <w:rPr>
          <w:rFonts w:ascii="Arial" w:cs="Arial" w:eastAsia="Arial" w:hAnsi="Arial"/>
          <w:sz w:val="17"/>
          <w:szCs w:val="17"/>
          <w:color w:val="auto"/>
        </w:rPr>
        <w:t xml:space="preserve">Of the 1,341,356 shares of common stock shown above, 730,493 shares were issued to holders of the Convertible Note (which was converted Closing), representing repayment of principal of $7.0 million and outstanding interest of $305,000, in accordance with the terms of the Convertible Notes. See Note 9, 15% Convertible Promissory Note, </w:t>
      </w:r>
      <w:r>
        <w:rPr>
          <w:rFonts w:ascii="Arial" w:cs="Arial" w:eastAsia="Arial" w:hAnsi="Arial"/>
          <w:sz w:val="17"/>
          <w:szCs w:val="17"/>
          <w:color w:val="222222"/>
        </w:rPr>
        <w:t>to these consolidated financial statements for further information</w:t>
      </w:r>
      <w:r>
        <w:rPr>
          <w:rFonts w:ascii="Arial" w:cs="Arial" w:eastAsia="Arial" w:hAnsi="Arial"/>
          <w:sz w:val="17"/>
          <w:szCs w:val="17"/>
          <w:color w:val="auto"/>
        </w:rPr>
        <w:t>.</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7"/>
          <w:szCs w:val="17"/>
          <w:u w:val="single" w:color="auto"/>
          <w:color w:val="auto"/>
        </w:rPr>
        <w:t>Acquisition of Beaches Development Group Ltd</w:t>
      </w:r>
    </w:p>
    <w:p>
      <w:pPr>
        <w:spacing w:after="0" w:line="237" w:lineRule="exact"/>
        <w:rPr>
          <w:sz w:val="20"/>
          <w:szCs w:val="20"/>
          <w:color w:val="auto"/>
        </w:rPr>
      </w:pPr>
    </w:p>
    <w:p>
      <w:pPr>
        <w:jc w:val="both"/>
        <w:ind w:firstLine="352"/>
        <w:spacing w:after="0" w:line="273" w:lineRule="auto"/>
        <w:rPr>
          <w:sz w:val="20"/>
          <w:szCs w:val="20"/>
          <w:color w:val="auto"/>
        </w:rPr>
      </w:pPr>
      <w:r>
        <w:rPr>
          <w:rFonts w:ascii="Arial" w:cs="Arial" w:eastAsia="Arial" w:hAnsi="Arial"/>
          <w:sz w:val="17"/>
          <w:szCs w:val="17"/>
          <w:color w:val="auto"/>
        </w:rPr>
        <w:t>In January 2021, the Company formed Medici Canada LLC, an indirect wholly owned subsidiary of the Company, to acquire all the issued and outstanding capital stock of Beaches Development Group LTD, an Ontario corporation, pursuant to a stock purchase agreement.</w:t>
      </w:r>
    </w:p>
    <w:p>
      <w:pPr>
        <w:spacing w:after="0" w:line="185" w:lineRule="exact"/>
        <w:rPr>
          <w:sz w:val="20"/>
          <w:szCs w:val="20"/>
          <w:color w:val="auto"/>
        </w:rPr>
      </w:pPr>
    </w:p>
    <w:p>
      <w:pPr>
        <w:jc w:val="both"/>
        <w:ind w:firstLine="352"/>
        <w:spacing w:after="0" w:line="257" w:lineRule="auto"/>
        <w:rPr>
          <w:sz w:val="20"/>
          <w:szCs w:val="20"/>
          <w:color w:val="auto"/>
        </w:rPr>
      </w:pPr>
      <w:r>
        <w:rPr>
          <w:rFonts w:ascii="Arial" w:cs="Arial" w:eastAsia="Arial" w:hAnsi="Arial"/>
          <w:sz w:val="17"/>
          <w:szCs w:val="17"/>
          <w:color w:val="auto"/>
        </w:rPr>
        <w:t>The fair value of the consideration paid in connection with this transaction was satisfied through the issuance of 107,297 shares of the Company’s common stock, par value $0.0001 per share (180,972 converted at a conversion rate of 0.59289 into SpringBig Holdings, Inc. shares), valued at $135,000, and $155,000 in cash.</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purchase price allocation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373" w:right="339" w:bottom="1440" w:gutter="0" w:footer="0" w:header="0"/>
        </w:sectPr>
      </w:pPr>
    </w:p>
    <w:bookmarkStart w:id="16" w:name="page17"/>
    <w:bookmarkEnd w:id="16"/>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513"/>
              <w:spacing w:after="0"/>
              <w:rPr>
                <w:sz w:val="20"/>
                <w:szCs w:val="20"/>
                <w:color w:val="auto"/>
              </w:rPr>
            </w:pPr>
            <w:r>
              <w:rPr>
                <w:rFonts w:ascii="Arial" w:cs="Arial" w:eastAsia="Arial" w:hAnsi="Arial"/>
                <w:sz w:val="17"/>
                <w:szCs w:val="17"/>
                <w:b w:val="1"/>
                <w:bCs w:val="1"/>
                <w:color w:val="auto"/>
              </w:rPr>
              <w:t>June 30, 2021</w:t>
            </w:r>
          </w:p>
        </w:tc>
      </w:tr>
      <w:tr>
        <w:trPr>
          <w:trHeight w:val="223"/>
        </w:trPr>
        <w:tc>
          <w:tcPr>
            <w:tcW w:w="9020" w:type="dxa"/>
            <w:vAlign w:val="bottom"/>
          </w:tcPr>
          <w:p>
            <w:pPr>
              <w:ind w:left="20"/>
              <w:spacing w:after="0"/>
              <w:rPr>
                <w:sz w:val="20"/>
                <w:szCs w:val="20"/>
                <w:color w:val="auto"/>
              </w:rPr>
            </w:pPr>
            <w:r>
              <w:rPr>
                <w:rFonts w:ascii="Arial" w:cs="Arial" w:eastAsia="Arial" w:hAnsi="Arial"/>
                <w:sz w:val="17"/>
                <w:szCs w:val="17"/>
                <w:color w:val="auto"/>
              </w:rPr>
              <w:t>Fair value of shares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Post combination cost - restricted shares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6"/>
        </w:trPr>
        <w:tc>
          <w:tcPr>
            <w:tcW w:w="9020" w:type="dxa"/>
            <w:vAlign w:val="bottom"/>
          </w:tcPr>
          <w:p>
            <w:pPr>
              <w:ind w:left="20"/>
              <w:spacing w:after="0"/>
              <w:rPr>
                <w:sz w:val="20"/>
                <w:szCs w:val="20"/>
                <w:color w:val="auto"/>
              </w:rPr>
            </w:pPr>
            <w:r>
              <w:rPr>
                <w:rFonts w:ascii="Arial" w:cs="Arial" w:eastAsia="Arial" w:hAnsi="Arial"/>
                <w:sz w:val="17"/>
                <w:szCs w:val="17"/>
                <w:color w:val="auto"/>
              </w:rPr>
              <w:t>Fair value of net shares</w:t>
            </w:r>
          </w:p>
        </w:tc>
        <w:tc>
          <w:tcPr>
            <w:tcW w:w="3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Indemnity holdback</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41"/>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purchase consideration</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9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assumed</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3"/>
        </w:trPr>
        <w:tc>
          <w:tcPr>
            <w:tcW w:w="9020" w:type="dxa"/>
            <w:vAlign w:val="bottom"/>
          </w:tcPr>
          <w:p>
            <w:pPr>
              <w:ind w:left="20"/>
              <w:spacing w:after="0"/>
              <w:rPr>
                <w:sz w:val="20"/>
                <w:szCs w:val="20"/>
                <w:color w:val="auto"/>
              </w:rPr>
            </w:pPr>
            <w:r>
              <w:rPr>
                <w:rFonts w:ascii="Arial" w:cs="Arial" w:eastAsia="Arial" w:hAnsi="Arial"/>
                <w:sz w:val="17"/>
                <w:szCs w:val="17"/>
                <w:color w:val="auto"/>
              </w:rPr>
              <w:t>Goodwill</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Intangibles (Software)</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16"/>
        </w:trPr>
        <w:tc>
          <w:tcPr>
            <w:tcW w:w="9020" w:type="dxa"/>
            <w:vAlign w:val="bottom"/>
          </w:tcPr>
          <w:p>
            <w:pPr>
              <w:ind w:left="20"/>
              <w:spacing w:after="0"/>
              <w:rPr>
                <w:sz w:val="20"/>
                <w:szCs w:val="20"/>
                <w:color w:val="auto"/>
              </w:rPr>
            </w:pPr>
            <w:r>
              <w:rPr>
                <w:rFonts w:ascii="Arial" w:cs="Arial" w:eastAsia="Arial" w:hAnsi="Arial"/>
                <w:sz w:val="17"/>
                <w:szCs w:val="17"/>
                <w:color w:val="auto"/>
              </w:rPr>
              <w:t>Fair value of assets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r>
      <w:tr>
        <w:trPr>
          <w:trHeight w:val="20"/>
        </w:trPr>
        <w:tc>
          <w:tcPr>
            <w:tcW w:w="9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352"/>
        <w:spacing w:after="0" w:line="260" w:lineRule="auto"/>
        <w:rPr>
          <w:sz w:val="20"/>
          <w:szCs w:val="20"/>
          <w:color w:val="auto"/>
        </w:rPr>
      </w:pPr>
      <w:r>
        <w:rPr>
          <w:rFonts w:ascii="Arial" w:cs="Arial" w:eastAsia="Arial" w:hAnsi="Arial"/>
          <w:sz w:val="16"/>
          <w:szCs w:val="16"/>
          <w:color w:val="auto"/>
        </w:rPr>
        <w:t>Of the 107,297 shares, 39,762 shares with a value of approximately $50,000 were issued to the sellers at the closing of the transaction. Two of the sellers signed employment contracts with Beaches Development Group LTD; 67,535 shares were allocated to them as purchase consideration with a value of $85,000 and were unvested as of the closing date of the acquisition (or the “acquisition date”). Such unvested shares were schedule to vest, over a two-year period, with 50% in the first year 1 and the remaining 50% in the second year following the acquisition date. As a result, the shares were treated as post-combination expense and were restricted at the time of issuance. All unvested shares were subsequently vested with the consummation of the business combination on June 14, 2022. The Company incurred expense totaling $18,000 and $27,000 for the three and six months ended June 30, 2022, and $16,000 and $27,000 for the three and six months ended June 30, 2021, respectively, related to these shares which is included in general and administrative expense on the statement of operations, with the exception of $14,000, which is classified as merger cost as a result of early vesting in connection with the completion of the business combination with Tuatara. The amount is included under additional paid in capital as part of merger expenses.</w:t>
      </w:r>
    </w:p>
    <w:p>
      <w:pPr>
        <w:spacing w:after="0" w:line="199" w:lineRule="exact"/>
        <w:rPr>
          <w:sz w:val="20"/>
          <w:szCs w:val="20"/>
          <w:color w:val="auto"/>
        </w:rPr>
      </w:pPr>
    </w:p>
    <w:p>
      <w:pPr>
        <w:jc w:val="both"/>
        <w:ind w:firstLine="352"/>
        <w:spacing w:after="0" w:line="257" w:lineRule="auto"/>
        <w:rPr>
          <w:sz w:val="20"/>
          <w:szCs w:val="20"/>
          <w:color w:val="auto"/>
        </w:rPr>
      </w:pPr>
      <w:r>
        <w:rPr>
          <w:rFonts w:ascii="Arial" w:cs="Arial" w:eastAsia="Arial" w:hAnsi="Arial"/>
          <w:sz w:val="17"/>
          <w:szCs w:val="17"/>
          <w:color w:val="auto"/>
        </w:rPr>
        <w:t>Approximately $23,000 of the cash price was initially withheld as an indemnity holdback to offset any losses payable by the Company for a period of 12 months, any remaining indemnity shall be released to the seller’s representative thereafter. The indemnity holdback was paid to the seller during the six months ended June 30, 2022.</w:t>
      </w:r>
    </w:p>
    <w:p>
      <w:pPr>
        <w:spacing w:after="0" w:line="198" w:lineRule="exact"/>
        <w:rPr>
          <w:sz w:val="20"/>
          <w:szCs w:val="20"/>
          <w:color w:val="auto"/>
        </w:rPr>
      </w:pPr>
    </w:p>
    <w:p>
      <w:pPr>
        <w:jc w:val="both"/>
        <w:ind w:firstLine="352"/>
        <w:spacing w:after="0" w:line="246" w:lineRule="auto"/>
        <w:rPr>
          <w:sz w:val="20"/>
          <w:szCs w:val="20"/>
          <w:color w:val="auto"/>
        </w:rPr>
      </w:pPr>
      <w:r>
        <w:rPr>
          <w:rFonts w:ascii="Arial" w:cs="Arial" w:eastAsia="Arial" w:hAnsi="Arial"/>
          <w:sz w:val="17"/>
          <w:szCs w:val="17"/>
          <w:color w:val="auto"/>
        </w:rPr>
        <w:t>Medici Canada LLC assumed cash totaling $9,000; this was the only tangible asset assumed at purchase, no liabilities assumed. The purchase price was allocated to the cash assumed with the excess of $196,000 allocated to software intangible assets and is included under property and equipment in the Company’s balance sheet as of June 30, 2022 and December 31, 2021. The Company adopted a cost to replace valuation approach in ascertaining the value of the software.</w:t>
      </w:r>
    </w:p>
    <w:p>
      <w:pPr>
        <w:spacing w:after="0" w:line="208" w:lineRule="exact"/>
        <w:rPr>
          <w:sz w:val="20"/>
          <w:szCs w:val="20"/>
          <w:color w:val="auto"/>
        </w:rPr>
      </w:pPr>
    </w:p>
    <w:p>
      <w:pPr>
        <w:jc w:val="both"/>
        <w:ind w:firstLine="352"/>
        <w:spacing w:after="0" w:line="257" w:lineRule="auto"/>
        <w:rPr>
          <w:sz w:val="20"/>
          <w:szCs w:val="20"/>
          <w:color w:val="auto"/>
        </w:rPr>
      </w:pPr>
      <w:r>
        <w:rPr>
          <w:rFonts w:ascii="Arial" w:cs="Arial" w:eastAsia="Arial" w:hAnsi="Arial"/>
          <w:sz w:val="17"/>
          <w:szCs w:val="17"/>
          <w:color w:val="auto"/>
        </w:rPr>
        <w:t>Software intangible assets are being amortized over a three-year period. The Company incurred amortization expense of approximately $16,000 and $32,000, respectively, for the three and six months ended June 30, 2022, which is included in general and administrative expenses in the consolidated statement of operation. The aggregate remaining amortization expense is approximately $104,000.</w:t>
      </w:r>
    </w:p>
    <w:p>
      <w:pPr>
        <w:spacing w:after="0" w:line="198" w:lineRule="exact"/>
        <w:rPr>
          <w:sz w:val="20"/>
          <w:szCs w:val="20"/>
          <w:color w:val="auto"/>
        </w:rPr>
      </w:pPr>
    </w:p>
    <w:p>
      <w:pPr>
        <w:jc w:val="both"/>
        <w:ind w:firstLine="352"/>
        <w:spacing w:after="0" w:line="273" w:lineRule="auto"/>
        <w:rPr>
          <w:sz w:val="20"/>
          <w:szCs w:val="20"/>
          <w:color w:val="auto"/>
        </w:rPr>
      </w:pPr>
      <w:r>
        <w:rPr>
          <w:rFonts w:ascii="Arial" w:cs="Arial" w:eastAsia="Arial" w:hAnsi="Arial"/>
          <w:sz w:val="17"/>
          <w:szCs w:val="17"/>
          <w:color w:val="auto"/>
        </w:rPr>
        <w:t>We incurred costs related to the acquisition of approximately, $11,000 during the six months ended June 30, 2021. All acquisition related costs were expensed as incurred and have been recorded in general and administrative expenses in our consolidated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15% CONVERTIBLE PROMISSORY NOTES</w:t>
      </w:r>
    </w:p>
    <w:p>
      <w:pPr>
        <w:spacing w:after="0" w:line="243"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February 2022, the Company issued $7.0 million in aggregate principal amount of convertible promissory notes due September 30, 2022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jc w:val="both"/>
        <w:ind w:firstLine="352"/>
        <w:spacing w:after="0" w:line="249" w:lineRule="auto"/>
        <w:rPr>
          <w:sz w:val="20"/>
          <w:szCs w:val="20"/>
          <w:color w:val="auto"/>
        </w:rPr>
      </w:pPr>
      <w:r>
        <w:rPr>
          <w:rFonts w:ascii="Arial" w:cs="Arial" w:eastAsia="Arial" w:hAnsi="Arial"/>
          <w:sz w:val="17"/>
          <w:szCs w:val="17"/>
          <w:color w:val="auto"/>
        </w:rPr>
        <w:t>The Convertible Notes accrued interest at the rate of 15.0% per annum on the principal amount of the Convertible Notes, due and payable at the maturity date of September 30, 2022 (the “Maturity Date”), if not converted prior to the maturity date. Under the terms of such notes, the conversion of the Convertible Notes could be triggered by the closing of the business combination between Tuatara and Legacy SpringBig, the occurrence of the stated maturity date, or in connection with certain equity issuances. The Convertible Notes contained customary events of default such as failures to observe or perform any covenants, obligation, condition or agreement contained in the Convertible Notes and commencement of bankruptcy.</w:t>
      </w:r>
    </w:p>
    <w:p>
      <w:pPr>
        <w:spacing w:after="0" w:line="2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connection with the consummation of the business combination, the Convertible Notes and outstanding accrued interest converted in full into 730,493 of common stock at a price of $10.00 per share, representing repayment of principal of $7.0 million and outstanding interest of $305,000, in accordance with the terms of the Convertible Notes.</w:t>
      </w:r>
    </w:p>
    <w:p>
      <w:pPr>
        <w:spacing w:after="0" w:line="19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recorded $216,000 and $305,000 of interest expense on the Convertible Notes for the three months ended and six months ended June 30, 2022,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SENIOR SECURED CONVERTIBLE NOTES</w:t>
      </w:r>
    </w:p>
    <w:p>
      <w:pPr>
        <w:spacing w:after="0" w:line="243"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 The Secured Convertible Notes accrue interest at the rate of 6.0% per annum which is payable quarterly in arrears, commencing six months after issuance, which may be settled in cash. The Company may, at its option, satisfy each principal payment either in cash or, if certain conditions set forth in the Secured Convertible Notes are met, by issuing a number of shares of common stock equal to the amount due on such date divided by the lower of (i) the number of shares determined based on at a rate of $12.00 per share or (ii) 93% of the volume-weighted average price prior to such monthly payment date.</w:t>
      </w:r>
    </w:p>
    <w:p>
      <w:pPr>
        <w:spacing w:after="0" w:line="210" w:lineRule="exact"/>
        <w:rPr>
          <w:sz w:val="20"/>
          <w:szCs w:val="20"/>
          <w:color w:val="auto"/>
        </w:rPr>
      </w:pPr>
    </w:p>
    <w:p>
      <w:pPr>
        <w:jc w:val="both"/>
        <w:ind w:firstLine="315"/>
        <w:spacing w:after="0" w:line="245" w:lineRule="auto"/>
        <w:rPr>
          <w:sz w:val="20"/>
          <w:szCs w:val="20"/>
          <w:color w:val="auto"/>
        </w:rPr>
      </w:pPr>
      <w:r>
        <w:rPr>
          <w:rFonts w:ascii="Arial" w:cs="Arial" w:eastAsia="Arial" w:hAnsi="Arial"/>
          <w:sz w:val="17"/>
          <w:szCs w:val="17"/>
          <w:color w:val="auto"/>
        </w:rPr>
        <w:t>The issuance of the Secured Convertible Notes allows up to $16.0 million principal amount to be issued which has been subscribed for by a global institutional investor. The initial tranche of $11.0 million closed in connection with the closing of the merger. The second tranche of $5.0 million, subject to certain conditions in the agreement, will close 60 days after a resale registration statement regarding the common stock underlying the Secured Convertible Notes and Convertible Warrants (defined below) is declared effective by the SEC, or at such other time as is determined by the Company and the investor, subject to certain conditions.</w:t>
      </w:r>
    </w:p>
    <w:p>
      <w:pPr>
        <w:spacing w:after="0" w:line="209"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A warrant representing 586,980 shares of common stock of the Company (the “Convertible Warrant”) was also issued in a private placement with the purchaser party thereto. The Convertible Warrant is exercisable for shares of the Company’s common stock at an exercise price of $12.00 per share, subject to certain anti-dilution adjustments.</w:t>
      </w:r>
    </w:p>
    <w:p>
      <w:pPr>
        <w:spacing w:after="0" w:line="198"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Note is convertible at the option of the holder beginning at the earlier of (i) the date of effectiveness of a registration statement as contemplated in that certain Registration Rights Agreement entered into between the Company and the purchaser party thereto or (ii) June 14, 2023 at an initial conversion share price of $12.00 per share.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Secured Convertible Notes are secured against substantially all the assets of the Company and each material subsidiary, including Legacy SpringBig.</w:t>
      </w:r>
    </w:p>
    <w:p>
      <w:pPr>
        <w:spacing w:after="0" w:line="249"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The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issue additional equity (outside of the equity facility with Cantor, issuances under our equity compensation plan and other limited exceptions); enter into variable rate transactions (exclusive of the equity facility with Cantor); and adopt certain amendments to our governing documents, among other restrictions. The Notes also contains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373" w:right="339" w:bottom="1440" w:gutter="0" w:footer="0" w:header="0"/>
        </w:sectPr>
      </w:pPr>
    </w:p>
    <w:bookmarkStart w:id="18" w:name="page19"/>
    <w:bookmarkEnd w:id="18"/>
    <w:p>
      <w:pPr>
        <w:spacing w:after="0" w:line="183"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 xml:space="preserve">The Company determined that the Secured Convertible Notes meet the variable share obligations requirements under ASC 480, </w:t>
      </w:r>
      <w:r>
        <w:rPr>
          <w:rFonts w:ascii="Arial" w:cs="Arial" w:eastAsia="Arial" w:hAnsi="Arial"/>
          <w:sz w:val="17"/>
          <w:szCs w:val="17"/>
          <w:i w:val="1"/>
          <w:iCs w:val="1"/>
          <w:color w:val="auto"/>
        </w:rPr>
        <w:t>Distinguishing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From Equity</w:t>
      </w:r>
      <w:r>
        <w:rPr>
          <w:rFonts w:ascii="Arial" w:cs="Arial" w:eastAsia="Arial" w:hAnsi="Arial"/>
          <w:sz w:val="17"/>
          <w:szCs w:val="17"/>
          <w:color w:val="auto"/>
        </w:rPr>
        <w:t>, as a result is classified as a liability measured at fair value, with changes in fair value recognized in earnings.</w:t>
      </w:r>
    </w:p>
    <w:p>
      <w:pPr>
        <w:spacing w:after="0" w:line="172"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 xml:space="preserve">The Company adopted ASU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xml:space="preserve"> and elected to carry the Secured Convertible Notes at fair value. The fair value is determined in accordance with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See Note 15, Fair Value Measurements, to the accompanying consolidated financial statements for further information.</w:t>
      </w:r>
    </w:p>
    <w:p>
      <w:pPr>
        <w:spacing w:after="0" w:line="21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At June 30, 2022, the outstanding principal of the Secured Convertible Notes was $11.0 million with a carrying value of $9.8 million, net of discount of $1.2 million.</w:t>
      </w:r>
    </w:p>
    <w:p>
      <w:pPr>
        <w:spacing w:after="0" w:line="18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recorded a change in fair value gain of approximately $11,000 for the three and six months ended June 30, 2022, the amount is included in the statement of operations for the period ended.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WARRANT LIABILITIES</w:t>
      </w:r>
    </w:p>
    <w:p>
      <w:pPr>
        <w:spacing w:after="0" w:line="243"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Prior to the business combination, at the time of their initial public offering, TCAC issued warrants to purchase 10,000,000 Class A ordinary shares at a price of $11.50 per whole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spacing w:after="0" w:line="202"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 xml:space="preserve">The Company accounts for the warrants in accordance with the guidance contained in ASC </w:t>
      </w:r>
      <w:r>
        <w:rPr>
          <w:rFonts w:ascii="Arial" w:cs="Arial" w:eastAsia="Arial" w:hAnsi="Arial"/>
          <w:sz w:val="17"/>
          <w:szCs w:val="17"/>
          <w:i w:val="1"/>
          <w:iCs w:val="1"/>
          <w:color w:val="auto"/>
        </w:rPr>
        <w:t>815 Derivatives and Hedging,</w:t>
      </w:r>
      <w:r>
        <w:rPr>
          <w:rFonts w:ascii="Arial" w:cs="Arial" w:eastAsia="Arial" w:hAnsi="Arial"/>
          <w:sz w:val="17"/>
          <w:szCs w:val="17"/>
          <w:color w:val="auto"/>
        </w:rPr>
        <w:t xml:space="preserve"> under which the warrants do not meet the criteria for equity treatment and hence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June 30, 2022, the estimated fair value of the warrants is $1.6 million.</w:t>
      </w:r>
    </w:p>
    <w:p>
      <w:pPr>
        <w:spacing w:after="0" w:line="250"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recorded a change in fair value gain of approximately $2.9 million for the three and six months ended June 30, 2022, the amount is included in the statements of operations for the periods then ended.</w:t>
      </w:r>
    </w:p>
    <w:p>
      <w:pPr>
        <w:spacing w:after="0" w:line="17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The fair value is determined in accordance with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See Note 15, Fair Value Measurements, to the accompanying consolidated financial statements for further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REVENUE RECOGNITION</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represents our revenues disaggregated by type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00" w:type="dxa"/>
            <w:vAlign w:val="bottom"/>
            <w:shd w:val="clear" w:color="auto" w:fill="CCEEFF"/>
          </w:tcPr>
          <w:p>
            <w:pPr>
              <w:spacing w:after="0"/>
              <w:rPr>
                <w:sz w:val="19"/>
                <w:szCs w:val="19"/>
                <w:color w:val="auto"/>
              </w:rPr>
            </w:pPr>
          </w:p>
        </w:tc>
        <w:tc>
          <w:tcPr>
            <w:tcW w:w="3180" w:type="dxa"/>
            <w:vAlign w:val="bottom"/>
            <w:gridSpan w:val="4"/>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Three Months Ended June 30,</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360" w:type="dxa"/>
            <w:vAlign w:val="bottom"/>
            <w:gridSpan w:val="4"/>
            <w:shd w:val="clear" w:color="auto" w:fill="CCEEFF"/>
          </w:tcPr>
          <w:p>
            <w:pPr>
              <w:jc w:val="right"/>
              <w:ind w:right="773"/>
              <w:spacing w:after="0"/>
              <w:rPr>
                <w:sz w:val="20"/>
                <w:szCs w:val="20"/>
                <w:color w:val="auto"/>
              </w:rPr>
            </w:pPr>
            <w:r>
              <w:rPr>
                <w:rFonts w:ascii="Arial" w:cs="Arial" w:eastAsia="Arial" w:hAnsi="Arial"/>
                <w:sz w:val="17"/>
                <w:szCs w:val="17"/>
                <w:b w:val="1"/>
                <w:bCs w:val="1"/>
                <w:color w:val="auto"/>
              </w:rPr>
              <w:t>Six Months Ended June 30,</w:t>
            </w:r>
          </w:p>
        </w:tc>
      </w:tr>
      <w:tr>
        <w:trPr>
          <w:trHeight w:val="223"/>
        </w:trPr>
        <w:tc>
          <w:tcPr>
            <w:tcW w:w="35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2022</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1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3"/>
        </w:trPr>
        <w:tc>
          <w:tcPr>
            <w:tcW w:w="3500" w:type="dxa"/>
            <w:vAlign w:val="bottom"/>
          </w:tcPr>
          <w:p>
            <w:pPr>
              <w:ind w:left="240"/>
              <w:spacing w:after="0"/>
              <w:rPr>
                <w:sz w:val="20"/>
                <w:szCs w:val="20"/>
                <w:color w:val="auto"/>
              </w:rPr>
            </w:pPr>
            <w:r>
              <w:rPr>
                <w:rFonts w:ascii="Arial" w:cs="Arial" w:eastAsia="Arial" w:hAnsi="Arial"/>
                <w:sz w:val="17"/>
                <w:szCs w:val="17"/>
                <w:color w:val="auto"/>
              </w:rPr>
              <w:t>Brand revenue</w:t>
            </w:r>
          </w:p>
        </w:tc>
        <w:tc>
          <w:tcPr>
            <w:tcW w:w="1200" w:type="dxa"/>
            <w:vAlign w:val="bottom"/>
          </w:tcPr>
          <w:p>
            <w:pPr>
              <w:jc w:val="right"/>
              <w:ind w:right="1013"/>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248</w:t>
            </w:r>
          </w:p>
        </w:tc>
        <w:tc>
          <w:tcPr>
            <w:tcW w:w="180" w:type="dxa"/>
            <w:vAlign w:val="bottom"/>
          </w:tcPr>
          <w:p>
            <w:pPr>
              <w:spacing w:after="0"/>
              <w:rPr>
                <w:sz w:val="19"/>
                <w:szCs w:val="19"/>
                <w:color w:val="auto"/>
              </w:rPr>
            </w:pPr>
          </w:p>
        </w:tc>
        <w:tc>
          <w:tcPr>
            <w:tcW w:w="1200" w:type="dxa"/>
            <w:vAlign w:val="bottom"/>
          </w:tcPr>
          <w:p>
            <w:pPr>
              <w:jc w:val="right"/>
              <w:ind w:right="1013"/>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152</w:t>
            </w:r>
          </w:p>
        </w:tc>
        <w:tc>
          <w:tcPr>
            <w:tcW w:w="18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438</w:t>
            </w:r>
          </w:p>
        </w:tc>
        <w:tc>
          <w:tcPr>
            <w:tcW w:w="18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284</w:t>
            </w:r>
          </w:p>
        </w:tc>
      </w:tr>
      <w:tr>
        <w:trPr>
          <w:trHeight w:val="223"/>
        </w:trPr>
        <w:tc>
          <w:tcPr>
            <w:tcW w:w="3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Retail revenue</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6,336</w:t>
            </w:r>
          </w:p>
        </w:tc>
        <w:tc>
          <w:tcPr>
            <w:tcW w:w="1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5,652</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12,510</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10,729</w:t>
            </w:r>
          </w:p>
        </w:tc>
      </w:tr>
      <w:tr>
        <w:trPr>
          <w:trHeight w:val="216"/>
        </w:trPr>
        <w:tc>
          <w:tcPr>
            <w:tcW w:w="350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1200" w:type="dxa"/>
            <w:vAlign w:val="bottom"/>
            <w:tcBorders>
              <w:bottom w:val="single" w:sz="8" w:color="auto"/>
            </w:tcBorders>
          </w:tcPr>
          <w:p>
            <w:pPr>
              <w:jc w:val="right"/>
              <w:ind w:right="101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6,584</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ind w:right="101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5,804</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12,948</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11,013</w:t>
            </w:r>
          </w:p>
        </w:tc>
      </w:tr>
      <w:tr>
        <w:trPr>
          <w:trHeight w:val="20"/>
        </w:trPr>
        <w:tc>
          <w:tcPr>
            <w:tcW w:w="3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4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i w:val="1"/>
                <w:iCs w:val="1"/>
                <w:color w:val="auto"/>
                <w:w w:val="91"/>
              </w:rPr>
              <w:t>Geographic Information</w:t>
            </w: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452"/>
        </w:trPr>
        <w:tc>
          <w:tcPr>
            <w:tcW w:w="320" w:type="dxa"/>
            <w:vAlign w:val="bottom"/>
          </w:tcPr>
          <w:p>
            <w:pPr>
              <w:spacing w:after="0"/>
              <w:rPr>
                <w:sz w:val="24"/>
                <w:szCs w:val="24"/>
                <w:color w:val="auto"/>
              </w:rPr>
            </w:pPr>
          </w:p>
        </w:tc>
        <w:tc>
          <w:tcPr>
            <w:tcW w:w="5160" w:type="dxa"/>
            <w:vAlign w:val="bottom"/>
            <w:gridSpan w:val="5"/>
          </w:tcPr>
          <w:p>
            <w:pPr>
              <w:spacing w:after="0"/>
              <w:rPr>
                <w:sz w:val="20"/>
                <w:szCs w:val="20"/>
                <w:color w:val="auto"/>
              </w:rPr>
            </w:pPr>
            <w:r>
              <w:rPr>
                <w:rFonts w:ascii="Arial" w:cs="Arial" w:eastAsia="Arial" w:hAnsi="Arial"/>
                <w:sz w:val="17"/>
                <w:szCs w:val="17"/>
                <w:color w:val="auto"/>
                <w:w w:val="95"/>
              </w:rPr>
              <w:t>Revenue by geographical region consist of the following (in thousands):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980" w:type="dxa"/>
            <w:vAlign w:val="bottom"/>
            <w:gridSpan w:val="3"/>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980" w:type="dxa"/>
            <w:vAlign w:val="bottom"/>
            <w:gridSpan w:val="3"/>
          </w:tcPr>
          <w:p>
            <w:pPr>
              <w:spacing w:after="0"/>
              <w:rPr>
                <w:sz w:val="22"/>
                <w:szCs w:val="22"/>
                <w:color w:val="auto"/>
              </w:rPr>
            </w:pPr>
          </w:p>
        </w:tc>
      </w:tr>
      <w:tr>
        <w:trPr>
          <w:trHeight w:val="223"/>
        </w:trPr>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540" w:type="dxa"/>
            <w:vAlign w:val="bottom"/>
            <w:gridSpan w:val="5"/>
            <w:shd w:val="clear" w:color="auto" w:fill="CCEEFF"/>
          </w:tcPr>
          <w:p>
            <w:pPr>
              <w:ind w:left="340"/>
              <w:spacing w:after="0"/>
              <w:rPr>
                <w:sz w:val="20"/>
                <w:szCs w:val="20"/>
                <w:color w:val="auto"/>
              </w:rPr>
            </w:pPr>
            <w:r>
              <w:rPr>
                <w:rFonts w:ascii="Arial" w:cs="Arial" w:eastAsia="Arial" w:hAnsi="Arial"/>
                <w:sz w:val="17"/>
                <w:szCs w:val="17"/>
                <w:b w:val="1"/>
                <w:bCs w:val="1"/>
                <w:color w:val="auto"/>
              </w:rPr>
              <w:t>Three Months Ended June 30,</w:t>
            </w:r>
          </w:p>
        </w:tc>
        <w:tc>
          <w:tcPr>
            <w:tcW w:w="420" w:type="dxa"/>
            <w:vAlign w:val="bottom"/>
            <w:shd w:val="clear" w:color="auto" w:fill="CCEEFF"/>
          </w:tcPr>
          <w:p>
            <w:pPr>
              <w:spacing w:after="0"/>
              <w:rPr>
                <w:sz w:val="19"/>
                <w:szCs w:val="19"/>
                <w:color w:val="auto"/>
              </w:rPr>
            </w:pPr>
          </w:p>
        </w:tc>
        <w:tc>
          <w:tcPr>
            <w:tcW w:w="3360" w:type="dxa"/>
            <w:vAlign w:val="bottom"/>
            <w:gridSpan w:val="4"/>
            <w:shd w:val="clear" w:color="auto" w:fill="CCEEFF"/>
          </w:tcPr>
          <w:p>
            <w:pPr>
              <w:jc w:val="right"/>
              <w:ind w:right="773"/>
              <w:spacing w:after="0"/>
              <w:rPr>
                <w:sz w:val="20"/>
                <w:szCs w:val="20"/>
                <w:color w:val="auto"/>
              </w:rPr>
            </w:pPr>
            <w:r>
              <w:rPr>
                <w:rFonts w:ascii="Arial" w:cs="Arial" w:eastAsia="Arial" w:hAnsi="Arial"/>
                <w:sz w:val="17"/>
                <w:szCs w:val="17"/>
                <w:b w:val="1"/>
                <w:bCs w:val="1"/>
                <w:color w:val="auto"/>
              </w:rPr>
              <w:t>Six Months Ended June 30,</w:t>
            </w:r>
          </w:p>
        </w:tc>
      </w:tr>
      <w:tr>
        <w:trPr>
          <w:trHeight w:val="223"/>
        </w:trPr>
        <w:tc>
          <w:tcPr>
            <w:tcW w:w="3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2022</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2022</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r>
      <w:tr>
        <w:trPr>
          <w:trHeight w:val="203"/>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Retail revenue</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3"/>
        </w:trPr>
        <w:tc>
          <w:tcPr>
            <w:tcW w:w="2100" w:type="dxa"/>
            <w:vAlign w:val="bottom"/>
            <w:gridSpan w:val="2"/>
          </w:tcPr>
          <w:p>
            <w:pPr>
              <w:ind w:left="120"/>
              <w:spacing w:after="0"/>
              <w:rPr>
                <w:sz w:val="20"/>
                <w:szCs w:val="20"/>
                <w:color w:val="auto"/>
              </w:rPr>
            </w:pPr>
            <w:r>
              <w:rPr>
                <w:rFonts w:ascii="Arial" w:cs="Arial" w:eastAsia="Arial" w:hAnsi="Arial"/>
                <w:sz w:val="17"/>
                <w:szCs w:val="17"/>
                <w:color w:val="auto"/>
              </w:rPr>
              <w:t>United States</w:t>
            </w:r>
          </w:p>
        </w:tc>
        <w:tc>
          <w:tcPr>
            <w:tcW w:w="1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6,159</w:t>
            </w:r>
          </w:p>
        </w:tc>
        <w:tc>
          <w:tcPr>
            <w:tcW w:w="18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5,652</w:t>
            </w:r>
          </w:p>
        </w:tc>
        <w:tc>
          <w:tcPr>
            <w:tcW w:w="18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12,112</w:t>
            </w:r>
          </w:p>
        </w:tc>
        <w:tc>
          <w:tcPr>
            <w:tcW w:w="18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10,718</w:t>
            </w:r>
          </w:p>
        </w:tc>
      </w:tr>
      <w:tr>
        <w:trPr>
          <w:trHeight w:val="223"/>
        </w:trPr>
        <w:tc>
          <w:tcPr>
            <w:tcW w:w="21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Canada</w:t>
            </w: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2100" w:type="dxa"/>
            <w:vAlign w:val="bottom"/>
            <w:gridSpan w:val="2"/>
          </w:tcPr>
          <w:p>
            <w:pPr>
              <w:ind w:left="20"/>
              <w:spacing w:after="0"/>
              <w:rPr>
                <w:sz w:val="20"/>
                <w:szCs w:val="20"/>
                <w:color w:val="auto"/>
              </w:rPr>
            </w:pPr>
            <w:r>
              <w:rPr>
                <w:rFonts w:ascii="Arial" w:cs="Arial" w:eastAsia="Arial" w:hAnsi="Arial"/>
                <w:sz w:val="17"/>
                <w:szCs w:val="17"/>
                <w:b w:val="1"/>
                <w:bCs w:val="1"/>
                <w:color w:val="auto"/>
              </w:rPr>
              <w:t>Brand revenue</w:t>
            </w: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3"/>
        </w:trPr>
        <w:tc>
          <w:tcPr>
            <w:tcW w:w="21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United States</w:t>
            </w:r>
          </w:p>
        </w:tc>
        <w:tc>
          <w:tcPr>
            <w:tcW w:w="14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r>
      <w:tr>
        <w:trPr>
          <w:trHeight w:val="216"/>
        </w:trPr>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6,584</w:t>
            </w:r>
          </w:p>
        </w:tc>
        <w:tc>
          <w:tcPr>
            <w:tcW w:w="18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5,804</w:t>
            </w:r>
          </w:p>
        </w:tc>
        <w:tc>
          <w:tcPr>
            <w:tcW w:w="18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12,948</w:t>
            </w:r>
          </w:p>
        </w:tc>
        <w:tc>
          <w:tcPr>
            <w:tcW w:w="18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11,013</w:t>
            </w:r>
          </w:p>
        </w:tc>
      </w:tr>
      <w:tr>
        <w:trPr>
          <w:trHeight w:val="20"/>
        </w:trPr>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Revenues by geography are generally based on the country of the Company’s contracting entity. Total United States revenue was approximately 97% of total revenue for the three and six months ended June 30, 2022 and 100% for the three and six months ended June 30, 2021, respectively.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June 30, 2022 and December 31, 2021, approximately 75% and 99% of our long-lived assets were attributable to operations in the United States.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2"/>
              </w:rPr>
              <w:t>Contract Assets (Deferred Cost)</w:t>
            </w:r>
          </w:p>
        </w:tc>
        <w:tc>
          <w:tcPr>
            <w:tcW w:w="4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320" w:type="dxa"/>
            <w:vAlign w:val="bottom"/>
          </w:tcPr>
          <w:p>
            <w:pPr>
              <w:spacing w:after="0"/>
              <w:rPr>
                <w:sz w:val="24"/>
                <w:szCs w:val="24"/>
                <w:color w:val="auto"/>
              </w:rPr>
            </w:pPr>
          </w:p>
        </w:tc>
        <w:tc>
          <w:tcPr>
            <w:tcW w:w="7100" w:type="dxa"/>
            <w:vAlign w:val="bottom"/>
            <w:gridSpan w:val="2"/>
          </w:tcPr>
          <w:p>
            <w:pPr>
              <w:spacing w:after="0"/>
              <w:rPr>
                <w:sz w:val="20"/>
                <w:szCs w:val="20"/>
                <w:color w:val="auto"/>
              </w:rPr>
            </w:pPr>
            <w:r>
              <w:rPr>
                <w:rFonts w:ascii="Arial" w:cs="Arial" w:eastAsia="Arial" w:hAnsi="Arial"/>
                <w:sz w:val="17"/>
                <w:szCs w:val="17"/>
                <w:color w:val="auto"/>
              </w:rPr>
              <w:t>Contract assets consisted of the following as of (in thousands):</w:t>
            </w: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48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373"/>
              <w:spacing w:after="0"/>
              <w:rPr>
                <w:sz w:val="20"/>
                <w:szCs w:val="20"/>
                <w:color w:val="auto"/>
              </w:rPr>
            </w:pPr>
            <w:r>
              <w:rPr>
                <w:rFonts w:ascii="Arial" w:cs="Arial" w:eastAsia="Arial" w:hAnsi="Arial"/>
                <w:sz w:val="17"/>
                <w:szCs w:val="17"/>
                <w:b w:val="1"/>
                <w:bCs w:val="1"/>
                <w:color w:val="auto"/>
                <w:w w:val="91"/>
              </w:rPr>
              <w:t>June 30,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173"/>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ind w:left="393"/>
              <w:spacing w:after="0"/>
              <w:rPr>
                <w:sz w:val="20"/>
                <w:szCs w:val="20"/>
                <w:color w:val="auto"/>
              </w:rPr>
            </w:pPr>
            <w:r>
              <w:rPr>
                <w:rFonts w:ascii="Arial" w:cs="Arial" w:eastAsia="Arial" w:hAnsi="Arial"/>
                <w:sz w:val="17"/>
                <w:szCs w:val="17"/>
                <w:b w:val="1"/>
                <w:bCs w:val="1"/>
                <w:color w:val="auto"/>
                <w:w w:val="95"/>
              </w:rPr>
              <w:t>2022</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89"/>
              </w:rPr>
              <w:t>2021</w:t>
            </w:r>
          </w:p>
        </w:tc>
        <w:tc>
          <w:tcPr>
            <w:tcW w:w="0" w:type="dxa"/>
            <w:vAlign w:val="bottom"/>
          </w:tcPr>
          <w:p>
            <w:pPr>
              <w:spacing w:after="0"/>
              <w:rPr>
                <w:sz w:val="1"/>
                <w:szCs w:val="1"/>
                <w:color w:val="auto"/>
              </w:rPr>
            </w:pPr>
          </w:p>
        </w:tc>
      </w:tr>
      <w:tr>
        <w:trPr>
          <w:trHeight w:val="203"/>
        </w:trPr>
        <w:tc>
          <w:tcPr>
            <w:tcW w:w="74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Contract assets consisted of the following as of:</w:t>
            </w:r>
          </w:p>
        </w:tc>
        <w:tc>
          <w:tcPr>
            <w:tcW w:w="1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ind w:left="240"/>
              <w:spacing w:after="0"/>
              <w:rPr>
                <w:sz w:val="20"/>
                <w:szCs w:val="20"/>
                <w:color w:val="auto"/>
              </w:rPr>
            </w:pPr>
            <w:r>
              <w:rPr>
                <w:rFonts w:ascii="Arial" w:cs="Arial" w:eastAsia="Arial" w:hAnsi="Arial"/>
                <w:sz w:val="17"/>
                <w:szCs w:val="17"/>
                <w:color w:val="auto"/>
              </w:rPr>
              <w:t>Deferred sales commissions</w:t>
            </w:r>
          </w:p>
        </w:tc>
        <w:tc>
          <w:tcPr>
            <w:tcW w:w="1360" w:type="dxa"/>
            <w:vAlign w:val="bottom"/>
            <w:tcBorders>
              <w:bottom w:val="single" w:sz="8" w:color="auto"/>
            </w:tcBorders>
          </w:tcPr>
          <w:p>
            <w:pPr>
              <w:jc w:val="right"/>
              <w:ind w:right="1153"/>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100" w:type="dxa"/>
            <w:vAlign w:val="bottom"/>
            <w:gridSpan w:val="2"/>
            <w:vMerge w:val="restart"/>
          </w:tcPr>
          <w:p>
            <w:pPr>
              <w:spacing w:after="0"/>
              <w:rPr>
                <w:sz w:val="20"/>
                <w:szCs w:val="20"/>
                <w:color w:val="auto"/>
              </w:rPr>
            </w:pPr>
            <w:r>
              <w:rPr>
                <w:rFonts w:ascii="Arial" w:cs="Arial" w:eastAsia="Arial" w:hAnsi="Arial"/>
                <w:sz w:val="17"/>
                <w:szCs w:val="17"/>
                <w:color w:val="auto"/>
              </w:rPr>
              <w:t>Contract liabilities consisted of the following as of (in thousands):</w:t>
            </w: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320" w:type="dxa"/>
            <w:vAlign w:val="bottom"/>
          </w:tcPr>
          <w:p>
            <w:pPr>
              <w:spacing w:after="0"/>
              <w:rPr>
                <w:sz w:val="24"/>
                <w:szCs w:val="24"/>
                <w:color w:val="auto"/>
              </w:rPr>
            </w:pPr>
          </w:p>
        </w:tc>
        <w:tc>
          <w:tcPr>
            <w:tcW w:w="71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48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373"/>
              <w:spacing w:after="0"/>
              <w:rPr>
                <w:sz w:val="20"/>
                <w:szCs w:val="20"/>
                <w:color w:val="auto"/>
              </w:rPr>
            </w:pPr>
            <w:r>
              <w:rPr>
                <w:rFonts w:ascii="Arial" w:cs="Arial" w:eastAsia="Arial" w:hAnsi="Arial"/>
                <w:sz w:val="17"/>
                <w:szCs w:val="17"/>
                <w:b w:val="1"/>
                <w:bCs w:val="1"/>
                <w:color w:val="auto"/>
                <w:w w:val="91"/>
              </w:rPr>
              <w:t>June 30,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173"/>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ind w:left="393"/>
              <w:spacing w:after="0"/>
              <w:rPr>
                <w:sz w:val="20"/>
                <w:szCs w:val="20"/>
                <w:color w:val="auto"/>
              </w:rPr>
            </w:pPr>
            <w:r>
              <w:rPr>
                <w:rFonts w:ascii="Arial" w:cs="Arial" w:eastAsia="Arial" w:hAnsi="Arial"/>
                <w:sz w:val="17"/>
                <w:szCs w:val="17"/>
                <w:b w:val="1"/>
                <w:bCs w:val="1"/>
                <w:color w:val="auto"/>
                <w:w w:val="95"/>
              </w:rPr>
              <w:t>2022</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89"/>
              </w:rPr>
              <w:t>2021</w:t>
            </w:r>
          </w:p>
        </w:tc>
        <w:tc>
          <w:tcPr>
            <w:tcW w:w="0" w:type="dxa"/>
            <w:vAlign w:val="bottom"/>
          </w:tcPr>
          <w:p>
            <w:pPr>
              <w:spacing w:after="0"/>
              <w:rPr>
                <w:sz w:val="1"/>
                <w:szCs w:val="1"/>
                <w:color w:val="auto"/>
              </w:rPr>
            </w:pPr>
          </w:p>
        </w:tc>
      </w:tr>
      <w:tr>
        <w:trPr>
          <w:trHeight w:val="203"/>
        </w:trPr>
        <w:tc>
          <w:tcPr>
            <w:tcW w:w="74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Contract liabilities consisted of the following as of:</w:t>
            </w:r>
          </w:p>
        </w:tc>
        <w:tc>
          <w:tcPr>
            <w:tcW w:w="1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100" w:type="dxa"/>
            <w:vAlign w:val="bottom"/>
            <w:gridSpan w:val="2"/>
          </w:tcPr>
          <w:p>
            <w:pPr>
              <w:ind w:left="20"/>
              <w:spacing w:after="0"/>
              <w:rPr>
                <w:sz w:val="20"/>
                <w:szCs w:val="20"/>
                <w:color w:val="auto"/>
              </w:rPr>
            </w:pPr>
            <w:r>
              <w:rPr>
                <w:rFonts w:ascii="Arial" w:cs="Arial" w:eastAsia="Arial" w:hAnsi="Arial"/>
                <w:sz w:val="17"/>
                <w:szCs w:val="17"/>
                <w:color w:val="auto"/>
              </w:rPr>
              <w:t>Deferred revenue retail</w:t>
            </w:r>
          </w:p>
        </w:tc>
        <w:tc>
          <w:tcPr>
            <w:tcW w:w="136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256</w:t>
            </w:r>
          </w:p>
        </w:tc>
        <w:tc>
          <w:tcPr>
            <w:tcW w:w="1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set-up revenues</w:t>
            </w: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tcPr>
          <w:p>
            <w:pPr>
              <w:spacing w:after="0"/>
              <w:rPr>
                <w:sz w:val="19"/>
                <w:szCs w:val="19"/>
                <w:color w:val="auto"/>
              </w:rPr>
            </w:pPr>
          </w:p>
        </w:tc>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brands</w:t>
            </w:r>
          </w:p>
        </w:tc>
        <w:tc>
          <w:tcPr>
            <w:tcW w:w="1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41"/>
        </w:trPr>
        <w:tc>
          <w:tcPr>
            <w:tcW w:w="3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320"/>
        <w:spacing w:after="0" w:line="257" w:lineRule="auto"/>
        <w:rPr>
          <w:sz w:val="20"/>
          <w:szCs w:val="20"/>
          <w:color w:val="auto"/>
        </w:rPr>
      </w:pPr>
      <w:r>
        <w:rPr>
          <w:rFonts w:ascii="Arial" w:cs="Arial" w:eastAsia="Arial" w:hAnsi="Arial"/>
          <w:sz w:val="17"/>
          <w:szCs w:val="17"/>
          <w:color w:val="auto"/>
        </w:rPr>
        <w:t>The movement in the contract liabilities during the six months ended June 30, 2022 and the year ended December 31, 2021, comprised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37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3"/>
        </w:trPr>
        <w:tc>
          <w:tcPr>
            <w:tcW w:w="7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June 30,</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74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b w:val="1"/>
                <w:bCs w:val="1"/>
                <w:color w:val="auto"/>
              </w:rPr>
              <w:t>2021</w:t>
            </w:r>
          </w:p>
        </w:tc>
      </w:tr>
      <w:tr>
        <w:trPr>
          <w:trHeight w:val="203"/>
        </w:trPr>
        <w:tc>
          <w:tcPr>
            <w:tcW w:w="7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The movement in the contract liabilities during each period comprised the following:</w:t>
            </w:r>
          </w:p>
        </w:tc>
        <w:tc>
          <w:tcPr>
            <w:tcW w:w="1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05"/>
        </w:trPr>
        <w:tc>
          <w:tcPr>
            <w:tcW w:w="7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223"/>
        </w:trPr>
        <w:tc>
          <w:tcPr>
            <w:tcW w:w="74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Contract liabilities at start of the period</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r>
      <w:tr>
        <w:trPr>
          <w:trHeight w:val="223"/>
        </w:trPr>
        <w:tc>
          <w:tcPr>
            <w:tcW w:w="7420" w:type="dxa"/>
            <w:vAlign w:val="bottom"/>
          </w:tcPr>
          <w:p>
            <w:pPr>
              <w:ind w:left="240"/>
              <w:spacing w:after="0"/>
              <w:rPr>
                <w:sz w:val="20"/>
                <w:szCs w:val="20"/>
                <w:color w:val="auto"/>
              </w:rPr>
            </w:pPr>
            <w:r>
              <w:rPr>
                <w:rFonts w:ascii="Arial" w:cs="Arial" w:eastAsia="Arial" w:hAnsi="Arial"/>
                <w:sz w:val="17"/>
                <w:szCs w:val="17"/>
                <w:color w:val="auto"/>
              </w:rPr>
              <w:t>Amounts invoiced during the period</w:t>
            </w: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8,988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13,512</w:t>
            </w:r>
          </w:p>
        </w:tc>
      </w:tr>
      <w:tr>
        <w:trPr>
          <w:trHeight w:val="223"/>
        </w:trPr>
        <w:tc>
          <w:tcPr>
            <w:tcW w:w="74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Less revenue recognized during the period</w:t>
            </w:r>
          </w:p>
        </w:tc>
        <w:tc>
          <w:tcPr>
            <w:tcW w:w="1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(9,011)</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(13,622)</w:t>
            </w:r>
          </w:p>
        </w:tc>
      </w:tr>
      <w:tr>
        <w:trPr>
          <w:trHeight w:val="216"/>
        </w:trPr>
        <w:tc>
          <w:tcPr>
            <w:tcW w:w="7420" w:type="dxa"/>
            <w:vAlign w:val="bottom"/>
          </w:tcPr>
          <w:p>
            <w:pPr>
              <w:ind w:left="240"/>
              <w:spacing w:after="0"/>
              <w:rPr>
                <w:sz w:val="20"/>
                <w:szCs w:val="20"/>
                <w:color w:val="auto"/>
              </w:rPr>
            </w:pPr>
            <w:r>
              <w:rPr>
                <w:rFonts w:ascii="Arial" w:cs="Arial" w:eastAsia="Arial" w:hAnsi="Arial"/>
                <w:sz w:val="17"/>
                <w:szCs w:val="17"/>
                <w:color w:val="auto"/>
              </w:rPr>
              <w:t>Contract liabilities at end of the period</w:t>
            </w: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w:t>
            </w:r>
          </w:p>
        </w:tc>
      </w:tr>
      <w:tr>
        <w:trPr>
          <w:trHeight w:val="20"/>
        </w:trPr>
        <w:tc>
          <w:tcPr>
            <w:tcW w:w="7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STOCK BASED COMPENSATION</w:t>
      </w:r>
    </w:p>
    <w:p>
      <w:pPr>
        <w:spacing w:after="0" w:line="243"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At the Special Meeting, in connection with the business combination, the Tuatara shareholders approved the SpringBig Holdings, Inc. 2022 Long-Term Incentive Plan (the “2022 Incentive Plan”), which became effective upon the Closing. The purpose of the 2022 Incentive Plan is to secure and retain the services of employees, directors and consultants, to provide incentives for such persons to exert maximum efforts for our success and to provide a means by which such persons may be given an opportunity to benefit from increases in value of the common stock through the granting of awards thereunder. We believe that the equity-based awards to be issued under the 2022 Incentive Plan will motivate award recipients to offer their maximum effort to us and help them focus on the creation of long-term value consistent with the interests of our shareholders. We believe that grants of incentive awards are necessary to enable us to attract and retain top talent.</w:t>
      </w:r>
    </w:p>
    <w:p>
      <w:pPr>
        <w:spacing w:after="0" w:line="209"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5"/>
          <w:szCs w:val="15"/>
          <w:color w:val="auto"/>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spacing w:after="0" w:line="177"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Prior to the closing of the merger, Legacy SpringBig maintained an equity incentive plan (the “Legacy Incentive Plan”), which was originally established effective December 1, 2017. The Legacy Incentive Plan permitted the grant of incentive stock options, non-qualified stock options, restricted stock awards, and restricted stock unit awards to Legacy SpringBig and its affiliates’ employees, consultants and directors. SpringBig will not grant any additional awards under the Legacy Incentive Plan following the business combination.</w:t>
      </w:r>
    </w:p>
    <w:p>
      <w:pPr>
        <w:spacing w:after="0" w:line="208"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During the three months ended June 30, 2022 and 2021, compensation expense recorded in connection with the Legacy Incentive Plan was $1.0 million and $119,000, respectively and $1.2 million and $237,000 for the six months ended June 30, 2022 and 2021, these are included in administrative expense on the statements of operations.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information on stock options outstanding as of June 30, 2022 and 2021 under the Legacy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4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0"/>
        </w:trPr>
        <w:tc>
          <w:tcPr>
            <w:tcW w:w="3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20" w:type="dxa"/>
            <w:vAlign w:val="bottom"/>
            <w:tcBorders>
              <w:bottom w:val="single" w:sz="8" w:color="auto"/>
            </w:tcBorders>
            <w:gridSpan w:val="4"/>
            <w:shd w:val="clear" w:color="auto" w:fill="CCEEFF"/>
          </w:tcPr>
          <w:p>
            <w:pPr>
              <w:jc w:val="right"/>
              <w:ind w:right="721"/>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20" w:type="dxa"/>
            <w:vAlign w:val="bottom"/>
            <w:tcBorders>
              <w:bottom w:val="single" w:sz="8" w:color="auto"/>
            </w:tcBorders>
            <w:gridSpan w:val="6"/>
            <w:shd w:val="clear" w:color="auto" w:fill="CCEEFF"/>
          </w:tcPr>
          <w:p>
            <w:pPr>
              <w:jc w:val="right"/>
              <w:ind w:right="1021"/>
              <w:spacing w:after="0"/>
              <w:rPr>
                <w:sz w:val="20"/>
                <w:szCs w:val="20"/>
                <w:color w:val="auto"/>
              </w:rPr>
            </w:pPr>
            <w:r>
              <w:rPr>
                <w:rFonts w:ascii="Arial" w:cs="Arial" w:eastAsia="Arial" w:hAnsi="Arial"/>
                <w:sz w:val="16"/>
                <w:szCs w:val="16"/>
                <w:b w:val="1"/>
                <w:bCs w:val="1"/>
                <w:color w:val="auto"/>
                <w:w w:val="86"/>
              </w:rPr>
              <w:t>Options Vested and Exercisable</w:t>
            </w:r>
          </w:p>
        </w:tc>
        <w:tc>
          <w:tcPr>
            <w:tcW w:w="0" w:type="dxa"/>
            <w:vAlign w:val="bottom"/>
          </w:tcPr>
          <w:p>
            <w:pPr>
              <w:spacing w:after="0"/>
              <w:rPr>
                <w:sz w:val="1"/>
                <w:szCs w:val="1"/>
                <w:color w:val="auto"/>
              </w:rPr>
            </w:pPr>
          </w:p>
        </w:tc>
      </w:tr>
      <w:tr>
        <w:trPr>
          <w:trHeight w:val="150"/>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7"/>
              </w:rPr>
              <w:t>Weighted Average</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160"/>
              <w:spacing w:after="0" w:line="151" w:lineRule="exact"/>
              <w:rPr>
                <w:sz w:val="20"/>
                <w:szCs w:val="20"/>
                <w:color w:val="auto"/>
              </w:rPr>
            </w:pPr>
            <w:r>
              <w:rPr>
                <w:rFonts w:ascii="Arial" w:cs="Arial" w:eastAsia="Arial" w:hAnsi="Arial"/>
                <w:sz w:val="16"/>
                <w:szCs w:val="16"/>
                <w:b w:val="1"/>
                <w:bCs w:val="1"/>
                <w:color w:val="auto"/>
                <w:w w:val="88"/>
              </w:rPr>
              <w:t>Weighted Average</w:t>
            </w:r>
          </w:p>
        </w:tc>
        <w:tc>
          <w:tcPr>
            <w:tcW w:w="100" w:type="dxa"/>
            <w:vAlign w:val="bottom"/>
          </w:tcPr>
          <w:p>
            <w:pPr>
              <w:spacing w:after="0"/>
              <w:rPr>
                <w:sz w:val="13"/>
                <w:szCs w:val="13"/>
                <w:color w:val="auto"/>
              </w:rPr>
            </w:pPr>
          </w:p>
        </w:tc>
        <w:tc>
          <w:tcPr>
            <w:tcW w:w="1320" w:type="dxa"/>
            <w:vAlign w:val="bottom"/>
            <w:vMerge w:val="restart"/>
          </w:tcPr>
          <w:p>
            <w:pPr>
              <w:jc w:val="center"/>
              <w:ind w:right="21"/>
              <w:spacing w:after="0"/>
              <w:rPr>
                <w:sz w:val="20"/>
                <w:szCs w:val="20"/>
                <w:color w:val="auto"/>
              </w:rPr>
            </w:pPr>
            <w:r>
              <w:rPr>
                <w:rFonts w:ascii="Arial" w:cs="Arial" w:eastAsia="Arial" w:hAnsi="Arial"/>
                <w:sz w:val="16"/>
                <w:szCs w:val="16"/>
                <w:b w:val="1"/>
                <w:bCs w:val="1"/>
                <w:color w:val="auto"/>
                <w:w w:val="87"/>
              </w:rPr>
              <w:t>Weighted Average</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Number of</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1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Number of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87"/>
              </w:rPr>
              <w:t>Remaining</w:t>
            </w: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vMerge w:val="restart"/>
          </w:tcPr>
          <w:p>
            <w:pPr>
              <w:ind w:left="1360"/>
              <w:spacing w:after="0"/>
              <w:rPr>
                <w:sz w:val="20"/>
                <w:szCs w:val="20"/>
                <w:color w:val="auto"/>
              </w:rPr>
            </w:pPr>
            <w:r>
              <w:rPr>
                <w:rFonts w:ascii="Arial" w:cs="Arial" w:eastAsia="Arial" w:hAnsi="Arial"/>
                <w:sz w:val="16"/>
                <w:szCs w:val="16"/>
                <w:b w:val="1"/>
                <w:bCs w:val="1"/>
                <w:color w:val="auto"/>
              </w:rPr>
              <w:t>Fixed Options</w:t>
            </w:r>
          </w:p>
        </w:tc>
        <w:tc>
          <w:tcPr>
            <w:tcW w:w="80" w:type="dxa"/>
            <w:vAlign w:val="bottom"/>
            <w:vMerge w:val="restart"/>
          </w:tcPr>
          <w:p>
            <w:pPr>
              <w:spacing w:after="0"/>
              <w:rPr>
                <w:sz w:val="13"/>
                <w:szCs w:val="13"/>
                <w:color w:val="auto"/>
              </w:rPr>
            </w:pPr>
          </w:p>
        </w:tc>
        <w:tc>
          <w:tcPr>
            <w:tcW w:w="12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8"/>
              </w:rPr>
              <w:t>Exercise Price (Per</w:t>
            </w:r>
          </w:p>
        </w:tc>
        <w:tc>
          <w:tcPr>
            <w:tcW w:w="1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91"/>
              </w:rPr>
              <w:t>Contractual Life</w:t>
            </w:r>
          </w:p>
        </w:tc>
        <w:tc>
          <w:tcPr>
            <w:tcW w:w="14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8"/>
              </w:rPr>
              <w:t>Exercise Price (Per</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Options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8"/>
              </w:rPr>
              <w:t>Share)</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Options</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2"/>
              </w:rPr>
              <w:t>Share)</w:t>
            </w:r>
          </w:p>
        </w:tc>
        <w:tc>
          <w:tcPr>
            <w:tcW w:w="0" w:type="dxa"/>
            <w:vAlign w:val="bottom"/>
          </w:tcPr>
          <w:p>
            <w:pPr>
              <w:spacing w:after="0"/>
              <w:rPr>
                <w:sz w:val="1"/>
                <w:szCs w:val="1"/>
                <w:color w:val="auto"/>
              </w:rPr>
            </w:pPr>
          </w:p>
        </w:tc>
      </w:tr>
      <w:tr>
        <w:trPr>
          <w:trHeight w:val="20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Balance, January 1, 2022</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6,802,437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4,628,311</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62"/>
        </w:trPr>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Options granted</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Options exercised</w:t>
            </w:r>
          </w:p>
        </w:tc>
        <w:tc>
          <w:tcPr>
            <w:tcW w:w="1220" w:type="dxa"/>
            <w:vAlign w:val="bottom"/>
          </w:tcPr>
          <w:p>
            <w:pPr>
              <w:jc w:val="right"/>
              <w:spacing w:after="0"/>
              <w:rPr>
                <w:sz w:val="20"/>
                <w:szCs w:val="20"/>
                <w:color w:val="auto"/>
              </w:rPr>
            </w:pPr>
            <w:r>
              <w:rPr>
                <w:rFonts w:ascii="Arial" w:cs="Arial" w:eastAsia="Arial" w:hAnsi="Arial"/>
                <w:sz w:val="16"/>
                <w:szCs w:val="16"/>
                <w:color w:val="auto"/>
              </w:rPr>
              <w:t>(530,666)</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0.55</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Options forfeited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Options cancelled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w:t>
            </w:r>
          </w:p>
        </w:tc>
        <w:tc>
          <w:tcPr>
            <w:tcW w:w="3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0.75</w:t>
            </w: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Balance, June 30, 2022</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6,205,520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Conversion ratio</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0.5929</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SpringBig Holdings options</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3,679,171</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3,486,482</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center"/>
              <w:ind w:left="921"/>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intrinsic value of the options exercised during the six months ended June 30, 2022 was $3.3 million, no option was exercised during the same period for 2021.</w:t>
      </w:r>
    </w:p>
    <w:p>
      <w:pPr>
        <w:spacing w:after="0" w:line="185" w:lineRule="exact"/>
        <w:rPr>
          <w:sz w:val="20"/>
          <w:szCs w:val="20"/>
          <w:color w:val="auto"/>
        </w:rPr>
      </w:pPr>
    </w:p>
    <w:p>
      <w:pPr>
        <w:jc w:val="both"/>
        <w:ind w:firstLine="315"/>
        <w:spacing w:after="0" w:line="288" w:lineRule="auto"/>
        <w:rPr>
          <w:sz w:val="20"/>
          <w:szCs w:val="20"/>
          <w:color w:val="auto"/>
        </w:rPr>
      </w:pPr>
      <w:r>
        <w:rPr>
          <w:rFonts w:ascii="Arial" w:cs="Arial" w:eastAsia="Arial" w:hAnsi="Arial"/>
          <w:sz w:val="16"/>
          <w:szCs w:val="16"/>
          <w:color w:val="auto"/>
        </w:rPr>
        <w:t>With the consummation of the business combination, all outstanding options were vested with the exception of 192,689 options granted to certain executives of the Company. The cost associated with the early vesting was $924,000 and is included in administrative expense on the statement of operations.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remaining unamortized expenses associated with the unvested options is $173,000 and will be expensed with the next 3 years.</w:t>
      </w:r>
    </w:p>
    <w:p>
      <w:pPr>
        <w:spacing w:after="0" w:line="237"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During the six months ended June 30, 2022 and 2021, the Company used the Black-Scholes option-pricing model to value option grants and to determine the related compensation expense. The assumptions used in calculating the fair value of stock-based payment awards represent management’s best estimations. The Company based its expected volatility based on the volatilities of certain publicly traded peer companies.</w:t>
      </w:r>
    </w:p>
    <w:p>
      <w:pPr>
        <w:spacing w:after="0" w:line="198"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6"/>
          <w:szCs w:val="16"/>
          <w:color w:val="auto"/>
        </w:rPr>
        <w:t>The risk-free interest rate used for each grant is equal to the U.S. Treasury yield curve in effect at the time of grant for instruments with a similar expected life. The expected term of options granted was determined based on the expected holding period at the time of the grant. GAAP also requires that the Company recognize compensation expense for only the portion of options that are expected to vest. Therefore, the Company has estimated expected forfeitures of stock options. In developing a forfeiture rate estimate, the Company considered its historical experience. If the actual number of forfeitures differs from those estimated by management, additional adjustments to compensation expense may be required in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COMMITMENTS AND CONTINGENCIES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Lease Agreements</w:t>
      </w:r>
    </w:p>
    <w:p>
      <w:pPr>
        <w:spacing w:after="0" w:line="224"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Company leases office facilities in Boca Raton, Florida, Seattle, Washington and Ontario, Canada under non-cancelable operating lease agreements. The leases require monthly payments ranging from $2,900 to $11,000 and expire on various dates through November 2024. In addition to minimum rent, the Company is required to pay a proportionate share of operating expenses under these leases.</w:t>
      </w:r>
    </w:p>
    <w:p>
      <w:pPr>
        <w:spacing w:after="0" w:line="19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Rent expense was approximately $233,000 and $153,000 for the three months ended June 30, 2022 and 2021, respectively, with $421,000 and $298,000 for the six months ended June 30, 2022 and 2021, respectively.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425" w:right="339" w:bottom="1440" w:gutter="0" w:footer="0" w:header="0"/>
        </w:sectPr>
      </w:pPr>
    </w:p>
    <w:bookmarkStart w:id="22" w:name="page23"/>
    <w:bookmarkEnd w:id="22"/>
    <w:p>
      <w:pPr>
        <w:jc w:val="both"/>
        <w:ind w:firstLine="315"/>
        <w:spacing w:after="0" w:line="252" w:lineRule="auto"/>
        <w:rPr>
          <w:sz w:val="20"/>
          <w:szCs w:val="20"/>
          <w:color w:val="auto"/>
        </w:rPr>
      </w:pPr>
      <w:r>
        <w:rPr>
          <w:rFonts w:ascii="Arial" w:cs="Arial" w:eastAsia="Arial" w:hAnsi="Arial"/>
          <w:sz w:val="17"/>
          <w:szCs w:val="17"/>
          <w:color w:val="auto"/>
        </w:rPr>
        <w:t>The Company has entered into employment agreements with certain of its officers, employment agreements with Jeffrey Harris, CEO of SpringBig, and Paul Sykes, CFO of SpringBig, which became effective as of the Closing. Pursuant to his employment agreement, Mr. Harris will receive an annual salary of $450,000, will be eligible for a target cash incentive opportunity of up to 137.50% of his annual base salary, and will be eligible to receive equity incentive awards under SpringBig’s long-term incentive plan as in effect from time to time.</w:t>
      </w:r>
    </w:p>
    <w:p>
      <w:pPr>
        <w:spacing w:after="0" w:line="202" w:lineRule="exact"/>
        <w:rPr>
          <w:sz w:val="20"/>
          <w:szCs w:val="20"/>
          <w:color w:val="auto"/>
        </w:rPr>
      </w:pPr>
    </w:p>
    <w:p>
      <w:pPr>
        <w:jc w:val="both"/>
        <w:ind w:firstLine="315"/>
        <w:spacing w:after="0" w:line="305" w:lineRule="auto"/>
        <w:rPr>
          <w:sz w:val="20"/>
          <w:szCs w:val="20"/>
          <w:color w:val="auto"/>
        </w:rPr>
      </w:pPr>
      <w:r>
        <w:rPr>
          <w:rFonts w:ascii="Arial" w:cs="Arial" w:eastAsia="Arial" w:hAnsi="Arial"/>
          <w:sz w:val="16"/>
          <w:szCs w:val="16"/>
          <w:color w:val="auto"/>
        </w:rPr>
        <w:t>Pursuant to his employment agreement, Mr. Sykes will receive an annual salary of $350,000, will be eligible for a target cash incentive opportunity of up to 100% of his annual base salary, and will be eligible to receive equity incentive awards under SpringBig’s long-term incentive plan as in effect from time to time.</w:t>
      </w:r>
    </w:p>
    <w:p>
      <w:pPr>
        <w:spacing w:after="0" w:line="162"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In addition, the SpringBig board of directors awarded each of Mr. Harris and Mr. Sykes a one-time cash bonus in the amount of $300,000 and $250,000, respectively, which was awarded as of the Closing, the amount is included in administrative expenses on the statement of operations.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Litigation</w:t>
      </w:r>
    </w:p>
    <w:p>
      <w:pPr>
        <w:spacing w:after="0" w:line="237"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FAIR VALUE MEASUREMENTS</w:t>
      </w:r>
    </w:p>
    <w:p>
      <w:pPr>
        <w:spacing w:after="0" w:line="256"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206"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following fair value hierarchy is used to classify assets and liabilities based on the observable inputs and unobservable inputs used in order to value the assets and liabilities:</w:t>
      </w:r>
    </w:p>
    <w:p>
      <w:pPr>
        <w:spacing w:after="0" w:line="172"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Valuation is based on unadjusted quoted prices in active markets for identical assets and liabilities that are accessible at the reporting date.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valuations are based on quoted prices that are readily and regularly available in an active market, valuation of these products does not entail a significant degree of judgment.</w:t>
      </w:r>
    </w:p>
    <w:p>
      <w:pPr>
        <w:spacing w:after="0" w:line="198"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 Valuation is determined from pricing inputs that are other than quoted prices in active markets that are either directly or indirectly observable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spacing w:after="0" w:line="167" w:lineRule="exact"/>
        <w:rPr>
          <w:sz w:val="20"/>
          <w:szCs w:val="20"/>
          <w:color w:val="auto"/>
        </w:rPr>
      </w:pPr>
    </w:p>
    <w:p>
      <w:pPr>
        <w:jc w:val="both"/>
        <w:ind w:firstLine="315"/>
        <w:spacing w:after="0" w:line="241"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Valuation is based on inputs that are both significant to the fair value measurement and unobservable. Level 3 inputs include situations where there</w:t>
      </w:r>
      <w:r>
        <w:rPr>
          <w:rFonts w:ascii="Arial" w:cs="Arial" w:eastAsia="Arial" w:hAnsi="Arial"/>
          <w:sz w:val="17"/>
          <w:szCs w:val="17"/>
          <w:i w:val="1"/>
          <w:iCs w:val="1"/>
          <w:color w:val="auto"/>
        </w:rPr>
        <w:t xml:space="preserve"> </w:t>
      </w:r>
      <w:r>
        <w:rPr>
          <w:rFonts w:ascii="Arial" w:cs="Arial" w:eastAsia="Arial" w:hAnsi="Arial"/>
          <w:sz w:val="17"/>
          <w:szCs w:val="17"/>
          <w:color w:val="auto"/>
        </w:rPr>
        <w:t>is little, if any, market activity for the financial instrument. The inputs into the determination of fair value generally require significant management judgment or estimation. .</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Liabilities measured at fair value on a recurring basis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balances of the Company’s liabilities measured at fair value on a recurring basis as of June 30, 2022,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37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3"/>
        </w:trPr>
        <w:tc>
          <w:tcPr>
            <w:tcW w:w="48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Level 1</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Level 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Level 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7"/>
                <w:szCs w:val="17"/>
                <w:b w:val="1"/>
                <w:bCs w:val="1"/>
                <w:color w:val="auto"/>
                <w:w w:val="97"/>
              </w:rPr>
              <w:t>Total Fair Value</w:t>
            </w:r>
          </w:p>
        </w:tc>
      </w:tr>
      <w:tr>
        <w:trPr>
          <w:trHeight w:val="203"/>
        </w:trPr>
        <w:tc>
          <w:tcPr>
            <w:tcW w:w="480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10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secured convertible note</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9,843</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Private warrants</w:t>
            </w:r>
          </w:p>
        </w:tc>
        <w:tc>
          <w:tcPr>
            <w:tcW w:w="10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606</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warrants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1,010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w:t>
            </w:r>
          </w:p>
        </w:tc>
      </w:tr>
      <w:tr>
        <w:trPr>
          <w:trHeight w:val="216"/>
        </w:trPr>
        <w:tc>
          <w:tcPr>
            <w:tcW w:w="48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1,010</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9,843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11,459</w:t>
            </w:r>
          </w:p>
        </w:tc>
      </w:tr>
      <w:tr>
        <w:trPr>
          <w:trHeight w:val="20"/>
        </w:trPr>
        <w:tc>
          <w:tcPr>
            <w:tcW w:w="4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following is a description of the methodologies used to estimate the fair values of liabilities measured at fair value on a recurring basis and within the fair value hierarchy which is warrant and senior secured convertible note.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Warrant liabilities</w:t>
      </w:r>
    </w:p>
    <w:p>
      <w:pPr>
        <w:spacing w:after="0" w:line="224"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spacing w:after="0" w:line="193"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utilize a fair value approach to account for its warrants based on the quoted price at June 30, 2022, the calculation is consistent with ASC 820, Fair Value Measurement, with changes in fair value recorded in current earnings.</w:t>
      </w:r>
    </w:p>
    <w:p>
      <w:pPr>
        <w:spacing w:after="0" w:line="18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performed a valuation at June 30, 2022 resulting in a value of approximately $1.6 million using a closing price of $0.101 for the public and private warrants.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Senior secured convertible notes</w:t>
      </w:r>
    </w:p>
    <w:p>
      <w:pPr>
        <w:spacing w:after="0" w:line="237"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In connection with the business combination, on June 14, 2022, the Company issued $11.0 million in aggregate principal amount of Secured Convertible Notes, issued at a discount of $1.0 million, with proceeds of $10.0 million received on the Closing Date. Additionally, the Company entered into a warrant agreement with the holders for a warrant to purchase 586,980 shares with an initial exercise price of $12.00.</w:t>
      </w:r>
    </w:p>
    <w:p>
      <w:pPr>
        <w:spacing w:after="0" w:line="19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The Company determined that the Secured Convertible Notes meet the variable share obligations requirements under ASC 480, </w:t>
      </w:r>
      <w:r>
        <w:rPr>
          <w:rFonts w:ascii="Arial" w:cs="Arial" w:eastAsia="Arial" w:hAnsi="Arial"/>
          <w:sz w:val="17"/>
          <w:szCs w:val="17"/>
          <w:i w:val="1"/>
          <w:iCs w:val="1"/>
          <w:color w:val="auto"/>
        </w:rPr>
        <w:t>Distinguishing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From Equity</w:t>
      </w:r>
      <w:r>
        <w:rPr>
          <w:rFonts w:ascii="Arial" w:cs="Arial" w:eastAsia="Arial" w:hAnsi="Arial"/>
          <w:sz w:val="17"/>
          <w:szCs w:val="17"/>
          <w:color w:val="auto"/>
        </w:rPr>
        <w:t>, as a result is classified as a liability measure at fair value, with changes in fair value recognized in earnings.</w:t>
      </w:r>
    </w:p>
    <w:p>
      <w:pPr>
        <w:spacing w:after="0" w:line="185"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 xml:space="preserve">The Company adopted ASU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xml:space="preserve"> and elected to carry the Secured Convertible Notes along with the Convertible Warrant at fair value. The fair value is determined in accordance with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utilizing the discount, interest rate and the fair value of the associated warrants.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Changes in Fair Value</w:t>
      </w:r>
    </w:p>
    <w:p>
      <w:pPr>
        <w:spacing w:after="0" w:line="237"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following tables provides a roll-forward in the changes in fair value for the six months ended June 30, 2022, for all liabilities for which the Company determines fair value on a recurring basis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42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7"/>
                <w:szCs w:val="17"/>
                <w:color w:val="auto"/>
              </w:rPr>
              <w:t>Balance, January 1, 2022</w:t>
            </w: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in business combination</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4,496</w:t>
            </w:r>
          </w:p>
        </w:tc>
      </w:tr>
      <w:tr>
        <w:trPr>
          <w:trHeight w:val="22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 in fair value</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w:t>
            </w:r>
          </w:p>
        </w:tc>
      </w:tr>
      <w:tr>
        <w:trPr>
          <w:trHeight w:val="24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June 30, 2022</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9800" w:type="dxa"/>
            <w:vAlign w:val="bottom"/>
          </w:tcPr>
          <w:p>
            <w:pPr>
              <w:ind w:left="20"/>
              <w:spacing w:after="0"/>
              <w:rPr>
                <w:sz w:val="20"/>
                <w:szCs w:val="20"/>
                <w:color w:val="auto"/>
              </w:rPr>
            </w:pPr>
            <w:r>
              <w:rPr>
                <w:rFonts w:ascii="Arial" w:cs="Arial" w:eastAsia="Arial" w:hAnsi="Arial"/>
                <w:sz w:val="17"/>
                <w:szCs w:val="17"/>
                <w:color w:val="auto"/>
              </w:rPr>
              <w:t>Changes in fair value included in earnings for the period relating to liabilities held at June 30, 2022</w:t>
            </w: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47"/>
        </w:trPr>
        <w:tc>
          <w:tcPr>
            <w:tcW w:w="9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Secured Convertible Note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7"/>
                <w:szCs w:val="17"/>
                <w:color w:val="auto"/>
              </w:rPr>
              <w:t>Balance, January 1, 2022</w:t>
            </w: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Issued in business combination</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w:t>
            </w:r>
          </w:p>
        </w:tc>
      </w:tr>
      <w:tr>
        <w:trPr>
          <w:trHeight w:val="22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Valuation adjustment at business combination</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(1,146)</w:t>
            </w: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9800" w:type="dxa"/>
            <w:vAlign w:val="bottom"/>
          </w:tcPr>
          <w:p>
            <w:pPr>
              <w:ind w:left="20"/>
              <w:spacing w:after="0"/>
              <w:rPr>
                <w:sz w:val="20"/>
                <w:szCs w:val="20"/>
                <w:color w:val="auto"/>
              </w:rPr>
            </w:pPr>
            <w:r>
              <w:rPr>
                <w:rFonts w:ascii="Arial" w:cs="Arial" w:eastAsia="Arial" w:hAnsi="Arial"/>
                <w:sz w:val="17"/>
                <w:szCs w:val="17"/>
                <w:color w:val="auto"/>
              </w:rPr>
              <w:t>Balance, June 30, 2022</w:t>
            </w: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9,843</w:t>
            </w: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fair value included in earnings for the period relating to liabilities held at June 30, 2022</w:t>
            </w: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transfers of financial liabilities between levels of the fair value hierarchy during the six months ended June 30, 2022.</w:t>
      </w:r>
    </w:p>
    <w:p>
      <w:pPr>
        <w:spacing w:after="0" w:line="218"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i w:val="1"/>
          <w:iCs w:val="1"/>
          <w:color w:val="auto"/>
        </w:rPr>
        <w:t xml:space="preserve">Other Fair Value Considerations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value of accounts receivables, contract assets, prepaid expenses and other assets, accounts payable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accrued expenses approximate fair value due to their short-term maturities and/or low credit risk.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STOCKHOLDERS’ EQUITY</w:t>
      </w:r>
    </w:p>
    <w:p>
      <w:pPr>
        <w:spacing w:after="0" w:line="243"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 xml:space="preserve">The Consolidated Statements of Changes in Stockholders' Equity reflect the reverse recapitalization on June 14, 2022, as discussed in Note 8, Business Combination, </w:t>
      </w:r>
      <w:r>
        <w:rPr>
          <w:rFonts w:ascii="Arial" w:cs="Arial" w:eastAsia="Arial" w:hAnsi="Arial"/>
          <w:sz w:val="17"/>
          <w:szCs w:val="17"/>
          <w:color w:val="222222"/>
        </w:rPr>
        <w:t>to these consolidated financial statements</w:t>
      </w:r>
      <w:r>
        <w:rPr>
          <w:rFonts w:ascii="Arial" w:cs="Arial" w:eastAsia="Arial" w:hAnsi="Arial"/>
          <w:sz w:val="17"/>
          <w:szCs w:val="17"/>
          <w:color w:val="auto"/>
        </w:rPr>
        <w:t>. Because the Company was determined to be the accounting acquirer in the transaction, all periods presented prior to consummation of the transaction reflect the historical activity and balances of Legacy SpringBig, Inc. (other than common stock and potentially issuable shares underlying stock options which have been retroactively restated).</w:t>
      </w:r>
    </w:p>
    <w:p>
      <w:pPr>
        <w:spacing w:after="0" w:line="202" w:lineRule="exact"/>
        <w:rPr>
          <w:sz w:val="20"/>
          <w:szCs w:val="20"/>
          <w:color w:val="auto"/>
        </w:rPr>
      </w:pPr>
    </w:p>
    <w:p>
      <w:pPr>
        <w:jc w:val="both"/>
        <w:ind w:firstLine="352"/>
        <w:spacing w:after="0" w:line="243" w:lineRule="auto"/>
        <w:rPr>
          <w:sz w:val="20"/>
          <w:szCs w:val="20"/>
          <w:color w:val="auto"/>
        </w:rPr>
      </w:pPr>
      <w:r>
        <w:rPr>
          <w:rFonts w:ascii="Arial" w:cs="Arial" w:eastAsia="Arial" w:hAnsi="Arial"/>
          <w:sz w:val="17"/>
          <w:szCs w:val="17"/>
          <w:color w:val="auto"/>
        </w:rPr>
        <w:t>Immediately after giving effect to the business combination, the following equity securities of the SpringBig, were issued and outstanding: (i) 5,752,388 shares of SpringBig, common stock issued to the holders of Tuatara Class A ordinary shares and Tuatara Class B ordinary shares that automatically convert into Tuatara Class A ordinary shares upon the occurrence of the business combination in accordance with Tuatara’s amended and restated memorandum and articles of association as consideration in the business combination (comprised of 1,752,388 Class A ordinary shares after giving effect to the redemptions and the issuance of shares to public shareholders who did not elect to redeem their public shares and 4,000,000 Class B ordinary shares that converted into common stock), (ii) 18,196,526 shares of SpringBig common stock issued to the stockholders of SpringBig as consideration in the business combination, (iii) 10,000,000 warrants to purchase shares of SpringBig common stock issued to holders of the Public Shares upon conversion of warrants to purchase Tuatara Class A ordinary shares in connection with the business combination (each, a “New SpringBig Public Warrant”), (iv) 6,000,000 warrants to purchase shares of SpringBig common stock issued to Sponsor upon conversion of warrants to purchase Tuatara Class A Common Stock, and (v) 1,310,000 shares of SpringBig common stock issued to private investors (the “PIPE Investors”) in the PIPE Financing, plus 31,356 shares paid to certain PIPE Investors pursuant to the Convertible Notes.</w:t>
      </w:r>
    </w:p>
    <w:p>
      <w:pPr>
        <w:spacing w:after="0" w:line="210" w:lineRule="exact"/>
        <w:rPr>
          <w:sz w:val="20"/>
          <w:szCs w:val="20"/>
          <w:color w:val="auto"/>
        </w:rPr>
      </w:pPr>
    </w:p>
    <w:p>
      <w:pPr>
        <w:jc w:val="both"/>
        <w:ind w:firstLine="352"/>
        <w:spacing w:after="0" w:line="252" w:lineRule="auto"/>
        <w:rPr>
          <w:sz w:val="20"/>
          <w:szCs w:val="20"/>
          <w:color w:val="auto"/>
        </w:rPr>
      </w:pPr>
      <w:r>
        <w:rPr>
          <w:rFonts w:ascii="Arial" w:cs="Arial" w:eastAsia="Arial" w:hAnsi="Arial"/>
          <w:sz w:val="17"/>
          <w:szCs w:val="17"/>
          <w:color w:val="auto"/>
        </w:rPr>
        <w:t>Prior to the consummation of the business combination, the capital stock of Legacy SpringBig consisted of Series A, B and Seed preferred stock which was automatically convertible into common stock at the earlier of a $50.0 million initial public offering or vote of 63% of majority of preferred stockholders. The conversation rate of all preferred stock was at a one to one ratio to common stock. The preferred shares of stock were converted to SpringBig common stock at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425" w:right="339" w:bottom="1440" w:gutter="0" w:footer="0" w:header="0"/>
        </w:sectPr>
      </w:pPr>
    </w:p>
    <w:bookmarkStart w:id="25" w:name="page26"/>
    <w:bookmarkEnd w:id="25"/>
    <w:p>
      <w:pPr>
        <w:jc w:val="both"/>
        <w:ind w:firstLine="315"/>
        <w:spacing w:after="0" w:line="273" w:lineRule="auto"/>
        <w:rPr>
          <w:sz w:val="20"/>
          <w:szCs w:val="20"/>
          <w:color w:val="auto"/>
        </w:rPr>
      </w:pPr>
      <w:r>
        <w:rPr>
          <w:rFonts w:ascii="Arial" w:cs="Arial" w:eastAsia="Arial" w:hAnsi="Arial"/>
          <w:sz w:val="17"/>
          <w:szCs w:val="17"/>
          <w:color w:val="auto"/>
        </w:rPr>
        <w:t>With the consummation of the business combination, Legacy SpringBig. issued and outstanding shares were converted into shares of SpringBig common stock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Legacy SpringBig</w:t>
            </w:r>
          </w:p>
        </w:tc>
        <w:tc>
          <w:tcPr>
            <w:tcW w:w="16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Conversion Rate</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SpringBig</w:t>
            </w:r>
          </w:p>
        </w:tc>
      </w:tr>
      <w:tr>
        <w:trPr>
          <w:trHeight w:val="216"/>
        </w:trPr>
        <w:tc>
          <w:tcPr>
            <w:tcW w:w="6280" w:type="dxa"/>
            <w:vAlign w:val="bottom"/>
          </w:tcPr>
          <w:p>
            <w:pPr>
              <w:ind w:left="20"/>
              <w:spacing w:after="0"/>
              <w:rPr>
                <w:sz w:val="20"/>
                <w:szCs w:val="20"/>
                <w:color w:val="auto"/>
              </w:rPr>
            </w:pPr>
            <w:r>
              <w:rPr>
                <w:rFonts w:ascii="Arial" w:cs="Arial" w:eastAsia="Arial" w:hAnsi="Arial"/>
                <w:sz w:val="17"/>
                <w:szCs w:val="17"/>
                <w:color w:val="auto"/>
              </w:rPr>
              <w:t>Series B Preferred</w:t>
            </w:r>
          </w:p>
        </w:tc>
        <w:tc>
          <w:tcPr>
            <w:tcW w:w="1780" w:type="dxa"/>
            <w:vAlign w:val="bottom"/>
          </w:tcPr>
          <w:p>
            <w:pPr>
              <w:jc w:val="right"/>
              <w:spacing w:after="0"/>
              <w:rPr>
                <w:sz w:val="20"/>
                <w:szCs w:val="20"/>
                <w:color w:val="auto"/>
              </w:rPr>
            </w:pPr>
            <w:r>
              <w:rPr>
                <w:rFonts w:ascii="Arial" w:cs="Arial" w:eastAsia="Arial" w:hAnsi="Arial"/>
                <w:sz w:val="17"/>
                <w:szCs w:val="17"/>
                <w:color w:val="auto"/>
              </w:rPr>
              <w:t>4,585,202</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0.59289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2,718,520</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Preferred</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5,088,944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0.59289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3,017,184</w:t>
            </w: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Series Seed Preferred</w:t>
            </w:r>
          </w:p>
        </w:tc>
        <w:tc>
          <w:tcPr>
            <w:tcW w:w="1780" w:type="dxa"/>
            <w:vAlign w:val="bottom"/>
          </w:tcPr>
          <w:p>
            <w:pPr>
              <w:jc w:val="right"/>
              <w:spacing w:after="0"/>
              <w:rPr>
                <w:sz w:val="20"/>
                <w:szCs w:val="20"/>
                <w:color w:val="auto"/>
              </w:rPr>
            </w:pPr>
            <w:r>
              <w:rPr>
                <w:rFonts w:ascii="Arial" w:cs="Arial" w:eastAsia="Arial" w:hAnsi="Arial"/>
                <w:sz w:val="17"/>
                <w:szCs w:val="17"/>
                <w:color w:val="auto"/>
              </w:rPr>
              <w:t>6,911,715</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0.59289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4,097,887</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14,105,371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0.59289</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8,362,935</w:t>
            </w:r>
          </w:p>
        </w:tc>
      </w:tr>
      <w:tr>
        <w:trPr>
          <w:trHeight w:val="216"/>
        </w:trPr>
        <w:tc>
          <w:tcPr>
            <w:tcW w:w="628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30,691,232</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18,196,526</w:t>
            </w:r>
          </w:p>
        </w:tc>
      </w:tr>
      <w:tr>
        <w:trPr>
          <w:trHeight w:val="20"/>
        </w:trPr>
        <w:tc>
          <w:tcPr>
            <w:tcW w:w="62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Sponsor Escrow Agreement</w:t>
      </w:r>
    </w:p>
    <w:p>
      <w:pPr>
        <w:spacing w:after="0" w:line="224"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6"/>
          <w:szCs w:val="16"/>
          <w:color w:val="auto"/>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Contingent and Earnout Shares</w:t>
      </w:r>
    </w:p>
    <w:p>
      <w:pPr>
        <w:spacing w:after="0" w:line="237"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spacing w:after="0" w:line="202" w:lineRule="exact"/>
        <w:rPr>
          <w:sz w:val="20"/>
          <w:szCs w:val="20"/>
          <w:color w:val="auto"/>
        </w:rPr>
      </w:pPr>
    </w:p>
    <w:p>
      <w:pPr>
        <w:ind w:left="640" w:hanging="320"/>
        <w:spacing w:after="0" w:line="289" w:lineRule="auto"/>
        <w:tabs>
          <w:tab w:leader="none" w:pos="630" w:val="left"/>
        </w:tabs>
        <w:numPr>
          <w:ilvl w:val="0"/>
          <w:numId w:val="4"/>
        </w:numPr>
        <w:rPr>
          <w:rFonts w:ascii="Arial" w:cs="Arial" w:eastAsia="Arial" w:hAnsi="Arial"/>
          <w:sz w:val="17"/>
          <w:szCs w:val="17"/>
          <w:color w:val="auto"/>
        </w:rPr>
      </w:pPr>
      <w:r>
        <w:rPr>
          <w:rFonts w:ascii="Arial" w:cs="Arial" w:eastAsia="Arial" w:hAnsi="Arial"/>
          <w:sz w:val="17"/>
          <w:szCs w:val="17"/>
          <w:color w:val="auto"/>
        </w:rPr>
        <w:t>7,000,000 contingent shares if the closing price of the Company’s common stock equals or exceeds $12.00 per share on any twenty (20) trading days in a thirty (30)-trading day period at any time after the Closing Date and no later than 60 months following the Closing Date;</w:t>
      </w:r>
    </w:p>
    <w:p>
      <w:pPr>
        <w:spacing w:after="0" w:line="184" w:lineRule="exact"/>
        <w:rPr>
          <w:rFonts w:ascii="Arial" w:cs="Arial" w:eastAsia="Arial" w:hAnsi="Arial"/>
          <w:sz w:val="17"/>
          <w:szCs w:val="17"/>
          <w:color w:val="auto"/>
        </w:rPr>
      </w:pPr>
    </w:p>
    <w:p>
      <w:pPr>
        <w:ind w:left="640" w:hanging="320"/>
        <w:spacing w:after="0" w:line="289"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spacing w:after="0" w:line="184" w:lineRule="exact"/>
        <w:rPr>
          <w:rFonts w:ascii="Arial" w:cs="Arial" w:eastAsia="Arial" w:hAnsi="Arial"/>
          <w:sz w:val="17"/>
          <w:szCs w:val="17"/>
          <w:color w:val="auto"/>
        </w:rPr>
      </w:pPr>
    </w:p>
    <w:p>
      <w:pPr>
        <w:ind w:left="640" w:hanging="320"/>
        <w:spacing w:after="0" w:line="289" w:lineRule="auto"/>
        <w:tabs>
          <w:tab w:leader="none" w:pos="630" w:val="left"/>
        </w:tabs>
        <w:numPr>
          <w:ilvl w:val="0"/>
          <w:numId w:val="4"/>
        </w:numPr>
        <w:rPr>
          <w:rFonts w:ascii="Arial" w:cs="Arial" w:eastAsia="Arial" w:hAnsi="Arial"/>
          <w:sz w:val="17"/>
          <w:szCs w:val="17"/>
          <w:color w:val="auto"/>
        </w:rPr>
      </w:pPr>
      <w:r>
        <w:rPr>
          <w:rFonts w:ascii="Arial" w:cs="Arial" w:eastAsia="Arial" w:hAnsi="Arial"/>
          <w:sz w:val="17"/>
          <w:szCs w:val="17"/>
          <w:color w:val="auto"/>
        </w:rPr>
        <w:t>1,250,000 contingent shares if the closing price of the Company’s common stock equals or exceeds $18.00 per share on any twenty (20) trading days in a thirty (30)-trading day period at any time after the Closing Date and no later than 60 months following the Closing Date.</w:t>
      </w:r>
    </w:p>
    <w:p>
      <w:pPr>
        <w:spacing w:after="0" w:line="200" w:lineRule="exact"/>
        <w:rPr>
          <w:sz w:val="20"/>
          <w:szCs w:val="20"/>
          <w:color w:val="auto"/>
        </w:rPr>
      </w:pPr>
    </w:p>
    <w:p>
      <w:pPr>
        <w:spacing w:after="0" w:line="208" w:lineRule="exact"/>
        <w:rPr>
          <w:sz w:val="20"/>
          <w:szCs w:val="20"/>
          <w:color w:val="auto"/>
        </w:rPr>
      </w:pPr>
    </w:p>
    <w:p>
      <w:pPr>
        <w:ind w:firstLine="315"/>
        <w:spacing w:after="0" w:line="257" w:lineRule="auto"/>
        <w:rPr>
          <w:sz w:val="20"/>
          <w:szCs w:val="20"/>
          <w:color w:val="auto"/>
        </w:rPr>
      </w:pPr>
      <w:r>
        <w:rPr>
          <w:rFonts w:ascii="Arial" w:cs="Arial" w:eastAsia="Arial" w:hAnsi="Arial"/>
          <w:sz w:val="17"/>
          <w:szCs w:val="17"/>
          <w:color w:val="auto"/>
        </w:rPr>
        <w:t>With the consummation of the business combination, the Company’s authorized capital stock is 350,000,000 shares, consisting of 300,000,000 shares of common stock and 50,000,000 shares of preferred stock, with par value of 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373"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NOTE 17 – NET LOSS PER SHARE</w:t>
      </w:r>
    </w:p>
    <w:p>
      <w:pPr>
        <w:spacing w:after="0" w:line="243"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 xml:space="preserve">Given the consummation of the business combination, </w:t>
      </w:r>
      <w:r>
        <w:rPr>
          <w:rFonts w:ascii="Arial" w:cs="Arial" w:eastAsia="Arial" w:hAnsi="Arial"/>
          <w:sz w:val="17"/>
          <w:szCs w:val="17"/>
          <w:i w:val="1"/>
          <w:iCs w:val="1"/>
          <w:color w:val="auto"/>
        </w:rPr>
        <w:t>ASC 805</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states that the equity structure for the prior period of Legacy SpringBig (the accounting acquirer) is restated using the exchange ratio established in the acquisition agreement to reflect the number of shares of the accounting acquiree issued in the business combination.</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June 30, 2022 and 2021, there were 25,290,270 and 17,767,555 shares of common stock issued and outstanding, respectively.</w:t>
      </w:r>
    </w:p>
    <w:p>
      <w:pPr>
        <w:spacing w:after="0" w:line="237" w:lineRule="exact"/>
        <w:rPr>
          <w:sz w:val="20"/>
          <w:szCs w:val="20"/>
          <w:color w:val="auto"/>
        </w:rPr>
      </w:pPr>
    </w:p>
    <w:p>
      <w:pPr>
        <w:jc w:val="both"/>
        <w:ind w:firstLine="315"/>
        <w:spacing w:after="0" w:line="267" w:lineRule="auto"/>
        <w:rPr>
          <w:sz w:val="20"/>
          <w:szCs w:val="20"/>
          <w:color w:val="auto"/>
        </w:rPr>
      </w:pPr>
      <w:r>
        <w:rPr>
          <w:rFonts w:ascii="Arial" w:cs="Arial" w:eastAsia="Arial" w:hAnsi="Arial"/>
          <w:sz w:val="16"/>
          <w:szCs w:val="16"/>
          <w:color w:val="auto"/>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and common stock issuable pursuant to Series B, A and Seed preferred stock possible conversion. Basic and diluted net loss per share was the same for each period presented, given that there are losses during the period, the inclusion of all potential common shares outstanding would have been anti-dilutive.</w:t>
      </w:r>
    </w:p>
    <w:p>
      <w:pPr>
        <w:spacing w:after="0" w:line="19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following table reconciles actual basic and diluted earnings per share for the three and six months ended June 30, 2022 and 2021, respectively (in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80" w:type="dxa"/>
            <w:vAlign w:val="bottom"/>
            <w:gridSpan w:val="5"/>
            <w:shd w:val="clear" w:color="auto" w:fill="CCEEFF"/>
          </w:tcPr>
          <w:p>
            <w:pPr>
              <w:ind w:left="80"/>
              <w:spacing w:after="0"/>
              <w:rPr>
                <w:sz w:val="20"/>
                <w:szCs w:val="20"/>
                <w:color w:val="auto"/>
              </w:rPr>
            </w:pPr>
            <w:r>
              <w:rPr>
                <w:rFonts w:ascii="Arial" w:cs="Arial" w:eastAsia="Arial" w:hAnsi="Arial"/>
                <w:sz w:val="17"/>
                <w:szCs w:val="17"/>
                <w:b w:val="1"/>
                <w:bCs w:val="1"/>
                <w:color w:val="auto"/>
              </w:rPr>
              <w:t>Three Months Ended June 30,</w:t>
            </w:r>
          </w:p>
        </w:tc>
        <w:tc>
          <w:tcPr>
            <w:tcW w:w="220" w:type="dxa"/>
            <w:vAlign w:val="bottom"/>
            <w:shd w:val="clear" w:color="auto" w:fill="CCEEFF"/>
          </w:tcPr>
          <w:p>
            <w:pPr>
              <w:spacing w:after="0"/>
              <w:rPr>
                <w:sz w:val="19"/>
                <w:szCs w:val="19"/>
                <w:color w:val="auto"/>
              </w:rPr>
            </w:pPr>
          </w:p>
        </w:tc>
        <w:tc>
          <w:tcPr>
            <w:tcW w:w="2500" w:type="dxa"/>
            <w:vAlign w:val="bottom"/>
            <w:gridSpan w:val="4"/>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97"/>
              </w:rPr>
              <w:t>Six Months Ended June 30,</w:t>
            </w:r>
          </w:p>
        </w:tc>
      </w:tr>
      <w:tr>
        <w:trPr>
          <w:trHeight w:val="223"/>
        </w:trPr>
        <w:tc>
          <w:tcPr>
            <w:tcW w:w="56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2021</w:t>
            </w: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per share: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5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w:t>
            </w:r>
          </w:p>
        </w:tc>
      </w:tr>
      <w:tr>
        <w:trPr>
          <w:trHeight w:val="223"/>
        </w:trPr>
        <w:tc>
          <w:tcPr>
            <w:tcW w:w="566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5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Weighted-average common shares outstanding</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566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1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7"/>
                <w:szCs w:val="17"/>
                <w:color w:val="auto"/>
                <w:w w:val="98"/>
              </w:rPr>
              <w:t>19,285,050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17,767,554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18,586,515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ind w:left="180"/>
              <w:spacing w:after="0"/>
              <w:rPr>
                <w:sz w:val="20"/>
                <w:szCs w:val="20"/>
                <w:color w:val="auto"/>
              </w:rPr>
            </w:pPr>
            <w:r>
              <w:rPr>
                <w:rFonts w:ascii="Arial" w:cs="Arial" w:eastAsia="Arial" w:hAnsi="Arial"/>
                <w:sz w:val="17"/>
                <w:szCs w:val="17"/>
                <w:color w:val="auto"/>
                <w:w w:val="98"/>
              </w:rPr>
              <w:t>17,749,178</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common share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5660" w:type="dxa"/>
            <w:vAlign w:val="bottom"/>
          </w:tcPr>
          <w:p>
            <w:pPr>
              <w:ind w:left="240"/>
              <w:spacing w:after="0"/>
              <w:rPr>
                <w:sz w:val="20"/>
                <w:szCs w:val="20"/>
                <w:color w:val="auto"/>
              </w:rPr>
            </w:pPr>
            <w:r>
              <w:rPr>
                <w:rFonts w:ascii="Arial" w:cs="Arial" w:eastAsia="Arial" w:hAnsi="Arial"/>
                <w:sz w:val="17"/>
                <w:szCs w:val="17"/>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60" w:firstLine="315"/>
        <w:spacing w:after="0" w:line="273" w:lineRule="auto"/>
        <w:rPr>
          <w:sz w:val="20"/>
          <w:szCs w:val="20"/>
          <w:color w:val="auto"/>
        </w:rPr>
      </w:pPr>
      <w:r>
        <w:rPr>
          <w:rFonts w:ascii="Arial" w:cs="Arial" w:eastAsia="Arial" w:hAnsi="Arial"/>
          <w:sz w:val="17"/>
          <w:szCs w:val="17"/>
          <w:color w:val="auto"/>
        </w:rPr>
        <w:t>The anti-dilutive securities excluded from the weighted-average shares used to calculate the diluted net loss per common share for the three and six months ended June 30, 2022 were as follows:</w:t>
      </w:r>
    </w:p>
    <w:tbl>
      <w:tblPr>
        <w:tblLayout w:type="fixed"/>
        <w:tblInd w:w="0" w:type="dxa"/>
        <w:tblCellMar>
          <w:top w:w="0" w:type="dxa"/>
          <w:left w:w="0" w:type="dxa"/>
          <w:bottom w:w="0" w:type="dxa"/>
          <w:right w:w="0" w:type="dxa"/>
        </w:tblCellMar>
      </w:tblPr>
      <w:tr>
        <w:trPr>
          <w:trHeight w:val="223"/>
        </w:trPr>
        <w:tc>
          <w:tcPr>
            <w:tcW w:w="78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1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b w:val="1"/>
                <w:bCs w:val="1"/>
                <w:color w:val="auto"/>
              </w:rPr>
              <w:t>2021</w:t>
            </w:r>
          </w:p>
        </w:tc>
      </w:tr>
      <w:tr>
        <w:trPr>
          <w:trHeight w:val="216"/>
        </w:trPr>
        <w:tc>
          <w:tcPr>
            <w:tcW w:w="7800" w:type="dxa"/>
            <w:vAlign w:val="bottom"/>
          </w:tcPr>
          <w:p>
            <w:pPr>
              <w:ind w:left="20"/>
              <w:spacing w:after="0"/>
              <w:rPr>
                <w:sz w:val="20"/>
                <w:szCs w:val="20"/>
                <w:color w:val="auto"/>
              </w:rPr>
            </w:pPr>
            <w:r>
              <w:rPr>
                <w:rFonts w:ascii="Arial" w:cs="Arial" w:eastAsia="Arial" w:hAnsi="Arial"/>
                <w:sz w:val="17"/>
                <w:szCs w:val="17"/>
                <w:color w:val="auto"/>
              </w:rPr>
              <w:t>Shares unvested and subject to exercise of stock options</w:t>
            </w:r>
          </w:p>
        </w:tc>
        <w:tc>
          <w:tcPr>
            <w:tcW w:w="1440" w:type="dxa"/>
            <w:vAlign w:val="bottom"/>
          </w:tcPr>
          <w:p>
            <w:pPr>
              <w:jc w:val="right"/>
              <w:spacing w:after="0"/>
              <w:rPr>
                <w:sz w:val="20"/>
                <w:szCs w:val="20"/>
                <w:color w:val="auto"/>
              </w:rPr>
            </w:pPr>
            <w:r>
              <w:rPr>
                <w:rFonts w:ascii="Arial" w:cs="Arial" w:eastAsia="Arial" w:hAnsi="Arial"/>
                <w:sz w:val="17"/>
                <w:szCs w:val="17"/>
                <w:color w:val="auto"/>
              </w:rPr>
              <w:t>192,689</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4,154,898</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subject to outstanding common 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3,486,482</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2,515,944</w:t>
            </w:r>
          </w:p>
        </w:tc>
      </w:tr>
      <w:tr>
        <w:trPr>
          <w:trHeight w:val="223"/>
        </w:trPr>
        <w:tc>
          <w:tcPr>
            <w:tcW w:w="7800" w:type="dxa"/>
            <w:vAlign w:val="bottom"/>
          </w:tcPr>
          <w:p>
            <w:pPr>
              <w:ind w:left="20"/>
              <w:spacing w:after="0"/>
              <w:rPr>
                <w:sz w:val="20"/>
                <w:szCs w:val="20"/>
                <w:color w:val="auto"/>
              </w:rPr>
            </w:pPr>
            <w:r>
              <w:rPr>
                <w:rFonts w:ascii="Arial" w:cs="Arial" w:eastAsia="Arial" w:hAnsi="Arial"/>
                <w:sz w:val="17"/>
                <w:szCs w:val="17"/>
                <w:color w:val="auto"/>
              </w:rPr>
              <w:t>Shares subject to convertible notes stock conversion</w:t>
            </w:r>
          </w:p>
        </w:tc>
        <w:tc>
          <w:tcPr>
            <w:tcW w:w="1440" w:type="dxa"/>
            <w:vAlign w:val="bottom"/>
          </w:tcPr>
          <w:p>
            <w:pPr>
              <w:jc w:val="right"/>
              <w:spacing w:after="0"/>
              <w:rPr>
                <w:sz w:val="20"/>
                <w:szCs w:val="20"/>
                <w:color w:val="auto"/>
              </w:rPr>
            </w:pPr>
            <w:r>
              <w:rPr>
                <w:rFonts w:ascii="Arial" w:cs="Arial" w:eastAsia="Arial" w:hAnsi="Arial"/>
                <w:sz w:val="17"/>
                <w:szCs w:val="17"/>
                <w:color w:val="auto"/>
              </w:rPr>
              <w:t>916,667</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subject to warrants stock conversion</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16,000,000</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BENEFIT PLAN</w:t>
      </w:r>
    </w:p>
    <w:p>
      <w:pPr>
        <w:spacing w:after="0" w:line="243"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Company maintains a safe harbor 401(k) retirement plan for the benefit of its employees. The plan allows participants to make contributions subject to certain limitations. Company matching contributions were $68,000 and $54,000 for the three months ended June 30, 2022 and 2021, respectively, and $117,000 and $106,000 for the six months ended June 30, 2022 and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INCOME TAXES</w:t>
      </w:r>
    </w:p>
    <w:p>
      <w:pPr>
        <w:spacing w:after="0" w:line="243"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determining quarterly provisions for income taxes, the Company uses the annual estimated effective tax rate applied to the actual year-to-date profit or loss, adjusted for discrete items arising in that quarter.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380"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7"/>
          <w:szCs w:val="17"/>
          <w:color w:val="auto"/>
        </w:rPr>
        <w:t>annual estimated effective tax rate differs from the U.S. federal statutory rate primarily as a result of state taxes, foreign taxes, and changes in the Company’s valuation allowance against its deferred tax assets. For the three and six months ended June 30, 2022, the Company recorded an immaterial provision for income taxes.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SUBSEQUENT EVENTS</w:t>
      </w:r>
    </w:p>
    <w:p>
      <w:pPr>
        <w:spacing w:after="0" w:line="230" w:lineRule="exact"/>
        <w:rPr>
          <w:sz w:val="20"/>
          <w:szCs w:val="20"/>
          <w:color w:val="auto"/>
        </w:rPr>
      </w:pPr>
    </w:p>
    <w:p>
      <w:pPr>
        <w:ind w:right="140" w:firstLine="315"/>
        <w:spacing w:after="0" w:line="273" w:lineRule="auto"/>
        <w:rPr>
          <w:sz w:val="20"/>
          <w:szCs w:val="20"/>
          <w:color w:val="auto"/>
        </w:rPr>
      </w:pPr>
      <w:r>
        <w:rPr>
          <w:rFonts w:ascii="Arial" w:cs="Arial" w:eastAsia="Arial" w:hAnsi="Arial"/>
          <w:sz w:val="17"/>
          <w:szCs w:val="17"/>
          <w:color w:val="auto"/>
        </w:rPr>
        <w:t>Management has considered subsequent events through August 15, 2022, the date this report was issued, and there were no events that required additional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37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"SpringBig," "the Company," "we," "us" or "our" refer to SpringBig Holdings, Inc. and its subsidiaries, unless the context otherwise requires.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Forward Looking Statements</w:t>
      </w:r>
    </w:p>
    <w:p>
      <w:pPr>
        <w:spacing w:after="0" w:line="243" w:lineRule="exact"/>
        <w:rPr>
          <w:sz w:val="20"/>
          <w:szCs w:val="20"/>
          <w:color w:val="auto"/>
        </w:rPr>
      </w:pPr>
    </w:p>
    <w:p>
      <w:pPr>
        <w:jc w:val="both"/>
        <w:ind w:firstLine="315"/>
        <w:spacing w:after="0" w:line="266" w:lineRule="auto"/>
        <w:rPr>
          <w:sz w:val="20"/>
          <w:szCs w:val="20"/>
          <w:color w:val="auto"/>
        </w:rPr>
      </w:pPr>
      <w:r>
        <w:rPr>
          <w:rFonts w:ascii="Arial" w:cs="Arial" w:eastAsia="Arial" w:hAnsi="Arial"/>
          <w:sz w:val="16"/>
          <w:szCs w:val="16"/>
          <w:i w:val="1"/>
          <w:iCs w:val="1"/>
          <w:color w:val="auto"/>
        </w:rPr>
        <w:t>All statements other than statements of historical facts contained in this report, including statements regarding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objectives, and financial needs. Our actual results could differ materially from those anticipated due to various factors discussed under “Risk Factors” in this Quarterly Report on Form 10-Q.</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Business Overview</w:t>
      </w:r>
    </w:p>
    <w:p>
      <w:pPr>
        <w:spacing w:after="0" w:line="230"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SpringBig Holdings, Inc. (the “Company” or “SpringBig”)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 marketing solutions to drive new customer acquisition, customer spend and retail foot traffic. Our proven business-to-business-to-customer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spacing w:after="0" w:line="197" w:lineRule="exact"/>
        <w:rPr>
          <w:sz w:val="20"/>
          <w:szCs w:val="20"/>
          <w:color w:val="auto"/>
        </w:rPr>
      </w:pPr>
    </w:p>
    <w:p>
      <w:pPr>
        <w:jc w:val="both"/>
        <w:ind w:firstLine="315"/>
        <w:spacing w:after="0" w:line="342" w:lineRule="auto"/>
        <w:rPr>
          <w:sz w:val="20"/>
          <w:szCs w:val="20"/>
          <w:color w:val="auto"/>
        </w:rPr>
      </w:pPr>
      <w:r>
        <w:rPr>
          <w:rFonts w:ascii="Arial" w:cs="Arial" w:eastAsia="Arial" w:hAnsi="Arial"/>
          <w:sz w:val="15"/>
          <w:szCs w:val="15"/>
          <w:color w:val="auto"/>
        </w:rPr>
        <w:t>SpringBig serves approximately 1,300 brand and retailer clients across more than 2,800 distinct retail locations in North America. Our clients distribute almost $2.0 billion messages annually, and in the last year more than $7.0 billion of gross merchandise value was accounted for by clients utilizing our platform.</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Business Combination and Public Company Costs</w:t>
      </w:r>
    </w:p>
    <w:p>
      <w:pPr>
        <w:spacing w:after="0" w:line="230"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On June 14, 2022, SpringBig Holdings, Inc., a Delaware corporation (formerly known as Tuatara Capital Acquisition Corporation (“Tuatara” or “TCAC”)), consummated the previously announced business combination of Tuatara and SpringBig, Inc.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 Legacy SpringBig was deemed to be the accounting acquirer in the business combination based on an analysis of the criteria outlined in Accounting Standards Codification 805. While Tuatara was the legal acquirer in the business combination, because Legacy SpringBig was deemed the accounting acquirer, the historical financial statements of Legacy SpringBig became the historical financial statements of the combined company, upon the Closing.</w:t>
      </w:r>
    </w:p>
    <w:p>
      <w:pPr>
        <w:spacing w:after="0" w:line="207"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6"/>
          <w:szCs w:val="16"/>
          <w:color w:val="auto"/>
        </w:rPr>
        <w:t>The business combination was accounted for as a “reverse capitalization”. A reverse capitalization does not result in a new basis of accounting, and the financial statements of the combined entity represent the continuation of the financial statements of Legacy SpringBig in many respects. Under this method of accounting, Tuatara was treated as the “acquired” company for financial reporting purposes. For accounting purposes, Legacy SpringBig was deemed to be the accounting acquirer in the transaction and, consequently, the transaction was treated as a recapitalization of Legacy SpringBig (i.e., a capital transaction involving the issuance of stock by Tuatara for stock of Legacy SpringBig). Accordingly, the consolidated assets, liabilities and results of operations of Legacy SpringBig became the historical financial statements of the combined company, and Tuatara’s assets, liabilities and results of operations were consolidated with Legacy SpringBig beginning on the acquisition date. Operations prior to the business combination are presented as those of Legacy SpringBig. The net assets of Tuatara were recognized at historical cost (which are consistent with carry value), with no goodwill or other intangible assets recorded.</w:t>
      </w:r>
    </w:p>
    <w:p>
      <w:pPr>
        <w:spacing w:after="0" w:line="196"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a consequence of the business combination, Legacy SpringBig became the successor to an SEC-registered and Nasdaq-listed company, which requires us to incur additional expenses and implement procedures and processes to address public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882" w:right="339" w:bottom="1440" w:gutter="0" w:footer="0" w:header="0"/>
        </w:sectPr>
      </w:pPr>
    </w:p>
    <w:bookmarkStart w:id="29" w:name="page30"/>
    <w:bookmarkEnd w:id="29"/>
    <w:p>
      <w:pPr>
        <w:jc w:val="both"/>
        <w:spacing w:after="0" w:line="249" w:lineRule="auto"/>
        <w:rPr>
          <w:sz w:val="20"/>
          <w:szCs w:val="20"/>
          <w:color w:val="auto"/>
        </w:rPr>
      </w:pPr>
      <w:r>
        <w:rPr>
          <w:rFonts w:ascii="Arial" w:cs="Arial" w:eastAsia="Arial" w:hAnsi="Arial"/>
          <w:sz w:val="17"/>
          <w:szCs w:val="17"/>
          <w:color w:val="auto"/>
        </w:rPr>
        <w:t>company regulatory requirements and customary practices. We have and expect to continue to incur additional annual expenses as a public company for, amongst other things, directors’ and officers’ liability insurance, director fees and additional internal and external accounting, legal and administrative resources, including increased audit and legal fees.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and Financial Metrics</w:t>
      </w:r>
    </w:p>
    <w:p>
      <w:pPr>
        <w:spacing w:after="0" w:line="243" w:lineRule="exact"/>
        <w:rPr>
          <w:sz w:val="20"/>
          <w:szCs w:val="20"/>
          <w:color w:val="auto"/>
        </w:rPr>
      </w:pPr>
    </w:p>
    <w:p>
      <w:pPr>
        <w:ind w:right="100" w:firstLine="315"/>
        <w:spacing w:after="0" w:line="342" w:lineRule="auto"/>
        <w:rPr>
          <w:sz w:val="20"/>
          <w:szCs w:val="20"/>
          <w:color w:val="auto"/>
        </w:rPr>
      </w:pPr>
      <w:r>
        <w:rPr>
          <w:rFonts w:ascii="Arial" w:cs="Arial" w:eastAsia="Arial" w:hAnsi="Arial"/>
          <w:sz w:val="15"/>
          <w:szCs w:val="15"/>
          <w:color w:val="auto"/>
        </w:rPr>
        <w:t>We monitor the following key financial and operational metrics to evaluate our business, measure our performance, identify trends affecting our business, formulate business plans, and make strategic decisions. The following is our analysis for the three and six months ended June 30, 2022 and 2021,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shd w:val="clear" w:color="auto" w:fill="CCEEFF"/>
          </w:tcPr>
          <w:p>
            <w:pPr>
              <w:spacing w:after="0"/>
              <w:rPr>
                <w:sz w:val="19"/>
                <w:szCs w:val="19"/>
                <w:color w:val="auto"/>
              </w:rPr>
            </w:pPr>
          </w:p>
        </w:tc>
        <w:tc>
          <w:tcPr>
            <w:tcW w:w="238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w w:val="97"/>
              </w:rPr>
              <w:t>Three Months Ended June 30,</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8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Six Months Ended June 30,</w:t>
            </w:r>
          </w:p>
        </w:tc>
        <w:tc>
          <w:tcPr>
            <w:tcW w:w="880" w:type="dxa"/>
            <w:vAlign w:val="bottom"/>
            <w:shd w:val="clear" w:color="auto" w:fill="CCEEFF"/>
          </w:tcPr>
          <w:p>
            <w:pPr>
              <w:spacing w:after="0"/>
              <w:rPr>
                <w:sz w:val="19"/>
                <w:szCs w:val="19"/>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6,584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5,804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12,948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11,013</w:t>
            </w:r>
          </w:p>
        </w:tc>
      </w:tr>
      <w:tr>
        <w:trPr>
          <w:trHeight w:val="223"/>
        </w:trPr>
        <w:tc>
          <w:tcPr>
            <w:tcW w:w="4720" w:type="dxa"/>
            <w:vAlign w:val="bottom"/>
          </w:tcPr>
          <w:p>
            <w:pPr>
              <w:ind w:left="20"/>
              <w:spacing w:after="0"/>
              <w:rPr>
                <w:sz w:val="20"/>
                <w:szCs w:val="20"/>
                <w:color w:val="auto"/>
              </w:rPr>
            </w:pPr>
            <w:r>
              <w:rPr>
                <w:rFonts w:ascii="Arial" w:cs="Arial" w:eastAsia="Arial" w:hAnsi="Arial"/>
                <w:sz w:val="17"/>
                <w:szCs w:val="17"/>
                <w:color w:val="auto"/>
              </w:rPr>
              <w:t>Net loss</w:t>
            </w:r>
          </w:p>
        </w:tc>
        <w:tc>
          <w:tcPr>
            <w:tcW w:w="48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Arial" w:cs="Arial" w:eastAsia="Arial" w:hAnsi="Arial"/>
                <w:sz w:val="17"/>
                <w:szCs w:val="17"/>
                <w:color w:val="auto"/>
              </w:rPr>
              <w:t>(2,611)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jc w:val="right"/>
              <w:ind w:right="93"/>
              <w:spacing w:after="0"/>
              <w:rPr>
                <w:sz w:val="20"/>
                <w:szCs w:val="20"/>
                <w:color w:val="auto"/>
              </w:rPr>
            </w:pPr>
            <w:r>
              <w:rPr>
                <w:rFonts w:ascii="Arial" w:cs="Arial" w:eastAsia="Arial" w:hAnsi="Arial"/>
                <w:sz w:val="17"/>
                <w:szCs w:val="17"/>
                <w:color w:val="auto"/>
              </w:rPr>
              <w:t>(1,454)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7"/>
                <w:szCs w:val="17"/>
                <w:color w:val="auto"/>
              </w:rPr>
              <w:t>(5,476)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Arial" w:cs="Arial" w:eastAsia="Arial" w:hAnsi="Arial"/>
                <w:sz w:val="17"/>
                <w:szCs w:val="17"/>
                <w:color w:val="auto"/>
              </w:rPr>
              <w:t>(2,572)</w:t>
            </w: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(3,624)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(1,330)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(6,156)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(2,321)</w:t>
            </w:r>
          </w:p>
        </w:tc>
      </w:tr>
      <w:tr>
        <w:trPr>
          <w:trHeight w:val="262"/>
        </w:trPr>
        <w:tc>
          <w:tcPr>
            <w:tcW w:w="4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retail clients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1,464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1,018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1,464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1,018</w:t>
            </w:r>
          </w:p>
        </w:tc>
      </w:tr>
      <w:tr>
        <w:trPr>
          <w:trHeight w:val="223"/>
        </w:trPr>
        <w:tc>
          <w:tcPr>
            <w:tcW w:w="4720" w:type="dxa"/>
            <w:vAlign w:val="bottom"/>
          </w:tcPr>
          <w:p>
            <w:pPr>
              <w:ind w:left="20"/>
              <w:spacing w:after="0"/>
              <w:rPr>
                <w:sz w:val="20"/>
                <w:szCs w:val="20"/>
                <w:color w:val="auto"/>
              </w:rPr>
            </w:pPr>
            <w:r>
              <w:rPr>
                <w:rFonts w:ascii="Arial" w:cs="Arial" w:eastAsia="Arial" w:hAnsi="Arial"/>
                <w:sz w:val="17"/>
                <w:szCs w:val="17"/>
                <w:color w:val="auto"/>
              </w:rPr>
              <w:t>Net revenue retention</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114 %</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93 %</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114 %</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93 %</w:t>
            </w: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messages (million)</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r>
    </w:tbl>
    <w:p>
      <w:pPr>
        <w:spacing w:after="0" w:line="3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 reconciliation of net loss to Adjusted EBITDA see “EBITDA and Adjusted EBITDA”, below.</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Revenue</w:t>
      </w:r>
    </w:p>
    <w:p>
      <w:pPr>
        <w:spacing w:after="0" w:line="237" w:lineRule="exact"/>
        <w:rPr>
          <w:sz w:val="20"/>
          <w:szCs w:val="20"/>
          <w:color w:val="auto"/>
        </w:rPr>
      </w:pPr>
    </w:p>
    <w:p>
      <w:pPr>
        <w:jc w:val="both"/>
        <w:ind w:firstLine="315"/>
        <w:spacing w:after="0" w:line="245" w:lineRule="auto"/>
        <w:rPr>
          <w:sz w:val="20"/>
          <w:szCs w:val="20"/>
          <w:color w:val="auto"/>
        </w:rPr>
      </w:pPr>
      <w:r>
        <w:rPr>
          <w:rFonts w:ascii="Arial" w:cs="Arial" w:eastAsia="Arial" w:hAnsi="Arial"/>
          <w:sz w:val="17"/>
          <w:szCs w:val="17"/>
          <w:color w:val="auto"/>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12-month periods unless notice of cancellation is provided in advance.</w:t>
      </w:r>
    </w:p>
    <w:p>
      <w:pPr>
        <w:spacing w:after="0" w:line="209" w:lineRule="exact"/>
        <w:rPr>
          <w:sz w:val="20"/>
          <w:szCs w:val="20"/>
          <w:color w:val="auto"/>
        </w:rPr>
      </w:pPr>
    </w:p>
    <w:p>
      <w:pPr>
        <w:jc w:val="both"/>
        <w:ind w:firstLine="315"/>
        <w:spacing w:after="0" w:line="291" w:lineRule="auto"/>
        <w:rPr>
          <w:sz w:val="20"/>
          <w:szCs w:val="20"/>
          <w:color w:val="auto"/>
        </w:rPr>
      </w:pPr>
      <w:r>
        <w:rPr>
          <w:rFonts w:ascii="Arial" w:cs="Arial" w:eastAsia="Arial" w:hAnsi="Arial"/>
          <w:sz w:val="15"/>
          <w:szCs w:val="15"/>
          <w:color w:val="auto"/>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Other Key Operating Metrics</w:t>
      </w:r>
    </w:p>
    <w:p>
      <w:pPr>
        <w:spacing w:after="0" w:line="237"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The growth in our revenues is a key metric at this stage in our development as a Company and therefore to provide investors with additional information, we have disclosed in the table above the number of our retail clients, our net revenue retention rate and the number of standardized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spacing w:after="0" w:line="211"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i w:val="1"/>
          <w:iCs w:val="1"/>
          <w:color w:val="auto"/>
        </w:rPr>
        <w:t xml:space="preserve">Number of Retail Clients. </w:t>
      </w:r>
      <w:r>
        <w:rPr>
          <w:rFonts w:ascii="Arial" w:cs="Arial" w:eastAsia="Arial" w:hAnsi="Arial"/>
          <w:sz w:val="17"/>
          <w:szCs w:val="17"/>
          <w:color w:val="auto"/>
        </w:rPr>
        <w:t>We disclose in the table above the number of clients of the business at the end of the relevant period. We view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clients as an important metric to assess the performance of our business because an increased number of clients drives growth, increases brand awareness and helps contribute to our reach and strengthening our value proposition.</w:t>
      </w:r>
    </w:p>
    <w:p>
      <w:pPr>
        <w:spacing w:after="0" w:line="19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i w:val="1"/>
          <w:iCs w:val="1"/>
          <w:color w:val="auto"/>
        </w:rPr>
        <w:t xml:space="preserve">Net Revenue Retention. </w:t>
      </w:r>
      <w:r>
        <w:rPr>
          <w:rFonts w:ascii="Arial" w:cs="Arial" w:eastAsia="Arial" w:hAnsi="Arial"/>
          <w:sz w:val="17"/>
          <w:szCs w:val="17"/>
          <w:color w:val="auto"/>
        </w:rPr>
        <w:t>We believe that the growth in the use of our platform by our clients is an important metric in evaluating our business and growth.</w:t>
      </w:r>
      <w:r>
        <w:rPr>
          <w:rFonts w:ascii="Arial" w:cs="Arial" w:eastAsia="Arial" w:hAnsi="Arial"/>
          <w:sz w:val="17"/>
          <w:szCs w:val="17"/>
          <w:i w:val="1"/>
          <w:iCs w:val="1"/>
          <w:color w:val="auto"/>
        </w:rPr>
        <w:t xml:space="preserve"> </w:t>
      </w:r>
      <w:r>
        <w:rPr>
          <w:rFonts w:ascii="Arial" w:cs="Arial" w:eastAsia="Arial" w:hAnsi="Arial"/>
          <w:sz w:val="17"/>
          <w:szCs w:val="17"/>
          <w:color w:val="auto"/>
        </w:rPr>
        <w:t>We monitor our dollar-based net revenue retention rate on a rolling basis to track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861" w:right="339" w:bottom="1440" w:gutter="0" w:footer="0" w:header="0"/>
        </w:sectPr>
      </w:pPr>
    </w:p>
    <w:bookmarkStart w:id="30" w:name="page31"/>
    <w:bookmarkEnd w:id="30"/>
    <w:p>
      <w:pPr>
        <w:jc w:val="both"/>
        <w:spacing w:after="0" w:line="245" w:lineRule="auto"/>
        <w:rPr>
          <w:sz w:val="20"/>
          <w:szCs w:val="20"/>
          <w:color w:val="auto"/>
        </w:rPr>
      </w:pPr>
      <w:r>
        <w:rPr>
          <w:rFonts w:ascii="Arial" w:cs="Arial" w:eastAsia="Arial" w:hAnsi="Arial"/>
          <w:sz w:val="17"/>
          <w:szCs w:val="17"/>
          <w:color w:val="auto"/>
        </w:rPr>
        <w:t>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average recurring monthly revenue from retail clients, adjusted for losses, increases and decreases in monthly subscriptions during the prior twelve months divided by the average recurring monthly subscription revenue over the same trailing twelve-month period.</w:t>
      </w:r>
    </w:p>
    <w:p>
      <w:pPr>
        <w:spacing w:after="0" w:line="20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6"/>
          <w:szCs w:val="16"/>
          <w:color w:val="auto"/>
        </w:rPr>
        <w:t>We view a net revenue retention rate exceeding 100% as positive because this is indicative of increasing revenue without including the impact of the initial recurring revenue from new clients during the month in which they are on-boarded. We believe that we can drive this metric by continuing to focus on existing clients and by revenue-increasing activities, such as client upgrades. Net revenue retention is measured over the twelve-month ending at the reporting date and if the ratio exceeds 100% this is an indication of upgrades from clients exceeding the value of any lost clients and downgrades in subscriptions. The net revenue retention is calculated based on subscription revenues only and does not include the impact of excess use revenue.</w:t>
      </w:r>
    </w:p>
    <w:p>
      <w:pPr>
        <w:spacing w:after="0" w:line="19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i w:val="1"/>
          <w:iCs w:val="1"/>
          <w:color w:val="auto"/>
        </w:rPr>
        <w:t xml:space="preserve">Number of Messages Sent. </w:t>
      </w:r>
      <w:r>
        <w:rPr>
          <w:rFonts w:ascii="Arial" w:cs="Arial" w:eastAsia="Arial" w:hAnsi="Arial"/>
          <w:sz w:val="17"/>
          <w:szCs w:val="17"/>
          <w:color w:val="auto"/>
        </w:rPr>
        <w:t>We believe that the volume of messages sent, measured in standardized message size, is important as it indicates the frequency</w:t>
      </w:r>
      <w:r>
        <w:rPr>
          <w:rFonts w:ascii="Arial" w:cs="Arial" w:eastAsia="Arial" w:hAnsi="Arial"/>
          <w:sz w:val="17"/>
          <w:szCs w:val="17"/>
          <w:i w:val="1"/>
          <w:iCs w:val="1"/>
          <w:color w:val="auto"/>
        </w:rPr>
        <w:t xml:space="preserve"> </w:t>
      </w:r>
      <w:r>
        <w:rPr>
          <w:rFonts w:ascii="Arial" w:cs="Arial" w:eastAsia="Arial" w:hAnsi="Arial"/>
          <w:sz w:val="17"/>
          <w:szCs w:val="17"/>
          <w:color w:val="auto"/>
        </w:rPr>
        <w:t>of use and level of engagement of our platform by our clients.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EBITDA and Adjusted EBITDA</w:t>
      </w:r>
    </w:p>
    <w:p>
      <w:pPr>
        <w:spacing w:after="0" w:line="237"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or infrequent items (such as changes in the fair value of financial instruments and warrants).</w:t>
      </w:r>
    </w:p>
    <w:p>
      <w:pPr>
        <w:spacing w:after="0" w:line="20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6"/>
          <w:szCs w:val="16"/>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186" w:lineRule="exact"/>
        <w:rPr>
          <w:sz w:val="20"/>
          <w:szCs w:val="20"/>
          <w:color w:val="auto"/>
        </w:rPr>
      </w:pPr>
    </w:p>
    <w:p>
      <w:pPr>
        <w:jc w:val="both"/>
        <w:ind w:firstLine="315"/>
        <w:spacing w:after="0" w:line="305" w:lineRule="auto"/>
        <w:rPr>
          <w:sz w:val="20"/>
          <w:szCs w:val="20"/>
          <w:color w:val="auto"/>
        </w:rPr>
      </w:pPr>
      <w:r>
        <w:rPr>
          <w:rFonts w:ascii="Arial" w:cs="Arial" w:eastAsia="Arial" w:hAnsi="Arial"/>
          <w:sz w:val="16"/>
          <w:szCs w:val="16"/>
          <w:color w:val="auto"/>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spacing w:after="0" w:line="201" w:lineRule="exact"/>
        <w:rPr>
          <w:sz w:val="20"/>
          <w:szCs w:val="20"/>
          <w:color w:val="auto"/>
        </w:rPr>
      </w:pPr>
    </w:p>
    <w:p>
      <w:pPr>
        <w:ind w:left="640" w:hanging="320"/>
        <w:spacing w:after="0" w:line="229"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7"/>
          <w:szCs w:val="17"/>
          <w:color w:val="auto"/>
        </w:rPr>
        <w:t>although depreciation is a non-cash charge, the assets being depreciated may have to be replaced in the future, and neither EBITDA nor Adjusted EBITDA reflect cash capital expenditure requirements for such replacements or for new capital expenditure requirements;</w:t>
      </w:r>
    </w:p>
    <w:p>
      <w:pPr>
        <w:spacing w:after="0" w:line="1" w:lineRule="exact"/>
        <w:rPr>
          <w:rFonts w:ascii="Arial" w:cs="Arial" w:eastAsia="Arial" w:hAnsi="Arial"/>
          <w:sz w:val="21"/>
          <w:szCs w:val="21"/>
          <w:color w:val="auto"/>
        </w:rPr>
      </w:pPr>
    </w:p>
    <w:p>
      <w:pPr>
        <w:ind w:left="620" w:hanging="300"/>
        <w:spacing w:after="0" w:line="234" w:lineRule="auto"/>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EBITDA and Adjusted EBITDA do not reflect changes in, or cash requirements for, our working capital needs; and</w:t>
      </w:r>
    </w:p>
    <w:p>
      <w:pPr>
        <w:spacing w:after="0" w:line="10" w:lineRule="exact"/>
        <w:rPr>
          <w:rFonts w:ascii="Arial" w:cs="Arial" w:eastAsia="Arial" w:hAnsi="Arial"/>
          <w:sz w:val="21"/>
          <w:szCs w:val="21"/>
          <w:color w:val="auto"/>
        </w:rPr>
      </w:pPr>
    </w:p>
    <w:p>
      <w:pPr>
        <w:ind w:left="620" w:hanging="300"/>
        <w:spacing w:after="0" w:line="224" w:lineRule="auto"/>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EBITDA and Adjusted EBITDA do not reflect tax payments that may represent a reduction in cash available.</w:t>
      </w:r>
    </w:p>
    <w:p>
      <w:pPr>
        <w:spacing w:after="0" w:line="212" w:lineRule="exact"/>
        <w:rPr>
          <w:sz w:val="20"/>
          <w:szCs w:val="20"/>
          <w:color w:val="auto"/>
        </w:rPr>
      </w:pPr>
    </w:p>
    <w:p>
      <w:pPr>
        <w:ind w:right="120" w:firstLine="315"/>
        <w:spacing w:after="0" w:line="273" w:lineRule="auto"/>
        <w:rPr>
          <w:sz w:val="20"/>
          <w:szCs w:val="20"/>
          <w:color w:val="auto"/>
        </w:rPr>
      </w:pPr>
      <w:r>
        <w:rPr>
          <w:rFonts w:ascii="Arial" w:cs="Arial" w:eastAsia="Arial" w:hAnsi="Arial"/>
          <w:sz w:val="17"/>
          <w:szCs w:val="17"/>
          <w:color w:val="auto"/>
        </w:rPr>
        <w:t>Because of these limitations, you should consider EBITDA and Adjusted EBITDA alongside other financial performance measures, including net loss and our other GAAP results.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net loss before taxes to non-GAAP EBITDA and Adjusted EBITDA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86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5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80" w:type="dxa"/>
            <w:vAlign w:val="bottom"/>
            <w:gridSpan w:val="5"/>
            <w:shd w:val="clear" w:color="auto" w:fill="CCEEFF"/>
          </w:tcPr>
          <w:p>
            <w:pPr>
              <w:ind w:left="120"/>
              <w:spacing w:after="0"/>
              <w:rPr>
                <w:sz w:val="20"/>
                <w:szCs w:val="20"/>
                <w:color w:val="auto"/>
              </w:rPr>
            </w:pPr>
            <w:r>
              <w:rPr>
                <w:rFonts w:ascii="Arial" w:cs="Arial" w:eastAsia="Arial" w:hAnsi="Arial"/>
                <w:sz w:val="17"/>
                <w:szCs w:val="17"/>
                <w:b w:val="1"/>
                <w:bCs w:val="1"/>
                <w:color w:val="auto"/>
              </w:rPr>
              <w:t>Three Months Ended June 30,</w:t>
            </w:r>
          </w:p>
        </w:tc>
        <w:tc>
          <w:tcPr>
            <w:tcW w:w="212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w w:val="94"/>
              </w:rPr>
              <w:t>Six Months Ended June 30,</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expense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42"/>
        </w:trPr>
        <w:tc>
          <w:tcPr>
            <w:tcW w:w="5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7"/>
                <w:szCs w:val="17"/>
                <w:color w:val="auto"/>
              </w:rPr>
              <w:t>EBITDA</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(2,328)</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(1,449)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(5,041)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(2,558)</w:t>
            </w:r>
          </w:p>
        </w:tc>
        <w:tc>
          <w:tcPr>
            <w:tcW w:w="0" w:type="dxa"/>
            <w:vAlign w:val="bottom"/>
          </w:tcPr>
          <w:p>
            <w:pPr>
              <w:spacing w:after="0"/>
              <w:rPr>
                <w:sz w:val="1"/>
                <w:szCs w:val="1"/>
                <w:color w:val="auto"/>
              </w:rPr>
            </w:pPr>
          </w:p>
        </w:tc>
      </w:tr>
      <w:tr>
        <w:trPr>
          <w:trHeight w:val="262"/>
        </w:trPr>
        <w:tc>
          <w:tcPr>
            <w:tcW w:w="5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7"/>
                <w:szCs w:val="17"/>
                <w:color w:val="auto"/>
              </w:rPr>
              <w:t>Stock based compensation*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1,045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1,226</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Business combination related bonus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7"/>
                <w:szCs w:val="17"/>
                <w:color w:val="auto"/>
              </w:rPr>
              <w:t>Change in fair value of warrants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(2,880)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(2,880)</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senior secured convertible note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2"/>
        </w:trPr>
        <w:tc>
          <w:tcPr>
            <w:tcW w:w="54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(3,624)</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(6,156)</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4"/>
                <w:szCs w:val="14"/>
                <w:color w:val="auto"/>
              </w:rPr>
              <w:t>*Stock-based compensation is recorded in General and Administrative expenses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Factors Affecting Our Performance</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Overall Economic Trends</w:t>
      </w:r>
    </w:p>
    <w:p>
      <w:pPr>
        <w:spacing w:after="0" w:line="237"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Growth and Retention of Customers</w:t>
      </w:r>
    </w:p>
    <w:p>
      <w:pPr>
        <w:spacing w:after="0" w:line="250"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Regulation and Maturation of Cannabis Markets</w:t>
      </w:r>
    </w:p>
    <w:p>
      <w:pPr>
        <w:spacing w:after="0" w:line="23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6"/>
          <w:szCs w:val="16"/>
          <w:color w:val="auto"/>
        </w:rPr>
        <w:t>We believe that we will have significant opportunities for growth as more jurisdictions legalize cannabis for medical and/or adult use and the regulatory environment continues to develop. We intent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spacing w:after="0" w:line="195"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spacing w:after="0" w:line="19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believe that maintaining and enhancing our brand identity and our reputation is critical to maintaining and growing our relationships with customers and to our ability to attract new customers.</w:t>
      </w:r>
    </w:p>
    <w:p>
      <w:pPr>
        <w:spacing w:after="0" w:line="185"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913" w:right="339" w:bottom="1440" w:gutter="0" w:footer="0" w:header="0"/>
        </w:sectPr>
      </w:pPr>
    </w:p>
    <w:bookmarkStart w:id="32" w:name="page33"/>
    <w:bookmarkEnd w:id="32"/>
    <w:p>
      <w:pPr>
        <w:jc w:val="both"/>
        <w:ind w:firstLine="315"/>
        <w:spacing w:after="0" w:line="245"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value of our brand may be costly and time consuming, and such efforts may not ultimately be successful.</w:t>
      </w:r>
    </w:p>
    <w:p>
      <w:pPr>
        <w:spacing w:after="0" w:line="20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Revenue</w:t>
      </w:r>
    </w:p>
    <w:p>
      <w:pPr>
        <w:spacing w:after="0" w:line="237"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SpringBig provides its retail customers with access to an integrated platform that provides all the functions of the Company’s proprietary software, which uses proprietary technology to send text or email messages to the customer’s contacts. This access is provided to customers under a contract, with revenue generated from monthly fixed fees for credits (up to pre-contracted amount) and optional purchases of additional credits.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 of Revenue</w:t>
      </w:r>
    </w:p>
    <w:p>
      <w:pPr>
        <w:spacing w:after="0" w:line="23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Cost of revenue consists primarily consists of amounts payable to distributors of messages on behalf of the Company’s customers across cellular networks and integrations.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Selling, Servicing and Marketing Expenses</w:t>
      </w:r>
    </w:p>
    <w:p>
      <w:pPr>
        <w:spacing w:after="0" w:line="237" w:lineRule="exact"/>
        <w:rPr>
          <w:sz w:val="20"/>
          <w:szCs w:val="20"/>
          <w:color w:val="auto"/>
        </w:rPr>
      </w:pPr>
    </w:p>
    <w:p>
      <w:pPr>
        <w:jc w:val="both"/>
        <w:ind w:firstLine="315"/>
        <w:spacing w:after="0" w:line="305" w:lineRule="auto"/>
        <w:rPr>
          <w:sz w:val="20"/>
          <w:szCs w:val="20"/>
          <w:color w:val="auto"/>
        </w:rPr>
      </w:pPr>
      <w:r>
        <w:rPr>
          <w:rFonts w:ascii="Arial" w:cs="Arial" w:eastAsia="Arial" w:hAnsi="Arial"/>
          <w:sz w:val="16"/>
          <w:szCs w:val="16"/>
          <w:color w:val="auto"/>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Technology and Software Development Expenses</w:t>
      </w:r>
    </w:p>
    <w:p>
      <w:pPr>
        <w:spacing w:after="0" w:line="237" w:lineRule="exact"/>
        <w:rPr>
          <w:sz w:val="20"/>
          <w:szCs w:val="20"/>
          <w:color w:val="auto"/>
        </w:rPr>
      </w:pPr>
    </w:p>
    <w:p>
      <w:pPr>
        <w:jc w:val="both"/>
        <w:ind w:firstLine="315"/>
        <w:spacing w:after="0" w:line="247" w:lineRule="auto"/>
        <w:rPr>
          <w:sz w:val="20"/>
          <w:szCs w:val="20"/>
          <w:color w:val="auto"/>
        </w:rPr>
      </w:pPr>
      <w:r>
        <w:rPr>
          <w:rFonts w:ascii="Arial" w:cs="Arial" w:eastAsia="Arial" w:hAnsi="Arial"/>
          <w:sz w:val="17"/>
          <w:szCs w:val="17"/>
          <w:color w:val="auto"/>
        </w:rPr>
        <w:t>Technology and software development costs consist of salaries and benefits for employees, including engineering and technical teams who are responsible for building new products, as well as maintaining and improving existing products. We capitalize certain costs associated with technology and software development in accordance with ACS 350-40, Intangibles – Goodwill and Other – Internal Use Software, but these are limited in quantum as we are constantly and regularly making enhancements to our technology platform and do not consider appropriate to be capitalized. Capitalized costs are generally amortized over a three-year period commencing on the date that the specific software product is placed in service. We believe that continued investment in our platform is important for our growth.</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237"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Results of Operations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Comparison of Three Months Ended June 30, 2022 compared to Three Months Ended June 30, 2021</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set forth our results of operations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86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3"/>
        </w:trPr>
        <w:tc>
          <w:tcPr>
            <w:tcW w:w="5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760" w:type="dxa"/>
            <w:vAlign w:val="bottom"/>
            <w:gridSpan w:val="5"/>
            <w:shd w:val="clear" w:color="auto" w:fill="CCEEFF"/>
          </w:tcPr>
          <w:p>
            <w:pPr>
              <w:ind w:left="60"/>
              <w:spacing w:after="0"/>
              <w:rPr>
                <w:sz w:val="20"/>
                <w:szCs w:val="20"/>
                <w:color w:val="auto"/>
              </w:rPr>
            </w:pPr>
            <w:r>
              <w:rPr>
                <w:rFonts w:ascii="Arial" w:cs="Arial" w:eastAsia="Arial" w:hAnsi="Arial"/>
                <w:sz w:val="17"/>
                <w:szCs w:val="17"/>
                <w:b w:val="1"/>
                <w:bCs w:val="1"/>
                <w:color w:val="auto"/>
              </w:rPr>
              <w:t>Three Months Ended June 30,</w:t>
            </w:r>
          </w:p>
        </w:tc>
        <w:tc>
          <w:tcPr>
            <w:tcW w:w="1240" w:type="dxa"/>
            <w:vAlign w:val="bottom"/>
            <w:shd w:val="clear" w:color="auto" w:fill="CCEEFF"/>
          </w:tcPr>
          <w:p>
            <w:pPr>
              <w:spacing w:after="0"/>
              <w:rPr>
                <w:sz w:val="19"/>
                <w:szCs w:val="19"/>
                <w:color w:val="auto"/>
              </w:rPr>
            </w:pPr>
          </w:p>
        </w:tc>
      </w:tr>
      <w:tr>
        <w:trPr>
          <w:trHeight w:val="170"/>
        </w:trPr>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20"/>
              <w:spacing w:after="0" w:line="171" w:lineRule="exact"/>
              <w:rPr>
                <w:sz w:val="20"/>
                <w:szCs w:val="20"/>
                <w:color w:val="auto"/>
              </w:rPr>
            </w:pPr>
            <w:r>
              <w:rPr>
                <w:rFonts w:ascii="Arial" w:cs="Arial" w:eastAsia="Arial" w:hAnsi="Arial"/>
                <w:sz w:val="17"/>
                <w:szCs w:val="17"/>
                <w:b w:val="1"/>
                <w:bCs w:val="1"/>
                <w:color w:val="auto"/>
                <w:w w:val="89"/>
              </w:rPr>
              <w:t>Increase</w:t>
            </w:r>
          </w:p>
        </w:tc>
        <w:tc>
          <w:tcPr>
            <w:tcW w:w="1240" w:type="dxa"/>
            <w:vAlign w:val="bottom"/>
          </w:tcPr>
          <w:p>
            <w:pPr>
              <w:spacing w:after="0"/>
              <w:rPr>
                <w:sz w:val="14"/>
                <w:szCs w:val="14"/>
                <w:color w:val="auto"/>
              </w:rPr>
            </w:pPr>
          </w:p>
        </w:tc>
      </w:tr>
      <w:tr>
        <w:trPr>
          <w:trHeight w:val="236"/>
        </w:trPr>
        <w:tc>
          <w:tcPr>
            <w:tcW w:w="5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(decrease)</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190"/>
        </w:trPr>
        <w:tc>
          <w:tcPr>
            <w:tcW w:w="56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7"/>
                <w:szCs w:val="17"/>
                <w:color w:val="auto"/>
              </w:rPr>
              <w:t>Revenue</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6,584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5,804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780</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13 %</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7 %</w:t>
            </w:r>
          </w:p>
        </w:tc>
      </w:tr>
      <w:tr>
        <w:trPr>
          <w:trHeight w:val="216"/>
        </w:trPr>
        <w:tc>
          <w:tcPr>
            <w:tcW w:w="56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647</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16 %</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5600" w:type="dxa"/>
            <w:vAlign w:val="bottom"/>
          </w:tcPr>
          <w:p>
            <w:pPr>
              <w:ind w:left="120"/>
              <w:spacing w:after="0"/>
              <w:rPr>
                <w:sz w:val="20"/>
                <w:szCs w:val="20"/>
                <w:color w:val="auto"/>
              </w:rPr>
            </w:pPr>
            <w:r>
              <w:rPr>
                <w:rFonts w:ascii="Arial" w:cs="Arial" w:eastAsia="Arial" w:hAnsi="Arial"/>
                <w:sz w:val="17"/>
                <w:szCs w:val="17"/>
                <w:color w:val="auto"/>
              </w:rPr>
              <w:t>Selling, servicing and marketing</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656</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27 %</w:t>
            </w: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Technology and software development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r>
      <w:tr>
        <w:trPr>
          <w:trHeight w:val="223"/>
        </w:trPr>
        <w:tc>
          <w:tcPr>
            <w:tcW w:w="5600" w:type="dxa"/>
            <w:vAlign w:val="bottom"/>
          </w:tcPr>
          <w:p>
            <w:pPr>
              <w:ind w:left="120"/>
              <w:spacing w:after="0"/>
              <w:rPr>
                <w:sz w:val="20"/>
                <w:szCs w:val="20"/>
                <w:color w:val="auto"/>
              </w:rPr>
            </w:pPr>
            <w:r>
              <w:rPr>
                <w:rFonts w:ascii="Arial" w:cs="Arial" w:eastAsia="Arial" w:hAnsi="Arial"/>
                <w:sz w:val="17"/>
                <w:szCs w:val="17"/>
                <w:color w:val="auto"/>
              </w:rPr>
              <w:t>General and administrative</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2,662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236 %</w:t>
            </w: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expense</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1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83 %</w:t>
            </w: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(3,828)</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263 %</w:t>
            </w:r>
          </w:p>
        </w:tc>
      </w:tr>
      <w:tr>
        <w:trPr>
          <w:trHeight w:val="223"/>
        </w:trPr>
        <w:tc>
          <w:tcPr>
            <w:tcW w:w="5600" w:type="dxa"/>
            <w:vAlign w:val="bottom"/>
          </w:tcPr>
          <w:p>
            <w:pPr>
              <w:ind w:left="120"/>
              <w:spacing w:after="0"/>
              <w:rPr>
                <w:sz w:val="20"/>
                <w:szCs w:val="20"/>
                <w:color w:val="auto"/>
              </w:rPr>
            </w:pPr>
            <w:r>
              <w:rPr>
                <w:rFonts w:ascii="Arial" w:cs="Arial" w:eastAsia="Arial" w:hAnsi="Arial"/>
                <w:sz w:val="17"/>
                <w:szCs w:val="17"/>
                <w:color w:val="auto"/>
              </w:rPr>
              <w:t>Interest income</w:t>
            </w:r>
          </w:p>
        </w:tc>
        <w:tc>
          <w:tcPr>
            <w:tcW w:w="4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23"/>
        </w:trPr>
        <w:tc>
          <w:tcPr>
            <w:tcW w:w="5600" w:type="dxa"/>
            <w:vAlign w:val="bottom"/>
          </w:tcPr>
          <w:p>
            <w:pPr>
              <w:ind w:left="120"/>
              <w:spacing w:after="0"/>
              <w:rPr>
                <w:sz w:val="20"/>
                <w:szCs w:val="20"/>
                <w:color w:val="auto"/>
              </w:rPr>
            </w:pPr>
            <w:r>
              <w:rPr>
                <w:rFonts w:ascii="Arial" w:cs="Arial" w:eastAsia="Arial" w:hAnsi="Arial"/>
                <w:sz w:val="17"/>
                <w:szCs w:val="17"/>
                <w:color w:val="auto"/>
              </w:rPr>
              <w:t>Change in fair value of warrants</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2,880</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fair value of senior secured convertible note</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mm</w:t>
            </w:r>
          </w:p>
        </w:tc>
      </w:tr>
      <w:tr>
        <w:trPr>
          <w:trHeight w:val="216"/>
        </w:trPr>
        <w:tc>
          <w:tcPr>
            <w:tcW w:w="5600" w:type="dxa"/>
            <w:vAlign w:val="bottom"/>
          </w:tcPr>
          <w:p>
            <w:pPr>
              <w:ind w:left="20"/>
              <w:spacing w:after="0"/>
              <w:rPr>
                <w:sz w:val="20"/>
                <w:szCs w:val="20"/>
                <w:color w:val="auto"/>
              </w:rPr>
            </w:pPr>
            <w:r>
              <w:rPr>
                <w:rFonts w:ascii="Arial" w:cs="Arial" w:eastAsia="Arial" w:hAnsi="Arial"/>
                <w:sz w:val="17"/>
                <w:szCs w:val="17"/>
                <w:color w:val="auto"/>
              </w:rPr>
              <w:t>Net loss before taxes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(2,611)</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(1,157)</w:t>
            </w:r>
          </w:p>
        </w:tc>
        <w:tc>
          <w:tcPr>
            <w:tcW w:w="1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80 %</w:t>
            </w: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r>
      <w:tr>
        <w:trPr>
          <w:trHeight w:val="216"/>
        </w:trPr>
        <w:tc>
          <w:tcPr>
            <w:tcW w:w="5600" w:type="dxa"/>
            <w:vAlign w:val="bottom"/>
          </w:tcPr>
          <w:p>
            <w:pPr>
              <w:ind w:left="20"/>
              <w:spacing w:after="0"/>
              <w:rPr>
                <w:sz w:val="20"/>
                <w:szCs w:val="20"/>
                <w:color w:val="auto"/>
              </w:rPr>
            </w:pPr>
            <w:r>
              <w:rPr>
                <w:rFonts w:ascii="Arial" w:cs="Arial" w:eastAsia="Arial" w:hAnsi="Arial"/>
                <w:sz w:val="17"/>
                <w:szCs w:val="17"/>
                <w:color w:val="auto"/>
              </w:rPr>
              <w:t>Net loss before taxes</w:t>
            </w:r>
          </w:p>
        </w:tc>
        <w:tc>
          <w:tcPr>
            <w:tcW w:w="4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(2,611)</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(1,454)</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(1,157)</w:t>
            </w:r>
          </w:p>
        </w:tc>
        <w:tc>
          <w:tcPr>
            <w:tcW w:w="1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80 %</w:t>
            </w:r>
          </w:p>
        </w:tc>
      </w:tr>
      <w:tr>
        <w:trPr>
          <w:trHeight w:val="20"/>
        </w:trPr>
        <w:tc>
          <w:tcPr>
            <w:tcW w:w="5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nm-not meaningful</w:t>
      </w:r>
    </w:p>
    <w:p>
      <w:pPr>
        <w:spacing w:after="0" w:line="3"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Revenues increased to $6.6 million for the three months ended June 30, 2022, representing a 13% increase compared with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Our subscription revenue was $4.9 million for the three months ended June 30, 2022 compared with $3.7 million in the same quarter in 2021, representing 35% year over year growth. The excess use revenue declined by 32% year over year due to the weaker economy and the fact that some excess use revenue in the comparable prior period had converted into recurring subscription revenues due to clients upgrading their subscriptions. Our revenue from Brands clients increased by 63% year over year and was $248,000 in the three months ended June 30, 2022, as compared to $152,000 for the three months ended June 30, 2021.</w:t>
      </w:r>
    </w:p>
    <w:p>
      <w:pPr>
        <w:spacing w:after="0" w:line="210"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Company's net revenue retention rate was 114% for the three months ended June 30, 2022, an increase from our net revenue retention rate of 93% for the same period in 2021, with the ratio continuing to exceed our target of 100% as a result of subscription upgrades and growth exceeding the value of lost and downgraded subscriptions.</w:t>
      </w:r>
    </w:p>
    <w:p>
      <w:pPr>
        <w:spacing w:after="0" w:line="198"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SpringBig's revenue growth has not yet been significantly impacted by the legislation adopted in 2020 and 2021 in New Jersey, Connecticut and New York, as there tends to be a lag between the adoption of legislation and significant revenue generation for the Company.</w:t>
      </w:r>
    </w:p>
    <w:p>
      <w:pPr>
        <w:spacing w:after="0" w:line="198" w:lineRule="exact"/>
        <w:rPr>
          <w:sz w:val="20"/>
          <w:szCs w:val="20"/>
          <w:color w:val="auto"/>
        </w:rPr>
      </w:pPr>
    </w:p>
    <w:p>
      <w:pPr>
        <w:jc w:val="both"/>
        <w:ind w:firstLine="315"/>
        <w:spacing w:after="0" w:line="247"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Gross profit increased to $4.6 million for the three months ended June 30, 2022 from $3.9 million for the three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representing a 16% increase. The cost of revenue increased by $133,000, representing a 7% increase, for the three months ended June 30, 2022. The increase was primarily due to the increasing volume of communication messages distributed by clients, with a total of approximately 480 million messages in the quarter ending June 30, 2022, which constitutes an increase of 23 million messages, or 5% higher than in the same period last year. The percentage increase in cost of revenue is lower than our revenue growth over the same period and therefore our gross margin percentage increased from 68% for the quarter ended June 30, 2021 to 70% for the same period in 2022, or by 2%.</w:t>
      </w:r>
    </w:p>
    <w:p>
      <w:pPr>
        <w:spacing w:after="0" w:line="20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Our operating expenses increased by $4.5 million, or 83%, for the quarter ended June 30, 2022 compared with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2021.</w:t>
      </w:r>
    </w:p>
    <w:p>
      <w:pPr>
        <w:spacing w:after="0" w:line="185"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Selling, servicing and marketing expenses increased by $656,000, or 27%, for the quarter ended June 30, 2022, compared to the same period in 2021. As we continue to scale the business, we have continued to increase the scale of our sales, service and marketing operations, and in particular grew the number of employees in our Toronto office and in our client support organization when comparing the quarter ending June 30, 2022 with the same three months in the prior year.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913" w:right="339" w:bottom="1440" w:gutter="0" w:footer="0" w:header="0"/>
        </w:sectPr>
      </w:pPr>
    </w:p>
    <w:bookmarkStart w:id="34" w:name="page35"/>
    <w:bookmarkEnd w:id="34"/>
    <w:p>
      <w:pPr>
        <w:jc w:val="both"/>
        <w:ind w:firstLine="315"/>
        <w:spacing w:after="0" w:line="249" w:lineRule="auto"/>
        <w:rPr>
          <w:sz w:val="20"/>
          <w:szCs w:val="20"/>
          <w:color w:val="auto"/>
        </w:rPr>
      </w:pPr>
      <w:r>
        <w:rPr>
          <w:rFonts w:ascii="Arial" w:cs="Arial" w:eastAsia="Arial" w:hAnsi="Arial"/>
          <w:sz w:val="17"/>
          <w:szCs w:val="17"/>
          <w:color w:val="auto"/>
        </w:rPr>
        <w:t>Technology and software development expenses increased by $1.1 million, or 61%, for the quarter ended June 30, 2022, compared to the same period in 2021, with the increase being attributable to higher headcount primarily through using offshore contract engineering resources to enable an acceleration in the pace of developing and enhancing our software platform.</w:t>
      </w:r>
    </w:p>
    <w:p>
      <w:pPr>
        <w:spacing w:after="0" w:line="205"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General and administrative expenses increased by $2.7 million, or 236%, for the quarter ended June 30, 2022, compared to the same period in 2021 due to additional rent expense, including the expansion of our office in Toronto, higher personnel-related costs as we increased headcount and additional expenses related to preparing for and becoming a publicly listed company, specifically relating to legal, accounting and auditing fees and directors’ and officers’ liability insurance premiums.</w:t>
      </w:r>
    </w:p>
    <w:p>
      <w:pPr>
        <w:spacing w:after="0" w:line="202" w:lineRule="exact"/>
        <w:rPr>
          <w:sz w:val="20"/>
          <w:szCs w:val="20"/>
          <w:color w:val="auto"/>
        </w:rPr>
      </w:pPr>
    </w:p>
    <w:p>
      <w:pPr>
        <w:jc w:val="both"/>
        <w:ind w:firstLine="315"/>
        <w:spacing w:after="0" w:line="305" w:lineRule="auto"/>
        <w:rPr>
          <w:sz w:val="20"/>
          <w:szCs w:val="20"/>
          <w:color w:val="auto"/>
        </w:rPr>
      </w:pPr>
      <w:r>
        <w:rPr>
          <w:rFonts w:ascii="Arial" w:cs="Arial" w:eastAsia="Arial" w:hAnsi="Arial"/>
          <w:sz w:val="16"/>
          <w:szCs w:val="16"/>
          <w:color w:val="auto"/>
        </w:rPr>
        <w:t>Depreciation expenses primarily consist of depreciation on computer equipment, furniture and fixtures, leasehold improvements, and amortization of purchased intangibles. Depreciation expenses increased to $64,000 for the quarter ended June 30, 2022 compared to $6,000 in the same period in 2021.</w:t>
      </w:r>
    </w:p>
    <w:p>
      <w:pPr>
        <w:spacing w:after="0" w:line="16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was $219,000 in the quarter ended June 30, 2022 due to interest payable on the Convertible Notes issued in February</w:t>
      </w:r>
      <w:r>
        <w:rPr>
          <w:rFonts w:ascii="Arial" w:cs="Arial" w:eastAsia="Arial" w:hAnsi="Arial"/>
          <w:sz w:val="17"/>
          <w:szCs w:val="17"/>
          <w:i w:val="1"/>
          <w:iCs w:val="1"/>
          <w:color w:val="auto"/>
        </w:rPr>
        <w:t xml:space="preserve"> </w:t>
      </w:r>
      <w:r>
        <w:rPr>
          <w:rFonts w:ascii="Arial" w:cs="Arial" w:eastAsia="Arial" w:hAnsi="Arial"/>
          <w:sz w:val="17"/>
          <w:szCs w:val="17"/>
          <w:color w:val="auto"/>
        </w:rPr>
        <w:t>2022 until the repayment of such notes through the issuance of common stock on June 14, 2022 on closing of the merger.</w:t>
      </w:r>
    </w:p>
    <w:p>
      <w:pPr>
        <w:spacing w:after="0" w:line="185"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i w:val="1"/>
          <w:iCs w:val="1"/>
          <w:color w:val="auto"/>
        </w:rPr>
        <w:t>Change in fair value of warrants</w:t>
      </w:r>
      <w:r>
        <w:rPr>
          <w:rFonts w:ascii="Arial" w:cs="Arial" w:eastAsia="Arial" w:hAnsi="Arial"/>
          <w:sz w:val="17"/>
          <w:szCs w:val="17"/>
          <w:color w:val="auto"/>
        </w:rPr>
        <w:t>. The liability relating to warrants issued by SpringBig is included on the balance sheet at the market value prevailing at</w:t>
      </w:r>
      <w:r>
        <w:rPr>
          <w:rFonts w:ascii="Arial" w:cs="Arial" w:eastAsia="Arial" w:hAnsi="Arial"/>
          <w:sz w:val="17"/>
          <w:szCs w:val="17"/>
          <w:i w:val="1"/>
          <w:iCs w:val="1"/>
          <w:color w:val="auto"/>
        </w:rPr>
        <w:t xml:space="preserve"> </w:t>
      </w:r>
      <w:r>
        <w:rPr>
          <w:rFonts w:ascii="Arial" w:cs="Arial" w:eastAsia="Arial" w:hAnsi="Arial"/>
          <w:sz w:val="17"/>
          <w:szCs w:val="17"/>
          <w:color w:val="auto"/>
        </w:rPr>
        <w:t>the end of the accounting period and any change in value is reported in the income statement. As at June 30, 2022, the market value of the public warrants, which are listed on the Nasdaq stock exchange was $0.101 per warrant compared with $0.281 at June 14, 2022, the date of closing the business combination, the reduction in and the resulting change in value was $2.9 million.</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Comparison of Six Months Ended June 30, 2022 and Six Months Ended June 30, 2021</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set forth our results of operations for the periods indicated: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7"/>
                <w:szCs w:val="17"/>
                <w:b w:val="1"/>
                <w:bCs w:val="1"/>
                <w:color w:val="auto"/>
              </w:rPr>
              <w:t>Six Months Ended June 30,</w:t>
            </w:r>
          </w:p>
        </w:tc>
        <w:tc>
          <w:tcPr>
            <w:tcW w:w="1240" w:type="dxa"/>
            <w:vAlign w:val="bottom"/>
            <w:tcBorders>
              <w:bottom w:val="single" w:sz="8" w:color="auto"/>
            </w:tcBorders>
            <w:shd w:val="clear" w:color="auto" w:fill="CCEEFF"/>
          </w:tcPr>
          <w:p>
            <w:pPr>
              <w:spacing w:after="0"/>
              <w:rPr>
                <w:sz w:val="19"/>
                <w:szCs w:val="19"/>
                <w:color w:val="auto"/>
              </w:rPr>
            </w:pPr>
          </w:p>
        </w:tc>
      </w:tr>
      <w:tr>
        <w:trPr>
          <w:trHeight w:val="171"/>
        </w:trPr>
        <w:tc>
          <w:tcPr>
            <w:tcW w:w="5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20"/>
              <w:spacing w:after="0" w:line="172" w:lineRule="exact"/>
              <w:rPr>
                <w:sz w:val="20"/>
                <w:szCs w:val="20"/>
                <w:color w:val="auto"/>
              </w:rPr>
            </w:pPr>
            <w:r>
              <w:rPr>
                <w:rFonts w:ascii="Arial" w:cs="Arial" w:eastAsia="Arial" w:hAnsi="Arial"/>
                <w:sz w:val="17"/>
                <w:szCs w:val="17"/>
                <w:b w:val="1"/>
                <w:bCs w:val="1"/>
                <w:color w:val="auto"/>
                <w:w w:val="89"/>
              </w:rPr>
              <w:t>Increase</w:t>
            </w:r>
          </w:p>
        </w:tc>
        <w:tc>
          <w:tcPr>
            <w:tcW w:w="1240" w:type="dxa"/>
            <w:vAlign w:val="bottom"/>
          </w:tcPr>
          <w:p>
            <w:pPr>
              <w:spacing w:after="0"/>
              <w:rPr>
                <w:sz w:val="14"/>
                <w:szCs w:val="14"/>
                <w:color w:val="auto"/>
              </w:rPr>
            </w:pPr>
          </w:p>
        </w:tc>
      </w:tr>
      <w:tr>
        <w:trPr>
          <w:trHeight w:val="228"/>
        </w:trPr>
        <w:tc>
          <w:tcPr>
            <w:tcW w:w="5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(decrease)</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190"/>
        </w:trPr>
        <w:tc>
          <w:tcPr>
            <w:tcW w:w="56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7"/>
                <w:szCs w:val="17"/>
                <w:color w:val="auto"/>
              </w:rPr>
              <w:t>Revenue</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12,948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11,013</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1,935</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18 %</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3,841</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3,459</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16"/>
        </w:trPr>
        <w:tc>
          <w:tcPr>
            <w:tcW w:w="56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9,107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7,554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1,553</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21 %</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5600" w:type="dxa"/>
            <w:vAlign w:val="bottom"/>
          </w:tcPr>
          <w:p>
            <w:pPr>
              <w:ind w:left="120"/>
              <w:spacing w:after="0"/>
              <w:rPr>
                <w:sz w:val="20"/>
                <w:szCs w:val="20"/>
                <w:color w:val="auto"/>
              </w:rPr>
            </w:pPr>
            <w:r>
              <w:rPr>
                <w:rFonts w:ascii="Arial" w:cs="Arial" w:eastAsia="Arial" w:hAnsi="Arial"/>
                <w:sz w:val="17"/>
                <w:szCs w:val="17"/>
                <w:color w:val="auto"/>
              </w:rPr>
              <w:t>Selling, servicing and marketing</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6,048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1,528</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34 %</w:t>
            </w: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Technology and software development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64 %</w:t>
            </w:r>
          </w:p>
        </w:tc>
      </w:tr>
      <w:tr>
        <w:trPr>
          <w:trHeight w:val="223"/>
        </w:trPr>
        <w:tc>
          <w:tcPr>
            <w:tcW w:w="5600" w:type="dxa"/>
            <w:vAlign w:val="bottom"/>
          </w:tcPr>
          <w:p>
            <w:pPr>
              <w:ind w:left="120"/>
              <w:spacing w:after="0"/>
              <w:rPr>
                <w:sz w:val="20"/>
                <w:szCs w:val="20"/>
                <w:color w:val="auto"/>
              </w:rPr>
            </w:pPr>
            <w:r>
              <w:rPr>
                <w:rFonts w:ascii="Arial" w:cs="Arial" w:eastAsia="Arial" w:hAnsi="Arial"/>
                <w:sz w:val="17"/>
                <w:szCs w:val="17"/>
                <w:color w:val="auto"/>
              </w:rPr>
              <w:t>General and administrative</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3,224</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145 %</w:t>
            </w: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expense</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1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17,162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7,034</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69 %</w:t>
            </w: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213 %</w:t>
            </w:r>
          </w:p>
        </w:tc>
      </w:tr>
      <w:tr>
        <w:trPr>
          <w:trHeight w:val="223"/>
        </w:trPr>
        <w:tc>
          <w:tcPr>
            <w:tcW w:w="5600" w:type="dxa"/>
            <w:vAlign w:val="bottom"/>
          </w:tcPr>
          <w:p>
            <w:pPr>
              <w:ind w:left="120"/>
              <w:spacing w:after="0"/>
              <w:rPr>
                <w:sz w:val="20"/>
                <w:szCs w:val="20"/>
                <w:color w:val="auto"/>
              </w:rPr>
            </w:pPr>
            <w:r>
              <w:rPr>
                <w:rFonts w:ascii="Arial" w:cs="Arial" w:eastAsia="Arial" w:hAnsi="Arial"/>
                <w:sz w:val="17"/>
                <w:szCs w:val="17"/>
                <w:color w:val="auto"/>
              </w:rPr>
              <w:t>Interest income</w:t>
            </w:r>
          </w:p>
        </w:tc>
        <w:tc>
          <w:tcPr>
            <w:tcW w:w="4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23"/>
        </w:trPr>
        <w:tc>
          <w:tcPr>
            <w:tcW w:w="5600" w:type="dxa"/>
            <w:vAlign w:val="bottom"/>
          </w:tcPr>
          <w:p>
            <w:pPr>
              <w:ind w:left="120"/>
              <w:spacing w:after="0"/>
              <w:rPr>
                <w:sz w:val="20"/>
                <w:szCs w:val="20"/>
                <w:color w:val="auto"/>
              </w:rPr>
            </w:pPr>
            <w:r>
              <w:rPr>
                <w:rFonts w:ascii="Arial" w:cs="Arial" w:eastAsia="Arial" w:hAnsi="Arial"/>
                <w:sz w:val="17"/>
                <w:szCs w:val="17"/>
                <w:color w:val="auto"/>
              </w:rPr>
              <w:t>Change in fair value of warrants</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2,880</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fair value of senior secured convertible note</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16"/>
        </w:trPr>
        <w:tc>
          <w:tcPr>
            <w:tcW w:w="5600" w:type="dxa"/>
            <w:vAlign w:val="bottom"/>
          </w:tcPr>
          <w:p>
            <w:pPr>
              <w:ind w:left="20"/>
              <w:spacing w:after="0"/>
              <w:rPr>
                <w:sz w:val="20"/>
                <w:szCs w:val="20"/>
                <w:color w:val="auto"/>
              </w:rPr>
            </w:pPr>
            <w:r>
              <w:rPr>
                <w:rFonts w:ascii="Arial" w:cs="Arial" w:eastAsia="Arial" w:hAnsi="Arial"/>
                <w:sz w:val="17"/>
                <w:szCs w:val="17"/>
                <w:color w:val="auto"/>
              </w:rPr>
              <w:t>Net loss before taxes</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(5,476)</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(2,572)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(2,904)</w:t>
            </w:r>
          </w:p>
        </w:tc>
        <w:tc>
          <w:tcPr>
            <w:tcW w:w="1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113 %</w:t>
            </w:r>
          </w:p>
        </w:tc>
      </w:tr>
      <w:tr>
        <w:trPr>
          <w:trHeight w:val="223"/>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r>
      <w:tr>
        <w:trPr>
          <w:trHeight w:val="216"/>
        </w:trPr>
        <w:tc>
          <w:tcPr>
            <w:tcW w:w="5600" w:type="dxa"/>
            <w:vAlign w:val="bottom"/>
          </w:tcPr>
          <w:p>
            <w:pPr>
              <w:ind w:left="20"/>
              <w:spacing w:after="0"/>
              <w:rPr>
                <w:sz w:val="20"/>
                <w:szCs w:val="20"/>
                <w:color w:val="auto"/>
              </w:rPr>
            </w:pPr>
            <w:r>
              <w:rPr>
                <w:rFonts w:ascii="Arial" w:cs="Arial" w:eastAsia="Arial" w:hAnsi="Arial"/>
                <w:sz w:val="17"/>
                <w:szCs w:val="17"/>
                <w:color w:val="auto"/>
              </w:rPr>
              <w:t>Net loss before taxes</w:t>
            </w: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(5,476)</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(2,572)</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(2,904)</w:t>
            </w:r>
          </w:p>
        </w:tc>
        <w:tc>
          <w:tcPr>
            <w:tcW w:w="1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113 %</w:t>
            </w:r>
          </w:p>
        </w:tc>
      </w:tr>
      <w:tr>
        <w:trPr>
          <w:trHeight w:val="20"/>
        </w:trPr>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25"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Revenues increased to $12.9 million for six months ended June 30, 2022, representing an 18% increase compared with the same period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Our subscription revenue was $9.6 million for the six months ended June 30, 2022 compared with $7.1 million in the same period in 2021, representing 35% year over year growth. The excess use revenue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1097" w:right="339" w:bottom="1440" w:gutter="0" w:footer="0" w:header="0"/>
        </w:sectPr>
      </w:pPr>
    </w:p>
    <w:bookmarkStart w:id="35" w:name="page36"/>
    <w:bookmarkEnd w:id="35"/>
    <w:p>
      <w:pPr>
        <w:jc w:val="both"/>
        <w:spacing w:after="0" w:line="249" w:lineRule="auto"/>
        <w:rPr>
          <w:sz w:val="20"/>
          <w:szCs w:val="20"/>
          <w:color w:val="auto"/>
        </w:rPr>
      </w:pPr>
      <w:r>
        <w:rPr>
          <w:rFonts w:ascii="Arial" w:cs="Arial" w:eastAsia="Arial" w:hAnsi="Arial"/>
          <w:sz w:val="17"/>
          <w:szCs w:val="17"/>
          <w:color w:val="auto"/>
        </w:rPr>
        <w:t>declined by 21% year over year due to the weaker economy and the fact that some prior year excess use revenue has now converted into recurring subscription revenues due to clients upgrading their subscriptions. Our revenue from Brands clients increased by 54% year over year and was $437,000 in the six months ended June 30, 2022, as compared to $284,000 for the six months ended June 30, 2021.</w:t>
      </w:r>
    </w:p>
    <w:p>
      <w:pPr>
        <w:spacing w:after="0" w:line="205" w:lineRule="exact"/>
        <w:rPr>
          <w:sz w:val="20"/>
          <w:szCs w:val="20"/>
          <w:color w:val="auto"/>
        </w:rPr>
      </w:pPr>
    </w:p>
    <w:p>
      <w:pPr>
        <w:jc w:val="both"/>
        <w:ind w:firstLine="315"/>
        <w:spacing w:after="0" w:line="247"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Gross profit increased to $9.1 million for the six months ended June 30, 2022 from $7.6 million for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representing a 21% increase. The cost of revenue increased by $382,000, representing an 11% increase, for the six months ended June 30, 2022. The increase was primarily due to the increasing volume of communication messages distributed by clients, with a total of approximately 915 million messages during the six months ended June 30, 2022, representing an increase of 64 million, or 8% higher, than in the same period last year. The percentage increase in cost of revenue is lower than our revenue growth over the same period and therefore our gross margin percentage increased by almost 2% compared with the same period in 2021 to 70% for the six months ended June 30, 2022.</w:t>
      </w:r>
    </w:p>
    <w:p>
      <w:pPr>
        <w:spacing w:after="0" w:line="209" w:lineRule="exact"/>
        <w:rPr>
          <w:sz w:val="20"/>
          <w:szCs w:val="20"/>
          <w:color w:val="auto"/>
        </w:rPr>
      </w:pPr>
    </w:p>
    <w:p>
      <w:pPr>
        <w:jc w:val="both"/>
        <w:ind w:firstLine="315"/>
        <w:spacing w:after="0" w:line="305"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SpringBig continues to prioritize revenue growth while ensuring expenses are managed in an appropriate manner to ensure we are</w:t>
      </w:r>
      <w:r>
        <w:rPr>
          <w:rFonts w:ascii="Arial" w:cs="Arial" w:eastAsia="Arial" w:hAnsi="Arial"/>
          <w:sz w:val="16"/>
          <w:szCs w:val="16"/>
          <w:i w:val="1"/>
          <w:iCs w:val="1"/>
          <w:color w:val="auto"/>
        </w:rPr>
        <w:t xml:space="preserve"> </w:t>
      </w:r>
      <w:r>
        <w:rPr>
          <w:rFonts w:ascii="Arial" w:cs="Arial" w:eastAsia="Arial" w:hAnsi="Arial"/>
          <w:sz w:val="16"/>
          <w:szCs w:val="16"/>
          <w:color w:val="auto"/>
        </w:rPr>
        <w:t>able to handle the growth with appropriate personnel, infrastructure and processes and also ensuring net loss is maintained within an acceptable range.</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operating expenses increased by $7.0 million, or 69%, for the six months ended June 30, 2022 compared with the same period in 2021.</w:t>
      </w:r>
    </w:p>
    <w:p>
      <w:pPr>
        <w:spacing w:after="0" w:line="237"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Selling, servicing and marketing expenses increased by $1.5 million, or 34%, for the six months ended June 30, 2022, compared to the same period in 2021. As we continue to scale the business, we have continued to increase the scale of our sales, service and marketing operations, and in particular grew the number of employees in our Toronto office and in our client support organization when comparing the six months ended June 30, 2022 with the same six months in the prior year.</w:t>
      </w:r>
    </w:p>
    <w:p>
      <w:pPr>
        <w:spacing w:after="0" w:line="208"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Technology and software development expenses increased by $2.2 million, or 64%, for six months ended June 30, 2022, compared to the same period in 2021, with the increase being attributable to higher headcount primarily through using offshore contract engineering resources to enable an acceleration in the pace of developing and enhancing our software platform.</w:t>
      </w:r>
    </w:p>
    <w:p>
      <w:pPr>
        <w:spacing w:after="0" w:line="198"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General and administrative expenses increased by $3.2 million, or 145%, for the six months ended June 30, 2022, compared to the same period in 2021 due to additional rent expense, including the expansion of our office in Toronto, higher personnel-related costs as we increased headcount and additional expenses related to preparing for and becoming a publicly listed company, specifically relating to legal, accounting and auditing fees and directors’ and officers’ liability insurance premiums.</w:t>
      </w:r>
    </w:p>
    <w:p>
      <w:pPr>
        <w:spacing w:after="0" w:line="202" w:lineRule="exact"/>
        <w:rPr>
          <w:sz w:val="20"/>
          <w:szCs w:val="20"/>
          <w:color w:val="auto"/>
        </w:rPr>
      </w:pPr>
    </w:p>
    <w:p>
      <w:pPr>
        <w:jc w:val="both"/>
        <w:ind w:firstLine="315"/>
        <w:spacing w:after="0" w:line="342" w:lineRule="auto"/>
        <w:rPr>
          <w:sz w:val="20"/>
          <w:szCs w:val="20"/>
          <w:color w:val="auto"/>
        </w:rPr>
      </w:pPr>
      <w:r>
        <w:rPr>
          <w:rFonts w:ascii="Arial" w:cs="Arial" w:eastAsia="Arial" w:hAnsi="Arial"/>
          <w:sz w:val="15"/>
          <w:szCs w:val="15"/>
          <w:color w:val="auto"/>
        </w:rPr>
        <w:t>Depreciation expenses primarily consist of depreciation on computer equipment, furniture and fixtures, leasehold improvements, and amortization of purchased intangibles. Depreciation expenses increased to $123,000 for the six months ended June 30, 2022 compared to $12,000 in the same period in 2021.</w:t>
      </w:r>
    </w:p>
    <w:p>
      <w:pPr>
        <w:spacing w:after="0" w:line="138"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i w:val="1"/>
          <w:iCs w:val="1"/>
          <w:color w:val="auto"/>
        </w:rPr>
        <w:t>Interest Income (Expense)</w:t>
      </w:r>
      <w:r>
        <w:rPr>
          <w:rFonts w:ascii="Arial" w:cs="Arial" w:eastAsia="Arial" w:hAnsi="Arial"/>
          <w:sz w:val="17"/>
          <w:szCs w:val="17"/>
          <w:color w:val="auto"/>
        </w:rPr>
        <w:t>. Interest expense was $312,000 in the six months ended June 30, 2022 due to interest payable on the Convertible Notes issued in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2022 until the repayment of such notes on June 14, 2022 on closing of the merger; whereas in the six months ended June 30, 2021 we accrued interest income of $2,000 on cash balances held by the Company.</w:t>
      </w:r>
    </w:p>
    <w:p>
      <w:pPr>
        <w:spacing w:after="0" w:line="185"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i w:val="1"/>
          <w:iCs w:val="1"/>
          <w:color w:val="auto"/>
        </w:rPr>
        <w:t>Change in fair value of warrants</w:t>
      </w:r>
      <w:r>
        <w:rPr>
          <w:rFonts w:ascii="Arial" w:cs="Arial" w:eastAsia="Arial" w:hAnsi="Arial"/>
          <w:sz w:val="16"/>
          <w:szCs w:val="16"/>
          <w:color w:val="auto"/>
        </w:rPr>
        <w:t>. The liability relating to warrants issued by SpringBig is included on the balance sheet at the market value prevailing at</w:t>
      </w:r>
      <w:r>
        <w:rPr>
          <w:rFonts w:ascii="Arial" w:cs="Arial" w:eastAsia="Arial" w:hAnsi="Arial"/>
          <w:sz w:val="16"/>
          <w:szCs w:val="16"/>
          <w:i w:val="1"/>
          <w:iCs w:val="1"/>
          <w:color w:val="auto"/>
        </w:rPr>
        <w:t xml:space="preserve"> </w:t>
      </w:r>
      <w:r>
        <w:rPr>
          <w:rFonts w:ascii="Arial" w:cs="Arial" w:eastAsia="Arial" w:hAnsi="Arial"/>
          <w:sz w:val="16"/>
          <w:szCs w:val="16"/>
          <w:color w:val="auto"/>
        </w:rPr>
        <w:t>the end of the accounting period and any change in value is reported in the income statement. The movement for the six months ended June 30, 2022 is the same as in the second quarter since it represents the change in value between the date of the business combination, namely June 14, 2022 and June 30, 2022.</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Liquidity &amp; Capital Resources</w:t>
      </w:r>
    </w:p>
    <w:p>
      <w:pPr>
        <w:spacing w:after="0" w:line="243"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We have incurred net losses since inception, and experienced negative cash flows from operations. Prior to the business combination, we financed our operations and capital expenditures primarily through the private sales of equity securities and revenue. Our primary uses of cash in the short-term are to fund our operations as we continue to grow our business.</w:t>
      </w:r>
    </w:p>
    <w:p>
      <w:pPr>
        <w:spacing w:after="0" w:line="198"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6"/>
          <w:szCs w:val="16"/>
          <w:color w:val="auto"/>
        </w:rPr>
        <w:t>In connection with the execution of the merger agreement in November 2021, Legacy SpringBig and TCAC entered into subscription agreements, pursuant to which certain investors (the “PIPE Investors”) agreed to purchase an aggregate of 1,310,000 shares of common stock of the combined company, for $10.00 per share, for an aggregate purchase price of $13,100,000. On February 25, 2022, SpringBig entered into convertible notes (the "Convertible Notes”) with certain of the PIPE Investors for a principal sum of $7.0 million in aggregate. On the closing of the merger, the outstanding principal balance of the Convertible Notes became due and payable and was satisfied, along with the interest due on such notes, by the issuance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861" w:right="3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to holders of such notes shares of the Company’s common stock and the remainder of the investment from the PIPE Investors was funded and paid to the Company.</w:t>
      </w:r>
    </w:p>
    <w:p>
      <w:pPr>
        <w:spacing w:after="0" w:line="172"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Additionally, following the execution of the merger agreement, we and TCAC entered into certain incremental financing agreements: (a) certain institutional investors (the “Investor”) have agreed, through a securities purchase agreement with TCAC (the “Notes and Warrants Purchase Agreement”), to purchase up to $22.0 million of 6% Senior Secured Original Issue Discount Convertible Notes due 2024 (the “Secured Convertible Notes”) (of which $16 million in principal amount have been subscribed to) and a number of warrants equal to one-half of the principal amount of notes divided by the volume weighted average price on the trading day prior to the closing date of such sale (the “Investor Warrants”) to be sold in two tranches, see also Note 10, Senior Secured Convertible Notes</w:t>
      </w:r>
      <w:r>
        <w:rPr>
          <w:rFonts w:ascii="Arial" w:cs="Arial" w:eastAsia="Arial" w:hAnsi="Arial"/>
          <w:sz w:val="17"/>
          <w:szCs w:val="17"/>
          <w:color w:val="222222"/>
        </w:rPr>
        <w:t>to the consolidated financial statements for further information</w:t>
      </w:r>
      <w:r>
        <w:rPr>
          <w:rFonts w:ascii="Arial" w:cs="Arial" w:eastAsia="Arial" w:hAnsi="Arial"/>
          <w:sz w:val="17"/>
          <w:szCs w:val="17"/>
          <w:color w:val="auto"/>
        </w:rPr>
        <w:t>; and (c) an equity line facility (the “Facility”) between CF Principal Investments LLC (“Cantor”) and the Company for up to $50.0 million in aggregate gross purchase price of newly issued shares of our common stock after the closing of the business combination.</w:t>
      </w:r>
    </w:p>
    <w:p>
      <w:pPr>
        <w:spacing w:after="0" w:line="207" w:lineRule="exact"/>
        <w:rPr>
          <w:sz w:val="20"/>
          <w:szCs w:val="20"/>
          <w:color w:val="auto"/>
        </w:rPr>
      </w:pPr>
    </w:p>
    <w:p>
      <w:pPr>
        <w:jc w:val="both"/>
        <w:ind w:firstLine="315"/>
        <w:spacing w:after="0" w:line="259" w:lineRule="auto"/>
        <w:rPr>
          <w:sz w:val="20"/>
          <w:szCs w:val="20"/>
          <w:color w:val="auto"/>
        </w:rPr>
      </w:pPr>
      <w:r>
        <w:rPr>
          <w:rFonts w:ascii="Arial" w:cs="Arial" w:eastAsia="Arial" w:hAnsi="Arial"/>
          <w:sz w:val="16"/>
          <w:szCs w:val="16"/>
          <w:color w:val="auto"/>
        </w:rPr>
        <w:t>The first tranche of Secured Convertible Notes closed upon completion of the merger, and the second tranche will close 60 days after the effective date of a resale registration statement covering the resale of the shares of our common stock underlying the Secured Convertible Notes and the Investor Warrants issued in the first tranche or at such time as is agreed between the Company and the investors. As of the date hereof, there is one existing institutional investor (the “Investor”) that has subscribed for a total of $16.0 million principal amount of Secured Convertible Notes, $5.0 million of which is subject to meeting the conditions necessary to close the second tranche. There can be no guarantees that additional investors will subscribe for the remaining $6.0 million principal amount of Secured Convertible Notes and therefore SpringBig may not receive the entire $22.0 million principal amount of Secured Convertible Notes under the Notes and Warrants Purchase Agreement. Further, we believe the likelihood that the Investor will exercise the Investor Warrants, and therefore the amount of cash proceeds that we would receive, is dependent upon the trading price of our shares of common stock. If the trading price for our shares of common stock is less than $12.00 per share (or the adjusted exercise price in the event of dilutive issuances), we believe the Investor will be unlikely to exercise their warrants. Accordingly, there is no assurance that the Investor will elect to exercise any or all of the Investor Warrants and, accordingly, no assurance that we will receive any proceeds from the exercise of the Investor Warrants.</w:t>
      </w:r>
    </w:p>
    <w:p>
      <w:pPr>
        <w:spacing w:after="0" w:line="203"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The Company may, from time to time at its option, sell to Cantor newly issued shares of common stock pursuant to the terms of the Facility. The use of the Facility under the agreement with Cantor is subject to certain conditions, including the effectiveness of a registration statement relating to the resale of the common stock issuable under the Facility. Therefore, funds from the $50.0 million gross purchase price will not be immediately available, if at all, to SpringBig, and there can be no assurances that the Facility will be available to the Company at all times during its terms or that such purchase price will ever become available.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cash , accounts receivable and working capital at June 30, 2022 and December 31, 2021 (in thousands):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4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June 30, 2022</w:t>
            </w:r>
          </w:p>
        </w:tc>
        <w:tc>
          <w:tcPr>
            <w:tcW w:w="5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2021</w:t>
            </w:r>
          </w:p>
        </w:tc>
        <w:tc>
          <w:tcPr>
            <w:tcW w:w="620" w:type="dxa"/>
            <w:vAlign w:val="bottom"/>
            <w:tcBorders>
              <w:bottom w:val="single" w:sz="8" w:color="auto"/>
            </w:tcBorders>
            <w:shd w:val="clear" w:color="auto" w:fill="CCEEFF"/>
          </w:tcPr>
          <w:p>
            <w:pPr>
              <w:spacing w:after="0"/>
              <w:rPr>
                <w:sz w:val="19"/>
                <w:szCs w:val="19"/>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660" w:type="dxa"/>
            <w:vAlign w:val="bottom"/>
          </w:tcPr>
          <w:p>
            <w:pPr>
              <w:jc w:val="right"/>
              <w:ind w:right="1453"/>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14,179</w:t>
            </w:r>
          </w:p>
        </w:tc>
        <w:tc>
          <w:tcPr>
            <w:tcW w:w="20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2,227</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3,597</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3,045</w:t>
            </w:r>
          </w:p>
        </w:tc>
      </w:tr>
      <w:tr>
        <w:trPr>
          <w:trHeight w:val="222"/>
        </w:trPr>
        <w:tc>
          <w:tcPr>
            <w:tcW w:w="6540" w:type="dxa"/>
            <w:vAlign w:val="bottom"/>
          </w:tcPr>
          <w:p>
            <w:pPr>
              <w:ind w:left="20"/>
              <w:spacing w:after="0"/>
              <w:rPr>
                <w:sz w:val="20"/>
                <w:szCs w:val="20"/>
                <w:color w:val="auto"/>
              </w:rPr>
            </w:pPr>
            <w:r>
              <w:rPr>
                <w:rFonts w:ascii="Arial" w:cs="Arial" w:eastAsia="Arial" w:hAnsi="Arial"/>
                <w:sz w:val="17"/>
                <w:szCs w:val="17"/>
                <w:color w:val="auto"/>
              </w:rPr>
              <w:t>Working capital</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14,025</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3,979</w:t>
            </w:r>
          </w:p>
        </w:tc>
      </w:tr>
    </w:tbl>
    <w:p>
      <w:pPr>
        <w:spacing w:after="0" w:line="290"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We believe that the balance of cash, which was $14.2 million as of June 30, 2022, will be sufficient to satisfy our operating cash requirements over the next twelve months and beyond. This estimate is based on our current business plan and expectations and assumptions in light of current macroeconomic conditions. We have based these estimates on assumptions that may prove to be wrong and could use our available capital resources sooner than we currently expect, and future capital requirements and the adequacy of available funds will depend on many factors, including those described in the section entitled “Risk Factors” in this Quarterly Report on Form 10-Q. Although we are not currently a party to any agreement or letter of intent with respect to potential investments in, or acquisitions of, complementary businesses, services or technologies, we may enter into these types of arrangements in the future, which could also require us to seek additional equity financing, incur indebtedness, or use cash resources. We have no present understandings, commitments or agreements to enter into any such acquisitions.</w:t>
      </w:r>
    </w:p>
    <w:p>
      <w:pPr>
        <w:spacing w:after="0" w:line="207" w:lineRule="exact"/>
        <w:rPr>
          <w:sz w:val="20"/>
          <w:szCs w:val="20"/>
          <w:color w:val="auto"/>
        </w:rPr>
      </w:pPr>
    </w:p>
    <w:p>
      <w:pPr>
        <w:jc w:val="both"/>
        <w:ind w:firstLine="315"/>
        <w:spacing w:after="0" w:line="267" w:lineRule="auto"/>
        <w:rPr>
          <w:sz w:val="20"/>
          <w:szCs w:val="20"/>
          <w:color w:val="auto"/>
        </w:rPr>
      </w:pPr>
      <w:r>
        <w:rPr>
          <w:rFonts w:ascii="Arial" w:cs="Arial" w:eastAsia="Arial" w:hAnsi="Arial"/>
          <w:sz w:val="16"/>
          <w:szCs w:val="16"/>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Further, the Secured Convertible Notes also contain a number of restrictive covenants that may impose significant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861" w:right="339" w:bottom="1440" w:gutter="0" w:footer="0" w:header="0"/>
        </w:sectPr>
      </w:pPr>
    </w:p>
    <w:bookmarkStart w:id="37" w:name="page38"/>
    <w:bookmarkEnd w:id="37"/>
    <w:p>
      <w:pPr>
        <w:jc w:val="both"/>
        <w:spacing w:after="0" w:line="256" w:lineRule="auto"/>
        <w:rPr>
          <w:sz w:val="20"/>
          <w:szCs w:val="20"/>
          <w:color w:val="auto"/>
        </w:rPr>
      </w:pPr>
      <w:r>
        <w:rPr>
          <w:rFonts w:ascii="Arial" w:cs="Arial" w:eastAsia="Arial" w:hAnsi="Arial"/>
          <w:sz w:val="16"/>
          <w:szCs w:val="16"/>
          <w:color w:val="auto"/>
        </w:rPr>
        <w:t>restrictions on obtaining future financings, including restrictions on SpringBig’s ability to do any of each following while the Secured Convertible Notes remain outstanding: (i)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the equity facility, issuances under our equity compensation plan and other limited exceptions until a resale registration statement registering all of the common stock underlying the notes and warrants with the Investor is declared effective by the SEC); (vii) entering into variable rate transactions (exclusive of the equity facility); and</w:t>
      </w:r>
    </w:p>
    <w:p>
      <w:pPr>
        <w:spacing w:after="0" w:line="4" w:lineRule="exact"/>
        <w:rPr>
          <w:sz w:val="20"/>
          <w:szCs w:val="20"/>
          <w:color w:val="auto"/>
        </w:rPr>
      </w:pPr>
    </w:p>
    <w:p>
      <w:pPr>
        <w:jc w:val="both"/>
        <w:ind w:firstLine="5"/>
        <w:spacing w:after="0" w:line="246" w:lineRule="auto"/>
        <w:tabs>
          <w:tab w:leader="none" w:pos="402" w:val="left"/>
        </w:tabs>
        <w:numPr>
          <w:ilvl w:val="0"/>
          <w:numId w:val="6"/>
        </w:numPr>
        <w:rPr>
          <w:rFonts w:ascii="Arial" w:cs="Arial" w:eastAsia="Arial" w:hAnsi="Arial"/>
          <w:sz w:val="17"/>
          <w:szCs w:val="17"/>
          <w:color w:val="auto"/>
        </w:rPr>
      </w:pPr>
      <w:r>
        <w:rPr>
          <w:rFonts w:ascii="Arial" w:cs="Arial" w:eastAsia="Arial" w:hAnsi="Arial"/>
          <w:sz w:val="17"/>
          <w:szCs w:val="17"/>
          <w:color w:val="auto"/>
        </w:rPr>
        <w:t>adopting certain amendments to our governing documents, among other restrictions. In addition, the noteholders have the right, for 18 months following the first closing of the notes and warrants with the Investor, to purchase up to 30% of the securities we may offer in subsequent financings. . Accordingly, we may be limited in our ability to raise additional capital on acceptable terms or at all within such limitations. Such restrictions may be waived by consent of the noteholder.</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Cash Flows</w:t>
      </w:r>
    </w:p>
    <w:p>
      <w:pPr>
        <w:spacing w:after="0" w:line="217"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The following table summarizes our cash flows from operating, investing and financing activities for the six months ended June 30, 2022 and 2021 (in thousands):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560" w:type="dxa"/>
            <w:vAlign w:val="bottom"/>
            <w:tcBorders>
              <w:bottom w:val="single" w:sz="8" w:color="auto"/>
            </w:tcBorders>
            <w:shd w:val="clear" w:color="auto" w:fill="CCEEFF"/>
          </w:tcPr>
          <w:p>
            <w:pPr>
              <w:spacing w:after="0"/>
              <w:rPr>
                <w:sz w:val="19"/>
                <w:szCs w:val="19"/>
                <w:color w:val="auto"/>
              </w:rPr>
            </w:pPr>
          </w:p>
        </w:tc>
      </w:tr>
      <w:tr>
        <w:trPr>
          <w:trHeight w:val="216"/>
        </w:trPr>
        <w:tc>
          <w:tcPr>
            <w:tcW w:w="79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7"/>
                <w:szCs w:val="17"/>
                <w:b w:val="1"/>
                <w:bCs w:val="1"/>
                <w:color w:val="auto"/>
              </w:rPr>
              <w:t>2022</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r>
      <w:tr>
        <w:trPr>
          <w:trHeight w:val="203"/>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 of Cash Flows Data:</w:t>
            </w:r>
          </w:p>
        </w:tc>
        <w:tc>
          <w:tcPr>
            <w:tcW w:w="36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7"/>
                <w:szCs w:val="17"/>
                <w:color w:val="auto"/>
              </w:rPr>
              <w:t>Total cash (used in) provided by: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7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activities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(4,952)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(2,452)</w:t>
            </w:r>
          </w:p>
        </w:tc>
      </w:tr>
      <w:tr>
        <w:trPr>
          <w:trHeight w:val="223"/>
        </w:trPr>
        <w:tc>
          <w:tcPr>
            <w:tcW w:w="7960" w:type="dxa"/>
            <w:vAlign w:val="bottom"/>
          </w:tcPr>
          <w:p>
            <w:pPr>
              <w:ind w:left="120"/>
              <w:spacing w:after="0"/>
              <w:rPr>
                <w:sz w:val="20"/>
                <w:szCs w:val="20"/>
                <w:color w:val="auto"/>
              </w:rPr>
            </w:pPr>
            <w:r>
              <w:rPr>
                <w:rFonts w:ascii="Arial" w:cs="Arial" w:eastAsia="Arial" w:hAnsi="Arial"/>
                <w:sz w:val="17"/>
                <w:szCs w:val="17"/>
                <w:color w:val="auto"/>
              </w:rPr>
              <w:t>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(363)</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(317)</w:t>
            </w:r>
          </w:p>
        </w:tc>
      </w:tr>
      <w:tr>
        <w:trPr>
          <w:trHeight w:val="223"/>
        </w:trPr>
        <w:tc>
          <w:tcPr>
            <w:tcW w:w="7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17,267</w:t>
            </w:r>
          </w:p>
        </w:tc>
        <w:tc>
          <w:tcPr>
            <w:tcW w:w="1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960" w:type="dxa"/>
            <w:vAlign w:val="bottom"/>
          </w:tcPr>
          <w:p>
            <w:pPr>
              <w:ind w:left="20"/>
              <w:spacing w:after="0"/>
              <w:rPr>
                <w:sz w:val="20"/>
                <w:szCs w:val="20"/>
                <w:color w:val="auto"/>
              </w:rPr>
            </w:pPr>
            <w:r>
              <w:rPr>
                <w:rFonts w:ascii="Arial" w:cs="Arial" w:eastAsia="Arial" w:hAnsi="Arial"/>
                <w:sz w:val="17"/>
                <w:szCs w:val="17"/>
                <w:color w:val="auto"/>
              </w:rPr>
              <w:t>Increase (decrease) in cash and cash equivalents</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11,952</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(2,769)</w:t>
            </w: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11"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Cash used in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spacing w:after="0" w:line="185"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In the six months ended June 30, 2022, the net loss was $5.5 million and the cash used in operating activities was $5.0 million. The difference of $500,000 is due to $1.6 million in non-cash items partially mitigating a $2.1 million movement in working capital. The working capital movement is primarily due to directors and officers insurance incurred as a public company.</w:t>
      </w:r>
    </w:p>
    <w:p>
      <w:pPr>
        <w:spacing w:after="0" w:line="198"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compared with the loss from operations of $8.1 million, with the difference of $900,000 being due to non-cash items of depreciation, amortization and stock compensation expense of $1,226,000 and movements in working capital of $500,000.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six months ended June 30, 2021, the net loss and loss from operations was $2.6 million and cash used in operating activities was $2.5 million.</w:t>
      </w:r>
    </w:p>
    <w:p>
      <w:pPr>
        <w:spacing w:after="0" w:line="24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11"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SpringBig has low capital investment requirements, with our needs comprising primarily computer equipment and office furniture and related items. Cash used in investing activities was $363,000 for the six months ended June 30, 2022. The $317,000 for the six months ended June 30, 2021 includes $122,000 paid in association with the acquisition of Beaches Development Group in Canada.</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24"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During the six months ended June 30, 2022, the net cash provided by financing activities was $17.3 million representing the amount resulting from the issuance of new common stock pursuant to the PIPE Financing and the from the Secured Convertible Notes at the closing of the business combination with Tuatara, net of costs associated with the transaction.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861" w:right="339" w:bottom="1440" w:gutter="0" w:footer="0" w:header="0"/>
        </w:sectPr>
      </w:pPr>
    </w:p>
    <w:bookmarkStart w:id="38" w:name="page39"/>
    <w:bookmarkEnd w:id="38"/>
    <w:p>
      <w:pPr>
        <w:ind w:left="440"/>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11" w:lineRule="exact"/>
        <w:rPr>
          <w:sz w:val="20"/>
          <w:szCs w:val="20"/>
          <w:color w:val="auto"/>
        </w:rPr>
      </w:pPr>
    </w:p>
    <w:p>
      <w:pPr>
        <w:jc w:val="both"/>
        <w:ind w:firstLine="433"/>
        <w:spacing w:after="0" w:line="241" w:lineRule="auto"/>
        <w:rPr>
          <w:sz w:val="20"/>
          <w:szCs w:val="20"/>
          <w:color w:val="auto"/>
        </w:rPr>
      </w:pPr>
      <w:r>
        <w:rPr>
          <w:rFonts w:ascii="Arial" w:cs="Arial" w:eastAsia="Arial" w:hAnsi="Arial"/>
          <w:sz w:val="17"/>
          <w:szCs w:val="17"/>
          <w:color w:val="auto"/>
        </w:rPr>
        <w:t>At June 30, 2022,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7"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2"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6"/>
          <w:szCs w:val="16"/>
          <w:color w:val="auto"/>
        </w:rPr>
        <w:t>We believe that the assumptions and estimates associated with revenue recognition, software development costs, income taxes and equity-based compensation have the greatest potential impact on our consolidated financial statements. Therefore, we consider these to be our critical accounting policies and estimates. For further information on all of our significant accounting policies, see the Company's audited consolidated financial statements and accompanying notes included in the Company’s Registration Statement on Form S-1 filed with the SEC on July 22, 2022 and the and consolidated Financial Statements and Notes thereto included in Tuatara Capital Acquisition Corporation's Report on Form 10-K for the fiscal year ended December 31, 2021.</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231F20"/>
        </w:rPr>
        <w:t>Recent Accounting Pronouncements</w:t>
      </w:r>
    </w:p>
    <w:p>
      <w:pPr>
        <w:spacing w:after="0" w:line="230"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7"/>
          <w:szCs w:val="17"/>
          <w:color w:val="231F20"/>
        </w:rPr>
        <w:t>See the section titled “Summary of Significant Accounting Policies” in Note 2 of the notes to our unaudited condensed consolidated financial statements included in this Report for more information.</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Emerging Growth Company and Smaller Reporting Company Status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Section 107 of the JOBS Act provides that an "emerging growth company" can take advantage of the extended transition period provided in Section 7(a)(2)</w:t>
      </w:r>
    </w:p>
    <w:p>
      <w:pPr>
        <w:spacing w:after="0" w:line="38" w:lineRule="exact"/>
        <w:rPr>
          <w:sz w:val="20"/>
          <w:szCs w:val="20"/>
          <w:color w:val="auto"/>
        </w:rPr>
      </w:pPr>
    </w:p>
    <w:p>
      <w:pPr>
        <w:jc w:val="both"/>
        <w:ind w:firstLine="5"/>
        <w:spacing w:after="0" w:line="246" w:lineRule="auto"/>
        <w:tabs>
          <w:tab w:leader="none" w:pos="289" w:val="left"/>
        </w:tabs>
        <w:numPr>
          <w:ilvl w:val="0"/>
          <w:numId w:val="7"/>
        </w:numPr>
        <w:rPr>
          <w:rFonts w:ascii="Arial" w:cs="Arial" w:eastAsia="Arial" w:hAnsi="Arial"/>
          <w:sz w:val="17"/>
          <w:szCs w:val="17"/>
          <w:color w:val="auto"/>
        </w:rPr>
      </w:pPr>
      <w:r>
        <w:rPr>
          <w:rFonts w:ascii="Arial" w:cs="Arial" w:eastAsia="Arial" w:hAnsi="Arial"/>
          <w:sz w:val="17"/>
          <w:szCs w:val="17"/>
          <w:color w:val="auto"/>
        </w:rPr>
        <w:t>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207"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56"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 Rate Fluctuation Risk</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consider all highly liquid investments with an original maturity of three months or less to be cash equivalents.</w:t>
      </w:r>
    </w:p>
    <w:p>
      <w:pPr>
        <w:spacing w:after="0" w:line="237"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Inflation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861" w:right="339" w:bottom="1440" w:gutter="0" w:footer="0" w:header="0"/>
        </w:sectPr>
      </w:pPr>
    </w:p>
    <w:bookmarkStart w:id="39" w:name="page40"/>
    <w:bookmarkEnd w:id="39"/>
    <w:p>
      <w:pPr>
        <w:jc w:val="both"/>
        <w:ind w:firstLine="315"/>
        <w:spacing w:after="0" w:line="246"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Exchange Rate Risk</w:t>
      </w:r>
    </w:p>
    <w:p>
      <w:pPr>
        <w:spacing w:after="0" w:line="237"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0"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our disclosure controls and procedures, as such term is defined under Rules 13a-15(e) and 15d-15(e) promulgated under the Exchange Act. Based on this evaluation, our chief executive officer and chief financial officer concluded that our disclosure controls and procedures were effective as of the end of the period covered by this Quarterly Report on Form 10-Q.</w:t>
      </w:r>
    </w:p>
    <w:p>
      <w:pPr>
        <w:spacing w:after="0" w:line="202" w:lineRule="exact"/>
        <w:rPr>
          <w:sz w:val="20"/>
          <w:szCs w:val="20"/>
          <w:color w:val="auto"/>
        </w:rPr>
      </w:pPr>
    </w:p>
    <w:p>
      <w:pPr>
        <w:jc w:val="both"/>
        <w:ind w:firstLine="315"/>
        <w:spacing w:after="0"/>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controls over financial</w:t>
      </w:r>
    </w:p>
    <w:p>
      <w:pPr>
        <w:jc w:val="both"/>
        <w:spacing w:after="0" w:line="230" w:lineRule="auto"/>
        <w:rPr>
          <w:sz w:val="20"/>
          <w:szCs w:val="20"/>
          <w:color w:val="auto"/>
        </w:rPr>
      </w:pPr>
      <w:r>
        <w:rPr>
          <w:rFonts w:ascii="Arial" w:cs="Arial" w:eastAsia="Arial" w:hAnsi="Arial"/>
          <w:sz w:val="16"/>
          <w:szCs w:val="16"/>
          <w:color w:val="auto"/>
        </w:rPr>
        <w:t>reporting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misstatements due to error or fraud will not occur or that all control issues and instances of fraud, if any, within the Company have been detected.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3" w:lineRule="exact"/>
        <w:rPr>
          <w:sz w:val="20"/>
          <w:szCs w:val="20"/>
          <w:color w:val="auto"/>
        </w:rPr>
      </w:pPr>
    </w:p>
    <w:p>
      <w:pPr>
        <w:jc w:val="both"/>
        <w:ind w:firstLine="315"/>
        <w:spacing w:after="0" w:line="288"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quarter ended June 30, 2022, that have materially affected, or are reasonably likely to materially affect, our internal control over financial reporting.</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 – Other Information</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17" w:lineRule="exact"/>
        <w:rPr>
          <w:sz w:val="20"/>
          <w:szCs w:val="20"/>
          <w:color w:val="auto"/>
        </w:rPr>
      </w:pPr>
    </w:p>
    <w:p>
      <w:pPr>
        <w:ind w:right="360" w:firstLine="315"/>
        <w:spacing w:after="0" w:line="257" w:lineRule="auto"/>
        <w:rPr>
          <w:sz w:val="20"/>
          <w:szCs w:val="20"/>
          <w:color w:val="auto"/>
        </w:rPr>
      </w:pPr>
      <w:r>
        <w:rPr>
          <w:rFonts w:ascii="Arial" w:cs="Arial" w:eastAsia="Arial" w:hAnsi="Arial"/>
          <w:sz w:val="17"/>
          <w:szCs w:val="17"/>
          <w:color w:val="auto"/>
        </w:rPr>
        <w:t>For a description of developments to legal proceedings during the six months ended June 30, 2022, see "Litigation" under Note 14, "Commitments and Contingencies"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6"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i w:val="1"/>
          <w:iCs w:val="1"/>
          <w:color w:val="auto"/>
        </w:rPr>
        <w:t>Our business involves a high degree of risk. You should carefully consider the risks described below, together with the other information contained in this Quarterly Report on Form 10-Q, as well as the risks, uncertainties and other information set forth in the reports and other materials filed or furnished by us with the SEC. We cannot assure you that any of the events discussed in the risk factors below will not occur. These risks could have a material and adverse impact on our business, prospects, results of operations, financial condition and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243" w:lineRule="exact"/>
        <w:rPr>
          <w:sz w:val="20"/>
          <w:szCs w:val="20"/>
          <w:color w:val="auto"/>
        </w:rPr>
      </w:pPr>
    </w:p>
    <w:p>
      <w:pPr>
        <w:ind w:right="40" w:firstLine="315"/>
        <w:spacing w:after="0" w:line="252" w:lineRule="auto"/>
        <w:rPr>
          <w:sz w:val="20"/>
          <w:szCs w:val="20"/>
          <w:color w:val="auto"/>
        </w:rPr>
      </w:pPr>
      <w:r>
        <w:rPr>
          <w:rFonts w:ascii="Arial" w:cs="Arial" w:eastAsia="Arial" w:hAnsi="Arial"/>
          <w:sz w:val="17"/>
          <w:szCs w:val="17"/>
          <w:i w:val="1"/>
          <w:iCs w:val="1"/>
          <w:color w:val="auto"/>
        </w:rPr>
        <w:t>We are providing the following summary of the risk factors contained in this Quarterly Report on Form 10-Q to enhance the readability and accessibility of our risk factor disclosures. We encourage you to carefully review the full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861" w:right="339" w:bottom="1440" w:gutter="0" w:footer="0" w:header="0"/>
        </w:sectPr>
      </w:pPr>
    </w:p>
    <w:bookmarkStart w:id="40" w:name="page41"/>
    <w:bookmarkEnd w:id="40"/>
    <w:p>
      <w:pPr>
        <w:jc w:val="both"/>
        <w:ind w:left="320" w:hanging="320"/>
        <w:spacing w:after="0" w:line="237" w:lineRule="auto"/>
        <w:tabs>
          <w:tab w:leader="none" w:pos="309" w:val="left"/>
        </w:tabs>
        <w:numPr>
          <w:ilvl w:val="0"/>
          <w:numId w:val="8"/>
        </w:numPr>
        <w:rPr>
          <w:rFonts w:ascii="Arial" w:cs="Arial" w:eastAsia="Arial" w:hAnsi="Arial"/>
          <w:sz w:val="19"/>
          <w:szCs w:val="19"/>
          <w:color w:val="auto"/>
        </w:rPr>
      </w:pPr>
      <w:r>
        <w:rPr>
          <w:rFonts w:ascii="Arial" w:cs="Arial" w:eastAsia="Arial" w:hAnsi="Arial"/>
          <w:sz w:val="17"/>
          <w:szCs w:val="17"/>
          <w:color w:val="auto"/>
        </w:rPr>
        <w:t>We have a relatively short operating history in a rapidly evolving industry and a history of losses, which makes it difficult to evaluate our future prospects and may increase the risk that we will not be successful. As our costs increase, we may not be able to generate sufficient revenue to become profitable or maintain profitability in the future.</w:t>
      </w:r>
    </w:p>
    <w:p>
      <w:pPr>
        <w:spacing w:after="0" w:line="198" w:lineRule="exact"/>
        <w:rPr>
          <w:rFonts w:ascii="Arial" w:cs="Arial" w:eastAsia="Arial" w:hAnsi="Arial"/>
          <w:sz w:val="19"/>
          <w:szCs w:val="19"/>
          <w:color w:val="auto"/>
        </w:rPr>
      </w:pPr>
    </w:p>
    <w:p>
      <w:pPr>
        <w:jc w:val="both"/>
        <w:ind w:left="320" w:hanging="320"/>
        <w:spacing w:after="0" w:line="241"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do not successfully develop and deploy new software, platform features or services to address the needs of our clients, if we fail to retain our existing clients or acquire new clients, and/or if we fail to expand effectively into new markets, our revenue may decrease and our business may be harmed.</w:t>
      </w:r>
    </w:p>
    <w:p>
      <w:pPr>
        <w:spacing w:after="0" w:line="211" w:lineRule="exact"/>
        <w:rPr>
          <w:rFonts w:ascii="Arial" w:cs="Arial" w:eastAsia="Arial" w:hAnsi="Arial"/>
          <w:sz w:val="17"/>
          <w:szCs w:val="17"/>
          <w:color w:val="auto"/>
        </w:rPr>
      </w:pPr>
    </w:p>
    <w:p>
      <w:pPr>
        <w:jc w:val="both"/>
        <w:ind w:left="320" w:hanging="320"/>
        <w:spacing w:after="0" w:line="241"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97" w:lineRule="exact"/>
        <w:rPr>
          <w:rFonts w:ascii="Arial" w:cs="Arial" w:eastAsia="Arial" w:hAnsi="Arial"/>
          <w:sz w:val="17"/>
          <w:szCs w:val="17"/>
          <w:color w:val="auto"/>
        </w:rPr>
      </w:pPr>
    </w:p>
    <w:p>
      <w:pPr>
        <w:jc w:val="both"/>
        <w:ind w:left="320" w:hanging="320"/>
        <w:spacing w:after="0" w:line="241"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Some of our clients currently and in the future may not be in compliance with licensing and related requirements under applicable laws and regulations. We further cannot ensure that our clients will conduct their business in a way that complies with all laws.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w:t>
      </w:r>
    </w:p>
    <w:p>
      <w:pPr>
        <w:spacing w:after="0" w:line="198" w:lineRule="exact"/>
        <w:rPr>
          <w:rFonts w:ascii="Arial" w:cs="Arial" w:eastAsia="Arial" w:hAnsi="Arial"/>
          <w:sz w:val="17"/>
          <w:szCs w:val="17"/>
          <w:color w:val="auto"/>
        </w:rPr>
      </w:pPr>
    </w:p>
    <w:p>
      <w:pPr>
        <w:jc w:val="both"/>
        <w:ind w:left="320" w:hanging="320"/>
        <w:spacing w:after="0" w:line="289" w:lineRule="auto"/>
        <w:tabs>
          <w:tab w:leader="none" w:pos="316"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is dependent on U.S. state laws and regulations and Canadian federal and provincial laws and regulations pertaining to the cannabis industry, its continued legalization, and the rapid changes in applicable laws and regulations may increase the risk that we will not be successful. We are subject to various standards, laws and regulations and any actual or perceived failure to comply with such obligations could harm our business.</w:t>
      </w:r>
    </w:p>
    <w:p>
      <w:pPr>
        <w:spacing w:after="0" w:line="174" w:lineRule="exact"/>
        <w:rPr>
          <w:rFonts w:ascii="Arial" w:cs="Arial" w:eastAsia="Arial" w:hAnsi="Arial"/>
          <w:sz w:val="16"/>
          <w:szCs w:val="16"/>
          <w:color w:val="auto"/>
        </w:rPr>
      </w:pPr>
    </w:p>
    <w:p>
      <w:pPr>
        <w:ind w:left="300" w:hanging="300"/>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is dependent on the market acceptance of cannabis consumers and negative trends could adversely affect our business operations.</w:t>
      </w:r>
    </w:p>
    <w:p>
      <w:pPr>
        <w:spacing w:after="0" w:line="235" w:lineRule="exact"/>
        <w:rPr>
          <w:rFonts w:ascii="Arial" w:cs="Arial" w:eastAsia="Arial" w:hAnsi="Arial"/>
          <w:sz w:val="16"/>
          <w:szCs w:val="16"/>
          <w:color w:val="auto"/>
        </w:rPr>
      </w:pPr>
    </w:p>
    <w:p>
      <w:pPr>
        <w:ind w:left="320" w:hanging="320"/>
        <w:spacing w:after="0" w:line="257"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business is highly dependent upon our brand recognition and reputation, and any erosion or degradation of our brand recognition or reputation would likely adversely affect our business and operating results.</w:t>
      </w:r>
    </w:p>
    <w:p>
      <w:pPr>
        <w:spacing w:after="0" w:line="184" w:lineRule="exact"/>
        <w:rPr>
          <w:rFonts w:ascii="Arial" w:cs="Arial" w:eastAsia="Arial" w:hAnsi="Arial"/>
          <w:sz w:val="17"/>
          <w:szCs w:val="17"/>
          <w:color w:val="auto"/>
        </w:rPr>
      </w:pPr>
    </w:p>
    <w:p>
      <w:pPr>
        <w:ind w:left="320" w:hanging="320"/>
        <w:spacing w:after="0" w:line="273"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currently face intense competition in marketing and advertising services available to our clients, and we expect competition to further intensify as the cannabis industry continues to evolve.</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predict and/or manage our growth effectively, our brand, business and operating results could be harmed.</w:t>
      </w:r>
    </w:p>
    <w:p>
      <w:pPr>
        <w:spacing w:after="0" w:line="224" w:lineRule="exact"/>
        <w:rPr>
          <w:rFonts w:ascii="Arial" w:cs="Arial" w:eastAsia="Arial" w:hAnsi="Arial"/>
          <w:sz w:val="17"/>
          <w:szCs w:val="17"/>
          <w:color w:val="auto"/>
        </w:rPr>
      </w:pPr>
    </w:p>
    <w:p>
      <w:pPr>
        <w:ind w:left="300" w:hanging="300"/>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recruit, train, retain and motivate key personnel, we may not achieve our business objectives.</w:t>
      </w:r>
    </w:p>
    <w:p>
      <w:pPr>
        <w:spacing w:after="0" w:line="224" w:lineRule="exact"/>
        <w:rPr>
          <w:rFonts w:ascii="Arial" w:cs="Arial" w:eastAsia="Arial" w:hAnsi="Arial"/>
          <w:sz w:val="17"/>
          <w:szCs w:val="17"/>
          <w:color w:val="auto"/>
        </w:rPr>
      </w:pPr>
    </w:p>
    <w:p>
      <w:pPr>
        <w:ind w:left="320" w:hanging="320"/>
        <w:spacing w:after="0" w:line="273"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our current marketing model is not effective in attracting new clients, we may need to employ higher-cost sales and marketing methods to attract and retain clients, which could adversely affect our profitability.</w:t>
      </w:r>
    </w:p>
    <w:p>
      <w:pPr>
        <w:spacing w:after="0" w:line="171" w:lineRule="exact"/>
        <w:rPr>
          <w:rFonts w:ascii="Arial" w:cs="Arial" w:eastAsia="Arial" w:hAnsi="Arial"/>
          <w:sz w:val="17"/>
          <w:szCs w:val="17"/>
          <w:color w:val="auto"/>
        </w:rPr>
      </w:pPr>
    </w:p>
    <w:p>
      <w:pPr>
        <w:ind w:left="320" w:hanging="320"/>
        <w:spacing w:after="0" w:line="257"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84" w:lineRule="exact"/>
        <w:rPr>
          <w:rFonts w:ascii="Arial" w:cs="Arial" w:eastAsia="Arial" w:hAnsi="Arial"/>
          <w:sz w:val="17"/>
          <w:szCs w:val="17"/>
          <w:color w:val="auto"/>
        </w:rPr>
      </w:pPr>
    </w:p>
    <w:p>
      <w:pPr>
        <w:ind w:left="320" w:hanging="320"/>
        <w:spacing w:after="0" w:line="273"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Real or perceived errors, failures, or bugs in our platform or cyber security breaches, unauthorized access or other events could adversely affect our operating results and growth prospects and/or subject us to significant liability.</w:t>
      </w:r>
    </w:p>
    <w:p>
      <w:pPr>
        <w:spacing w:after="0" w:line="171" w:lineRule="exact"/>
        <w:rPr>
          <w:rFonts w:ascii="Arial" w:cs="Arial" w:eastAsia="Arial" w:hAnsi="Arial"/>
          <w:sz w:val="17"/>
          <w:szCs w:val="17"/>
          <w:color w:val="auto"/>
        </w:rPr>
      </w:pPr>
    </w:p>
    <w:p>
      <w:pPr>
        <w:ind w:left="320" w:hanging="320"/>
        <w:spacing w:after="0" w:line="257"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global, regional or local economic and market conditions or events may adversely affect our business, operating results and financial condition.</w:t>
      </w:r>
    </w:p>
    <w:p>
      <w:pPr>
        <w:spacing w:after="0" w:line="197" w:lineRule="exact"/>
        <w:rPr>
          <w:rFonts w:ascii="Arial" w:cs="Arial" w:eastAsia="Arial" w:hAnsi="Arial"/>
          <w:sz w:val="17"/>
          <w:szCs w:val="17"/>
          <w:color w:val="auto"/>
        </w:rPr>
      </w:pPr>
    </w:p>
    <w:p>
      <w:pPr>
        <w:ind w:left="300" w:hanging="300"/>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Fluctuations in our quarterly and annual operating results may adversely affect our business and prospects.</w:t>
      </w:r>
    </w:p>
    <w:p>
      <w:pPr>
        <w:spacing w:after="0" w:line="224" w:lineRule="exact"/>
        <w:rPr>
          <w:rFonts w:ascii="Arial" w:cs="Arial" w:eastAsia="Arial" w:hAnsi="Arial"/>
          <w:sz w:val="17"/>
          <w:szCs w:val="17"/>
          <w:color w:val="auto"/>
        </w:rPr>
      </w:pPr>
    </w:p>
    <w:p>
      <w:pPr>
        <w:ind w:left="300" w:hanging="300"/>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Investors should not rely on outdated financial projections.</w:t>
      </w:r>
    </w:p>
    <w:p>
      <w:pPr>
        <w:spacing w:after="0" w:line="224" w:lineRule="exact"/>
        <w:rPr>
          <w:rFonts w:ascii="Arial" w:cs="Arial" w:eastAsia="Arial" w:hAnsi="Arial"/>
          <w:sz w:val="17"/>
          <w:szCs w:val="17"/>
          <w:color w:val="auto"/>
        </w:rPr>
      </w:pPr>
    </w:p>
    <w:p>
      <w:pPr>
        <w:ind w:left="300" w:hanging="300"/>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improve our products and solutions in ways that forego short-term gains.</w:t>
      </w:r>
    </w:p>
    <w:p>
      <w:pPr>
        <w:spacing w:after="0" w:line="224" w:lineRule="exact"/>
        <w:rPr>
          <w:rFonts w:ascii="Arial" w:cs="Arial" w:eastAsia="Arial" w:hAnsi="Arial"/>
          <w:sz w:val="17"/>
          <w:szCs w:val="17"/>
          <w:color w:val="auto"/>
        </w:rPr>
      </w:pPr>
    </w:p>
    <w:p>
      <w:pPr>
        <w:ind w:left="320" w:hanging="320"/>
        <w:spacing w:after="0" w:line="273"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Future investments in our growth strategy, including acquisitions, could disrupt our business and adversely affect our operating results, financial condition and cash flows.</w:t>
      </w:r>
    </w:p>
    <w:p>
      <w:pPr>
        <w:spacing w:after="0" w:line="171" w:lineRule="exact"/>
        <w:rPr>
          <w:rFonts w:ascii="Arial" w:cs="Arial" w:eastAsia="Arial" w:hAnsi="Arial"/>
          <w:sz w:val="17"/>
          <w:szCs w:val="17"/>
          <w:color w:val="auto"/>
        </w:rPr>
      </w:pPr>
    </w:p>
    <w:p>
      <w:pPr>
        <w:ind w:left="320" w:hanging="320"/>
        <w:spacing w:after="0" w:line="305"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need to raise additional capital, which may not be available on favorable terms, if at all, causing dilution to our stockholders, restricting our operations or adversely affecting our ability to operate our business. Further, we may be unable to obtain such financing.</w:t>
      </w:r>
    </w:p>
    <w:p>
      <w:pPr>
        <w:spacing w:after="0" w:line="145" w:lineRule="exact"/>
        <w:rPr>
          <w:rFonts w:ascii="Arial" w:cs="Arial" w:eastAsia="Arial" w:hAnsi="Arial"/>
          <w:sz w:val="17"/>
          <w:szCs w:val="17"/>
          <w:color w:val="auto"/>
        </w:rPr>
      </w:pPr>
    </w:p>
    <w:p>
      <w:pPr>
        <w:jc w:val="both"/>
        <w:ind w:left="320" w:hanging="320"/>
        <w:spacing w:after="0" w:line="249"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obligations to the holder of our Secured Convertible Notes and Investor Warrants are secured by a security interest in substantially all of our assets, so if we default on those obligations, the noteholders could foreclose on, liquidate and/or take possession of our assets. If that were to happen, we could be forced to curtail, or even to cease,</w:t>
      </w:r>
    </w:p>
    <w:p>
      <w:pPr>
        <w:sectPr>
          <w:pgSz w:w="11900" w:h="16838" w:orient="portrait"/>
          <w:cols w:equalWidth="0" w:num="1">
            <w:col w:w="10920"/>
          </w:cols>
          <w:pgMar w:left="640" w:top="875"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920"/>
          </w:cols>
          <w:pgMar w:left="640" w:top="875" w:right="339" w:bottom="1440" w:gutter="0" w:footer="0" w:header="0"/>
          <w:type w:val="continuous"/>
        </w:sectPr>
      </w:pPr>
    </w:p>
    <w:bookmarkStart w:id="41" w:name="page42"/>
    <w:bookmarkEnd w:id="41"/>
    <w:p>
      <w:pPr>
        <w:ind w:left="640"/>
        <w:spacing w:after="0" w:line="257" w:lineRule="auto"/>
        <w:rPr>
          <w:sz w:val="20"/>
          <w:szCs w:val="20"/>
          <w:color w:val="auto"/>
        </w:rPr>
      </w:pPr>
      <w:r>
        <w:rPr>
          <w:rFonts w:ascii="Arial" w:cs="Arial" w:eastAsia="Arial" w:hAnsi="Arial"/>
          <w:sz w:val="17"/>
          <w:szCs w:val="17"/>
          <w:color w:val="auto"/>
        </w:rPr>
        <w:t>our operations. Such notes and warrants also restrict our ability obtain additional debt and equity financing, which may restrict our ability to grow and finance our operations.</w:t>
      </w:r>
    </w:p>
    <w:p>
      <w:pPr>
        <w:spacing w:after="0" w:line="185" w:lineRule="exact"/>
        <w:rPr>
          <w:sz w:val="20"/>
          <w:szCs w:val="20"/>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subject to potential adverse tax consequences.</w:t>
      </w:r>
    </w:p>
    <w:p>
      <w:pPr>
        <w:spacing w:after="0" w:line="224"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accounting standards or other factors could negatively impact our future effective tax rate.</w:t>
      </w:r>
    </w:p>
    <w:p>
      <w:pPr>
        <w:spacing w:after="0" w:line="237" w:lineRule="exact"/>
        <w:rPr>
          <w:rFonts w:ascii="Arial" w:cs="Arial" w:eastAsia="Arial" w:hAnsi="Arial"/>
          <w:sz w:val="17"/>
          <w:szCs w:val="17"/>
          <w:color w:val="auto"/>
        </w:rPr>
      </w:pPr>
    </w:p>
    <w:p>
      <w:pPr>
        <w:ind w:left="640" w:hanging="320"/>
        <w:spacing w:after="0" w:line="25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Cannabis remains illegal under federal law, and therefore, strict enforcement of federal laws regarding cannabis would likely result in our inability to execute our business plan.</w:t>
      </w:r>
    </w:p>
    <w:p>
      <w:pPr>
        <w:spacing w:after="0" w:line="184" w:lineRule="exact"/>
        <w:rPr>
          <w:rFonts w:ascii="Arial" w:cs="Arial" w:eastAsia="Arial" w:hAnsi="Arial"/>
          <w:sz w:val="17"/>
          <w:szCs w:val="17"/>
          <w:color w:val="auto"/>
        </w:rPr>
      </w:pPr>
    </w:p>
    <w:p>
      <w:pPr>
        <w:ind w:left="640" w:hanging="320"/>
        <w:spacing w:after="0" w:line="25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97" w:lineRule="exact"/>
        <w:rPr>
          <w:rFonts w:ascii="Arial" w:cs="Arial" w:eastAsia="Arial" w:hAnsi="Arial"/>
          <w:sz w:val="17"/>
          <w:szCs w:val="17"/>
          <w:color w:val="auto"/>
        </w:rPr>
      </w:pPr>
    </w:p>
    <w:p>
      <w:pPr>
        <w:ind w:left="640" w:hanging="320"/>
        <w:spacing w:after="0" w:line="25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dependent on our banking relations, and we may have difficulty accessing or consistently maintaining banking or other financial services due to our connection with the cannabis industry.</w:t>
      </w:r>
    </w:p>
    <w:p>
      <w:pPr>
        <w:spacing w:after="0" w:line="184" w:lineRule="exact"/>
        <w:rPr>
          <w:rFonts w:ascii="Arial" w:cs="Arial" w:eastAsia="Arial" w:hAnsi="Arial"/>
          <w:sz w:val="17"/>
          <w:szCs w:val="17"/>
          <w:color w:val="auto"/>
        </w:rPr>
      </w:pPr>
    </w:p>
    <w:p>
      <w:pPr>
        <w:ind w:left="640" w:hanging="320"/>
        <w:spacing w:after="0" w:line="273"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Due to our involvement in the cannabis industry, we may have a difficult time obtaining the various insurances that are desired to operate our business and/or in enforcing certain of our commercial contracts, which may expose us to additional risk and financial liability.</w:t>
      </w:r>
    </w:p>
    <w:p>
      <w:pPr>
        <w:spacing w:after="0" w:line="171" w:lineRule="exact"/>
        <w:rPr>
          <w:rFonts w:ascii="Arial" w:cs="Arial" w:eastAsia="Arial" w:hAnsi="Arial"/>
          <w:sz w:val="17"/>
          <w:szCs w:val="17"/>
          <w:color w:val="auto"/>
        </w:rPr>
      </w:pPr>
    </w:p>
    <w:p>
      <w:pPr>
        <w:ind w:left="640" w:hanging="320"/>
        <w:spacing w:after="0" w:line="25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in the future be, subject to disputes and assertions by third parties with respect to alleged violations of intellectual property rights. These disputes could be costly to defend and could harm our business and operating results.</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Some of our solutions contain open source software, which may pose particular risks to our proprietary software and solutions.</w:t>
      </w:r>
    </w:p>
    <w:p>
      <w:pPr>
        <w:spacing w:after="0" w:line="237"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success of our business heavily depends on our ability to protect and enforce our intellectual property rights.</w:t>
      </w:r>
    </w:p>
    <w:p>
      <w:pPr>
        <w:spacing w:after="0" w:line="224"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our performance does not meet market expectations, the price of our securities may decline and the market for our securities may be volatile.</w:t>
      </w:r>
    </w:p>
    <w:p>
      <w:pPr>
        <w:spacing w:after="0" w:line="235" w:lineRule="exact"/>
        <w:rPr>
          <w:rFonts w:ascii="Arial" w:cs="Arial" w:eastAsia="Arial" w:hAnsi="Arial"/>
          <w:sz w:val="16"/>
          <w:szCs w:val="16"/>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do not intend to pay cash dividends for the foreseeable future.</w:t>
      </w:r>
    </w:p>
    <w:p>
      <w:pPr>
        <w:spacing w:after="0" w:line="224"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subject to securities litigation, which is expensive and could divert management attention.</w:t>
      </w:r>
    </w:p>
    <w:p>
      <w:pPr>
        <w:spacing w:after="0" w:line="237" w:lineRule="exact"/>
        <w:rPr>
          <w:rFonts w:ascii="Arial" w:cs="Arial" w:eastAsia="Arial" w:hAnsi="Arial"/>
          <w:sz w:val="17"/>
          <w:szCs w:val="17"/>
          <w:color w:val="auto"/>
        </w:rPr>
      </w:pPr>
    </w:p>
    <w:p>
      <w:pPr>
        <w:ind w:left="640" w:hanging="320"/>
        <w:spacing w:after="0" w:line="288" w:lineRule="auto"/>
        <w:tabs>
          <w:tab w:leader="none" w:pos="635"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significant portion of our total outstanding shares may be issued and/or sold into the market in the near future. This would result in dilution to existing shareholders and could cause the market price of our shares of common stock to drop significantly, even if our business is doing well.</w:t>
      </w:r>
    </w:p>
    <w:p>
      <w:pPr>
        <w:spacing w:after="0" w:line="161" w:lineRule="exact"/>
        <w:rPr>
          <w:rFonts w:ascii="Arial" w:cs="Arial" w:eastAsia="Arial" w:hAnsi="Arial"/>
          <w:sz w:val="16"/>
          <w:szCs w:val="16"/>
          <w:color w:val="auto"/>
        </w:rPr>
      </w:pPr>
    </w:p>
    <w:p>
      <w:pPr>
        <w:jc w:val="both"/>
        <w:ind w:left="640" w:hanging="320"/>
        <w:spacing w:after="0" w:line="272" w:lineRule="auto"/>
        <w:tabs>
          <w:tab w:leader="none" w:pos="63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amend the terms of our public and private warrants in a manner that may be adverse to holders with the approval by the holders of at least 65% of then outstanding public warrants. As a result, the exercise price of your warrants could be increased, the exercise period could be shortened and the number of common stock purchasable upon exercise of a warrant could be decreased, all without the approval of all securityholders.</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jc w:val="both"/>
        <w:ind w:left="640" w:hanging="320"/>
        <w:spacing w:after="0" w:line="24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91" w:lineRule="exact"/>
        <w:rPr>
          <w:rFonts w:ascii="Arial" w:cs="Arial" w:eastAsia="Arial" w:hAnsi="Arial"/>
          <w:sz w:val="17"/>
          <w:szCs w:val="17"/>
          <w:color w:val="auto"/>
        </w:rPr>
      </w:pPr>
    </w:p>
    <w:p>
      <w:pPr>
        <w:ind w:left="640" w:hanging="320"/>
        <w:spacing w:after="0" w:line="25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and will continue to incur increased costs as a result of operating as a public company and our management has and will continue to devote a substantial amount of time to new compliance initiatives.</w:t>
      </w:r>
    </w:p>
    <w:p>
      <w:pPr>
        <w:spacing w:after="0" w:line="184" w:lineRule="exact"/>
        <w:rPr>
          <w:rFonts w:ascii="Arial" w:cs="Arial" w:eastAsia="Arial" w:hAnsi="Arial"/>
          <w:sz w:val="17"/>
          <w:szCs w:val="17"/>
          <w:color w:val="auto"/>
        </w:rPr>
      </w:pPr>
    </w:p>
    <w:p>
      <w:pPr>
        <w:ind w:left="640" w:hanging="320"/>
        <w:spacing w:after="0" w:line="273"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failure to timely and effectively implement controls and procedures required by Section 404(a) of the Sarbanes-Oxley Act could have a material adverse effect on our business.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43" w:lineRule="exact"/>
        <w:rPr>
          <w:sz w:val="20"/>
          <w:szCs w:val="20"/>
          <w:color w:val="auto"/>
        </w:rPr>
      </w:pPr>
    </w:p>
    <w:p>
      <w:pPr>
        <w:jc w:val="both"/>
        <w:ind w:firstLine="315"/>
        <w:spacing w:after="0" w:line="342" w:lineRule="auto"/>
        <w:rPr>
          <w:sz w:val="20"/>
          <w:szCs w:val="20"/>
          <w:color w:val="auto"/>
        </w:rPr>
      </w:pPr>
      <w:r>
        <w:rPr>
          <w:rFonts w:ascii="Arial" w:cs="Arial" w:eastAsia="Arial" w:hAnsi="Arial"/>
          <w:sz w:val="15"/>
          <w:szCs w:val="15"/>
          <w:b w:val="1"/>
          <w:bCs w:val="1"/>
          <w:i w:val="1"/>
          <w:iCs w:val="1"/>
          <w:color w:val="auto"/>
        </w:rPr>
        <w:t>We have a relatively short operating history in a rapidly evolving industry, which makes it difficult to evaluate our future prospects and may increase the risk that we will not be successful. As our costs increase, we may not be able to generate sufficient revenue to maintain profitability in the future.</w:t>
      </w:r>
    </w:p>
    <w:p>
      <w:pPr>
        <w:spacing w:after="0" w:line="138"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We have a relatively short operating history in a quickly evolving industry that may not develop as we anticipate, if at all. Both our relatively short operating history and the pace of dramatic change in the cannabis industry, and the complex regulatory regime applicable to it, makes it difficult to assess our future prospects, and you should evaluate our business in light of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901" w:right="339" w:bottom="1440" w:gutter="0" w:footer="0" w:header="0"/>
        </w:sectPr>
      </w:pPr>
    </w:p>
    <w:bookmarkStart w:id="42" w:name="page43"/>
    <w:bookmarkEnd w:id="42"/>
    <w:p>
      <w:pPr>
        <w:jc w:val="both"/>
        <w:spacing w:after="0" w:line="245" w:lineRule="auto"/>
        <w:rPr>
          <w:sz w:val="20"/>
          <w:szCs w:val="20"/>
          <w:color w:val="auto"/>
        </w:rPr>
      </w:pPr>
      <w:r>
        <w:rPr>
          <w:rFonts w:ascii="Arial" w:cs="Arial" w:eastAsia="Arial" w:hAnsi="Arial"/>
          <w:sz w:val="17"/>
          <w:szCs w:val="17"/>
          <w:color w:val="auto"/>
        </w:rPr>
        <w:t>risks and difficulties we may encounter as the industry continues to evolve. While our revenue has grown in recent periods, this growth may not be sustainable due to a number of factors, including the maturation of our business, increased competition and the eventual decline in the number of new major geographic markets in which the sale of cannabis is permitted and to which we have not already expanded. We may not be able to generate sufficient revenue to achieve and sustain profitability. Additionally, we expect our costs to increase in future periods as we expend substantial financial and other resources on, among other things:</w:t>
      </w:r>
    </w:p>
    <w:p>
      <w:pPr>
        <w:spacing w:after="0" w:line="235" w:lineRule="exact"/>
        <w:rPr>
          <w:sz w:val="20"/>
          <w:szCs w:val="20"/>
          <w:color w:val="auto"/>
        </w:rPr>
      </w:pPr>
    </w:p>
    <w:p>
      <w:pPr>
        <w:ind w:left="620" w:hanging="300"/>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7"/>
          <w:szCs w:val="17"/>
          <w:color w:val="auto"/>
        </w:rPr>
        <w:t>sales and marketing, including continued investment in our current marketing efforts and future marketing initiatives;</w:t>
      </w:r>
    </w:p>
    <w:p>
      <w:pPr>
        <w:spacing w:after="0" w:line="240" w:lineRule="exact"/>
        <w:rPr>
          <w:rFonts w:ascii="Arial" w:cs="Arial" w:eastAsia="Arial" w:hAnsi="Arial"/>
          <w:sz w:val="19"/>
          <w:szCs w:val="19"/>
          <w:color w:val="auto"/>
        </w:rPr>
      </w:pPr>
    </w:p>
    <w:p>
      <w:pPr>
        <w:ind w:left="620" w:hanging="300"/>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7"/>
          <w:szCs w:val="17"/>
          <w:color w:val="auto"/>
        </w:rPr>
        <w:t>successfully compete with existing and future providers of other forms of marketing and customer engagement;</w:t>
      </w:r>
    </w:p>
    <w:p>
      <w:pPr>
        <w:spacing w:after="0" w:line="214" w:lineRule="exact"/>
        <w:rPr>
          <w:rFonts w:ascii="Arial" w:cs="Arial" w:eastAsia="Arial" w:hAnsi="Arial"/>
          <w:sz w:val="19"/>
          <w:szCs w:val="19"/>
          <w:color w:val="auto"/>
        </w:rPr>
      </w:pPr>
    </w:p>
    <w:p>
      <w:pPr>
        <w:ind w:left="640" w:hanging="320"/>
        <w:spacing w:after="0" w:line="257"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executing our growth strategy;</w:t>
      </w:r>
    </w:p>
    <w:p>
      <w:pPr>
        <w:spacing w:after="0" w:line="263"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7"/>
          <w:szCs w:val="17"/>
          <w:color w:val="auto"/>
        </w:rPr>
        <w:t>hire, integrate and retain talented sales and other personnel;</w:t>
      </w:r>
    </w:p>
    <w:p>
      <w:pPr>
        <w:spacing w:after="0" w:line="201" w:lineRule="exact"/>
        <w:rPr>
          <w:rFonts w:ascii="Arial" w:cs="Arial" w:eastAsia="Arial" w:hAnsi="Arial"/>
          <w:sz w:val="19"/>
          <w:szCs w:val="19"/>
          <w:color w:val="auto"/>
        </w:rPr>
      </w:pPr>
    </w:p>
    <w:p>
      <w:pPr>
        <w:ind w:left="620" w:hanging="300"/>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expansion domestically and internationally in an effort to increase our client usage, client base, retail locations we serve, and our sales to our clients;</w:t>
      </w:r>
    </w:p>
    <w:p>
      <w:pPr>
        <w:spacing w:after="0" w:line="248" w:lineRule="exact"/>
        <w:rPr>
          <w:rFonts w:ascii="Arial" w:cs="Arial" w:eastAsia="Arial" w:hAnsi="Arial"/>
          <w:sz w:val="16"/>
          <w:szCs w:val="16"/>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development of new products and services, and increased investment in the ongoing development of our existing products and services;</w:t>
      </w:r>
    </w:p>
    <w:p>
      <w:pPr>
        <w:spacing w:after="0" w:line="224"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continuing to invest in scaling our business, particularly around client success and engineering;</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avoiding interruptions or disruptions in our platform or services; and</w:t>
      </w:r>
    </w:p>
    <w:p>
      <w:pPr>
        <w:spacing w:after="0" w:line="210" w:lineRule="exact"/>
        <w:rPr>
          <w:rFonts w:ascii="Arial" w:cs="Arial" w:eastAsia="Arial" w:hAnsi="Arial"/>
          <w:sz w:val="17"/>
          <w:szCs w:val="17"/>
          <w:color w:val="auto"/>
        </w:rPr>
      </w:pPr>
    </w:p>
    <w:p>
      <w:pPr>
        <w:ind w:left="640" w:hanging="320"/>
        <w:spacing w:after="0" w:line="288"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16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8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If we do not successfully develop and deploy new software, platform features or services to address the needs of our clients, our business, financial condition, and results of operations could suffer.</w:t>
      </w:r>
    </w:p>
    <w:p>
      <w:pPr>
        <w:spacing w:after="0" w:line="185"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6"/>
          <w:szCs w:val="16"/>
          <w:color w:val="auto"/>
        </w:rPr>
        <w:t>Our success has been based on our ability to design software, platform features and services that address the needs of our clients. We spend substantial amounts of time and money researching and developing new technologies and enhanced versions of existing platform features, as well as new features, to meet our clients’ rapidly evolving needs. As consumers and clients demand comprehensive data analysis from platforms such as us, in conjunction with their point-of-sale providers, our ability to integrate with a client’s POS system and other third party technology integrations may become increasingly important. If we are unable to arrange or complete new integrations, or improve our existing integrations, we may lose market share to competitors. There is no assurance that enhancements to our software, platform features or new services or capabilities will be compelling to our clients or gain market acceptance. If our research and development investments do not accurately anticipate market demand or if we fail to develop our software, platform features or services in a manner that satisfies client preferences in a timely and cost-effective manner, we may fail to retain our existing clients or increase demand for our services.</w:t>
      </w:r>
    </w:p>
    <w:p>
      <w:pPr>
        <w:spacing w:after="0" w:line="196" w:lineRule="exact"/>
        <w:rPr>
          <w:sz w:val="20"/>
          <w:szCs w:val="20"/>
          <w:color w:val="auto"/>
        </w:rPr>
      </w:pPr>
    </w:p>
    <w:p>
      <w:pPr>
        <w:jc w:val="both"/>
        <w:ind w:firstLine="315"/>
        <w:spacing w:after="0" w:line="282" w:lineRule="auto"/>
        <w:rPr>
          <w:sz w:val="20"/>
          <w:szCs w:val="20"/>
          <w:color w:val="auto"/>
        </w:rPr>
      </w:pPr>
      <w:r>
        <w:rPr>
          <w:rFonts w:ascii="Arial" w:cs="Arial" w:eastAsia="Arial" w:hAnsi="Arial"/>
          <w:sz w:val="15"/>
          <w:szCs w:val="15"/>
          <w:color w:val="auto"/>
        </w:rPr>
        <w:t>The introduction of new products and services by competitors or the development of entirely new technologies to replace existing service offerings could make our platforms obsolete or adversely affect our business, financial condition, and results of operations. We may experience difficulties with software development, design, or marketing that delay or prevent our development, introduction or implementation of new platforms, platform features or capabilities, or cause errors to arise with our existing software. We have in the past experienced delays in our internally planned release dates of new features and capabilities, and there can be no assurance that new platforms, platform features, or capabilities will be released according to schedule. Any delays or other disruptions could result in adverse publicity, loss of revenue or market acceptance, or claims by consumers or suppliers brought against us, any of which could harm our business. Moreover, the design and development of new platforms or new platform features and capabilities to our existing platform may require substantial investment, and we have no assurance that such investments will be successful. If consumers in the market do not widely adopt our new platforms, platform features, and capabilities, we may not be able to realize a return on our investment and our business, financial condition, and results of operations may be adversely affected.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861" w:right="339" w:bottom="1440" w:gutter="0" w:footer="0" w:header="0"/>
        </w:sectPr>
      </w:pPr>
    </w:p>
    <w:bookmarkStart w:id="43" w:name="page44"/>
    <w:bookmarkEnd w:id="43"/>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172"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6"/>
          <w:szCs w:val="16"/>
          <w:color w:val="auto"/>
        </w:rPr>
        <w:t>We compete in a dynamic, innovative, and fairly new market, which we expect will continue to evolve rapidly. We believe that our success is dependent on our ability to continue identifying and anticipating the needs of our clients and, in turn, their consumers, and retaining our existing clients and adding new clients. While we have historically been able to grow and retain our client base, we may grow more slowly than we expect or than we have grown in the past. Our ability to retain clients depends in part on our ability to create and maintain high levels of client satisfaction, which we may not always be capable of providing, including for reasons outside of our control. Any decrease in client satisfaction or other change negatively affecting our ability to retain clients could result in a rapid, concentrated impact to our results going forward. Therefore, our failure to retain existing clients, even if such losses are offset by an increase in revenue resulting from the acquisition of new clients, could have an adverse effect on our business and operating results.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fail to expand effectively into new markets, our revenue and business will be adversely affected.</w:t>
      </w:r>
    </w:p>
    <w:p>
      <w:pPr>
        <w:spacing w:after="0" w:line="237"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6"/>
          <w:szCs w:val="16"/>
          <w:color w:val="auto"/>
        </w:rPr>
        <w:t>While a key part of our business strategy is to add clients in our existing geographic markets, we intend to expand our operations into new markets if and as cannabis continues to be legalized in new markets.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have a history of losses and may not achieve profitability in the future.</w:t>
      </w:r>
    </w:p>
    <w:p>
      <w:pPr>
        <w:spacing w:after="0" w:line="237"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SpringBig is an early-stage company with a history of losses. SpringBig may not achieve or maintain profitability in the future. We may continue to incur net losses in the future, and such losses may fluctuate significantly from quarter to quarter. We will need to generate and sustain significant revenue for our business generally, and achieve greater scale and generate greater operating cash flows from our customer contracts in particular, in future periods in order to achieve and maintain profitability. We also expect general and administrative expenses to increase to meet the increased compliance and other requirements associated with operating as a public company and evolving regulatory requirements.</w:t>
      </w:r>
    </w:p>
    <w:p>
      <w:pPr>
        <w:spacing w:after="0" w:line="206"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Our efforts to grow our business may be more costly than we expect, and we may not be able to increase our revenue sufficiently to offset our higher operating expenses. We may continue to incur significant losses, and we may not achieve or maintain future profitability, due to a number of reasons, including the risks described in this report, unforeseen expenses, difficulties, complications and delays, and other unknown events. Furthermore, if our future growth and operating performance fail to meet investor or analyst expectations, or if we have future negative cash flow or losses resulting from our investment in acquiring customers or expanding our operations, this could make it difficult for you to evaluate our current business and our future prospects and may have a material adverse effect on our business, financial condition and results of operations.</w:t>
      </w:r>
    </w:p>
    <w:p>
      <w:pPr>
        <w:spacing w:after="0" w:line="211"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98"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6"/>
          <w:szCs w:val="16"/>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196"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Further, to the extent any law enforcement actions require us to respond to subpoenas, or undergo search warrants, for client records, cannabis businesses could elect to cease using our products and services. Until the U.S. federal government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097" w:right="339" w:bottom="1440" w:gutter="0" w:footer="0" w:header="0"/>
        </w:sectPr>
      </w:pPr>
    </w:p>
    <w:bookmarkStart w:id="44" w:name="page45"/>
    <w:bookmarkEnd w:id="44"/>
    <w:p>
      <w:pPr>
        <w:jc w:val="both"/>
        <w:spacing w:after="0" w:line="246" w:lineRule="auto"/>
        <w:rPr>
          <w:sz w:val="20"/>
          <w:szCs w:val="20"/>
          <w:color w:val="auto"/>
        </w:rPr>
      </w:pPr>
      <w:r>
        <w:rPr>
          <w:rFonts w:ascii="Arial" w:cs="Arial" w:eastAsia="Arial" w:hAnsi="Arial"/>
          <w:sz w:val="17"/>
          <w:szCs w:val="17"/>
          <w:color w:val="auto"/>
        </w:rPr>
        <w:t>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208"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b w:val="1"/>
          <w:bCs w:val="1"/>
          <w:i w:val="1"/>
          <w:iCs w:val="1"/>
          <w:color w:val="auto"/>
        </w:rPr>
        <w:t>Some of our clients currently and in the future may not be in compliance with licensing and related requirements under applicable laws and regulations.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206"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While we have instituted policies and procedures in connection with the verification and periodic screening of the licensing status of our clients operating cannabis retail businesses (and our contracts with clients generally provide for client representations relating to compliance, termination of services in the case of client noncompliance, and client indemnification obligations), some of our clients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spacing w:after="0" w:line="206"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Any legal or regulatory enforcement against us based on our platform, the content provided by clients, the marketing campaigns created by clients on our platform or noncompliance by our clients with licensing and other legal requirements, could subject us to various risks, including monetary penalties and/or required changes to our platform or business model, and would likely cause us to experience negative publicity. Any of these developments could materially and adversely impact our business, operating results, financial condition, brand, and reputation.</w:t>
      </w:r>
    </w:p>
    <w:p>
      <w:pPr>
        <w:spacing w:after="0" w:line="208"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b w:val="1"/>
          <w:bCs w:val="1"/>
          <w:i w:val="1"/>
          <w:iCs w:val="1"/>
          <w:color w:val="auto"/>
        </w:rPr>
        <w:t>We generally do not, and cannot, ensure that our clients will conduct their business activities in a manner compliant with the complex, disparate and constantly evolving regulations and requirements affecting the legal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202"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While our solutions provide features to support our clients’ compliance with certain regulations and other legal requirements applicable to the cannabis industry, and we have policies and procedures regarding the verification and periodic screening of the licensing status of our clients, we generally do not, and cannot, ensure that at all times our clients will conduct their business activities in a manner compliant with such regulations and requirements, in whole or in part. Their legal noncompliance could result in regulatory and even criminal actions against them, which could lead to a material adverse impact on our business and operating results or financial condition, and as a result, our investors could lose their entire investment. For additional information, see the other risk factors in this section, including “Some of our clients currently and in the future may not be in compliance with licensing and related requirements under applicable laws and regulations.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9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Our business is dependent on U.S. state laws and regulations and Canadian federal and provincial laws and regulations pertaining to the cannabis industry.</w:t>
      </w:r>
    </w:p>
    <w:p>
      <w:pPr>
        <w:spacing w:after="0" w:line="185"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861" w:right="339" w:bottom="1440" w:gutter="0" w:footer="0" w:header="0"/>
        </w:sectPr>
      </w:pPr>
    </w:p>
    <w:bookmarkStart w:id="45" w:name="page46"/>
    <w:bookmarkEnd w:id="45"/>
    <w:p>
      <w:pPr>
        <w:jc w:val="both"/>
        <w:spacing w:after="0" w:line="273" w:lineRule="auto"/>
        <w:rPr>
          <w:sz w:val="20"/>
          <w:szCs w:val="20"/>
          <w:color w:val="auto"/>
        </w:rPr>
      </w:pPr>
      <w:r>
        <w:rPr>
          <w:rFonts w:ascii="Arial" w:cs="Arial" w:eastAsia="Arial" w:hAnsi="Arial"/>
          <w:sz w:val="17"/>
          <w:szCs w:val="17"/>
          <w:color w:val="auto"/>
        </w:rPr>
        <w:t>available interpretation, application and enforcement of the provisions that may be relevant to digital platforms such as ours, and as a result, it is difficult to assess our potential exposure under the Cannabis Act.</w:t>
      </w:r>
    </w:p>
    <w:p>
      <w:pPr>
        <w:spacing w:after="0" w:line="172"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210"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Given the concentration of our revenue from the sale of access to our platforms and services,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202"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20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185"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The cannabis industry − and the complex regulatory regime applicable to it − is evolving rapidly and may develop in ways that we cannot anticipate. The recently accelerated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206" w:lineRule="exact"/>
        <w:rPr>
          <w:sz w:val="20"/>
          <w:szCs w:val="20"/>
          <w:color w:val="auto"/>
        </w:rPr>
      </w:pPr>
    </w:p>
    <w:p>
      <w:pPr>
        <w:ind w:left="640" w:hanging="320"/>
        <w:spacing w:after="0" w:line="242" w:lineRule="auto"/>
        <w:tabs>
          <w:tab w:leader="none" w:pos="628" w:val="left"/>
        </w:tabs>
        <w:numPr>
          <w:ilvl w:val="0"/>
          <w:numId w:val="12"/>
        </w:numPr>
        <w:rPr>
          <w:rFonts w:ascii="Arial" w:cs="Arial" w:eastAsia="Arial" w:hAnsi="Arial"/>
          <w:sz w:val="19"/>
          <w:szCs w:val="19"/>
          <w:color w:val="auto"/>
        </w:rPr>
      </w:pPr>
      <w:r>
        <w:rPr>
          <w:rFonts w:ascii="Arial" w:cs="Arial" w:eastAsia="Arial" w:hAnsi="Arial"/>
          <w:sz w:val="17"/>
          <w:szCs w:val="17"/>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2" w:lineRule="exact"/>
        <w:rPr>
          <w:rFonts w:ascii="Arial" w:cs="Arial" w:eastAsia="Arial" w:hAnsi="Arial"/>
          <w:sz w:val="19"/>
          <w:szCs w:val="19"/>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6"/>
          <w:szCs w:val="16"/>
          <w:color w:val="auto"/>
        </w:rPr>
        <w:t>adapting to rapidly evolving trends in the cannabis industry and the way consumers and cannabis industry businesses interact with technology;</w:t>
      </w:r>
    </w:p>
    <w:p>
      <w:pPr>
        <w:spacing w:after="0" w:line="28" w:lineRule="exact"/>
        <w:rPr>
          <w:rFonts w:ascii="Arial" w:cs="Arial" w:eastAsia="Arial" w:hAnsi="Arial"/>
          <w:sz w:val="17"/>
          <w:szCs w:val="17"/>
          <w:color w:val="auto"/>
        </w:rPr>
      </w:pPr>
    </w:p>
    <w:p>
      <w:pPr>
        <w:ind w:left="620" w:hanging="300"/>
        <w:spacing w:after="0" w:line="228" w:lineRule="auto"/>
        <w:tabs>
          <w:tab w:leader="none" w:pos="620" w:val="left"/>
        </w:tabs>
        <w:numPr>
          <w:ilvl w:val="0"/>
          <w:numId w:val="12"/>
        </w:numPr>
        <w:rPr>
          <w:rFonts w:ascii="Arial" w:cs="Arial" w:eastAsia="Arial" w:hAnsi="Arial"/>
          <w:sz w:val="19"/>
          <w:szCs w:val="19"/>
          <w:color w:val="auto"/>
        </w:rPr>
      </w:pPr>
      <w:r>
        <w:rPr>
          <w:rFonts w:ascii="Arial" w:cs="Arial" w:eastAsia="Arial" w:hAnsi="Arial"/>
          <w:sz w:val="17"/>
          <w:szCs w:val="17"/>
          <w:color w:val="auto"/>
        </w:rPr>
        <w:t>maintaining and increasing our base of clients;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2"/>
        </w:numPr>
        <w:rPr>
          <w:rFonts w:ascii="Arial" w:cs="Arial" w:eastAsia="Arial" w:hAnsi="Arial"/>
          <w:sz w:val="19"/>
          <w:szCs w:val="19"/>
          <w:color w:val="auto"/>
        </w:rPr>
      </w:pPr>
      <w:r>
        <w:rPr>
          <w:rFonts w:ascii="Arial" w:cs="Arial" w:eastAsia="Arial" w:hAnsi="Arial"/>
          <w:sz w:val="17"/>
          <w:szCs w:val="17"/>
          <w:color w:val="auto"/>
        </w:rPr>
        <w:t>continuing to preserve and build our brand while upgrading our existing offerings;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2"/>
        </w:numPr>
        <w:rPr>
          <w:rFonts w:ascii="Arial" w:cs="Arial" w:eastAsia="Arial" w:hAnsi="Arial"/>
          <w:sz w:val="19"/>
          <w:szCs w:val="19"/>
          <w:color w:val="auto"/>
        </w:rPr>
      </w:pPr>
      <w:r>
        <w:rPr>
          <w:rFonts w:ascii="Arial" w:cs="Arial" w:eastAsia="Arial" w:hAnsi="Arial"/>
          <w:sz w:val="17"/>
          <w:szCs w:val="17"/>
          <w:color w:val="auto"/>
        </w:rPr>
        <w:t>successfully competing with existing and future participants in the cannabis marketing and advertisement market and related services;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2"/>
        </w:numPr>
        <w:rPr>
          <w:rFonts w:ascii="Arial" w:cs="Arial" w:eastAsia="Arial" w:hAnsi="Arial"/>
          <w:sz w:val="19"/>
          <w:szCs w:val="19"/>
          <w:color w:val="auto"/>
        </w:rPr>
      </w:pPr>
      <w:r>
        <w:rPr>
          <w:rFonts w:ascii="Arial" w:cs="Arial" w:eastAsia="Arial" w:hAnsi="Arial"/>
          <w:sz w:val="17"/>
          <w:szCs w:val="17"/>
          <w:color w:val="auto"/>
        </w:rPr>
        <w:t>successfully attracting, hiring, and retaining qualified personnel to manage operations;</w:t>
      </w:r>
    </w:p>
    <w:p>
      <w:pPr>
        <w:spacing w:after="0" w:line="6" w:lineRule="exact"/>
        <w:rPr>
          <w:rFonts w:ascii="Arial" w:cs="Arial" w:eastAsia="Arial" w:hAnsi="Arial"/>
          <w:sz w:val="19"/>
          <w:szCs w:val="19"/>
          <w:color w:val="auto"/>
        </w:rPr>
      </w:pPr>
    </w:p>
    <w:p>
      <w:pPr>
        <w:ind w:left="640" w:hanging="320"/>
        <w:spacing w:after="0" w:line="239" w:lineRule="auto"/>
        <w:tabs>
          <w:tab w:leader="none" w:pos="628" w:val="left"/>
        </w:tabs>
        <w:numPr>
          <w:ilvl w:val="0"/>
          <w:numId w:val="12"/>
        </w:numPr>
        <w:rPr>
          <w:rFonts w:ascii="Arial" w:cs="Arial" w:eastAsia="Arial" w:hAnsi="Arial"/>
          <w:sz w:val="19"/>
          <w:szCs w:val="19"/>
          <w:color w:val="auto"/>
        </w:rPr>
      </w:pPr>
      <w:r>
        <w:rPr>
          <w:rFonts w:ascii="Arial" w:cs="Arial" w:eastAsia="Arial" w:hAnsi="Arial"/>
          <w:sz w:val="17"/>
          <w:szCs w:val="17"/>
          <w:color w:val="auto"/>
        </w:rPr>
        <w:t>adapting to changes in the cannabis industry if the sale of cannabis expands significantly beyond a regulated model, and commodification of the cannabis industry;</w:t>
      </w:r>
    </w:p>
    <w:p>
      <w:pPr>
        <w:spacing w:after="0" w:line="2" w:lineRule="exact"/>
        <w:rPr>
          <w:rFonts w:ascii="Arial" w:cs="Arial" w:eastAsia="Arial" w:hAnsi="Arial"/>
          <w:sz w:val="19"/>
          <w:szCs w:val="19"/>
          <w:color w:val="auto"/>
        </w:rPr>
      </w:pPr>
    </w:p>
    <w:p>
      <w:pPr>
        <w:ind w:left="620" w:hanging="300"/>
        <w:spacing w:after="0"/>
        <w:tabs>
          <w:tab w:leader="none" w:pos="620" w:val="left"/>
        </w:tabs>
        <w:numPr>
          <w:ilvl w:val="0"/>
          <w:numId w:val="12"/>
        </w:numPr>
        <w:rPr>
          <w:rFonts w:ascii="Arial" w:cs="Arial" w:eastAsia="Arial" w:hAnsi="Arial"/>
          <w:sz w:val="19"/>
          <w:szCs w:val="19"/>
          <w:color w:val="auto"/>
        </w:rPr>
      </w:pPr>
      <w:r>
        <w:rPr>
          <w:rFonts w:ascii="Arial" w:cs="Arial" w:eastAsia="Arial" w:hAnsi="Arial"/>
          <w:sz w:val="17"/>
          <w:szCs w:val="17"/>
          <w:color w:val="auto"/>
        </w:rPr>
        <w:t>successfully implementing and executing our business and marketing strategies;</w:t>
      </w:r>
    </w:p>
    <w:p>
      <w:pPr>
        <w:spacing w:after="0" w:line="9"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2"/>
        </w:numPr>
        <w:rPr>
          <w:rFonts w:ascii="Arial" w:cs="Arial" w:eastAsia="Arial" w:hAnsi="Arial"/>
          <w:sz w:val="19"/>
          <w:szCs w:val="19"/>
          <w:color w:val="auto"/>
        </w:rPr>
      </w:pPr>
      <w:r>
        <w:rPr>
          <w:rFonts w:ascii="Arial" w:cs="Arial" w:eastAsia="Arial" w:hAnsi="Arial"/>
          <w:sz w:val="17"/>
          <w:szCs w:val="17"/>
          <w:color w:val="auto"/>
        </w:rPr>
        <w:t>successfully expanding our business into new and existing cannabis markets; and</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2"/>
        </w:numPr>
        <w:rPr>
          <w:rFonts w:ascii="Arial" w:cs="Arial" w:eastAsia="Arial" w:hAnsi="Arial"/>
          <w:sz w:val="19"/>
          <w:szCs w:val="19"/>
          <w:color w:val="auto"/>
        </w:rPr>
      </w:pPr>
      <w:r>
        <w:rPr>
          <w:rFonts w:ascii="Arial" w:cs="Arial" w:eastAsia="Arial" w:hAnsi="Arial"/>
          <w:sz w:val="17"/>
          <w:szCs w:val="17"/>
          <w:color w:val="auto"/>
        </w:rPr>
        <w:t>successfully executing on our growth strategies.</w:t>
      </w:r>
    </w:p>
    <w:p>
      <w:pPr>
        <w:spacing w:after="0" w:line="211"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If the demand for our platform and software solutions does not develop as we expect, or if we fail to address the needs of our clients or our client’s consumers, our business will be harmed. We may not be able to successfully address these risks and difficulties, which could harm our business and operating results.</w:t>
      </w:r>
    </w:p>
    <w:p>
      <w:pPr>
        <w:spacing w:after="0" w:line="198"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b w:val="1"/>
          <w:bCs w:val="1"/>
          <w:i w:val="1"/>
          <w:iCs w:val="1"/>
          <w:color w:val="auto"/>
        </w:rPr>
        <w:t>Because our business is dependent, in part, upon continued market acceptance of cannabis by consumers, any negative trends in the market could adversely affect our business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861" w:right="339" w:bottom="1440" w:gutter="0" w:footer="0" w:header="0"/>
        </w:sectPr>
      </w:pPr>
    </w:p>
    <w:bookmarkStart w:id="46" w:name="page47"/>
    <w:bookmarkEnd w:id="46"/>
    <w:p>
      <w:pPr>
        <w:jc w:val="both"/>
        <w:ind w:firstLine="315"/>
        <w:spacing w:after="0" w:line="249"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Expansion of our business is dependent on the continued legalization of cannabis.</w:t>
      </w:r>
    </w:p>
    <w:p>
      <w:pPr>
        <w:spacing w:after="0" w:line="237"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w:t>
      </w:r>
    </w:p>
    <w:p>
      <w:pPr>
        <w:spacing w:after="0" w:line="206"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w:t>
      </w:r>
    </w:p>
    <w:p>
      <w:pPr>
        <w:spacing w:after="0" w:line="180"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Our business is highly dependent upon our brand recognition and reputation, and any erosion or degradation of our brand recognition or reputation would likely adversely affect our business and operating results.</w:t>
      </w:r>
    </w:p>
    <w:p>
      <w:pPr>
        <w:spacing w:after="0" w:line="185"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We believe that our business is highly dependent on the SpringBig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235" w:lineRule="exact"/>
        <w:rPr>
          <w:sz w:val="20"/>
          <w:szCs w:val="20"/>
          <w:color w:val="auto"/>
        </w:rPr>
      </w:pPr>
    </w:p>
    <w:p>
      <w:pPr>
        <w:ind w:left="620" w:hanging="300"/>
        <w:spacing w:after="0"/>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the efficacy of our marketing efforts;</w:t>
      </w:r>
    </w:p>
    <w:p>
      <w:pPr>
        <w:spacing w:after="0" w:line="9"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our ability to maintain a high-quality, innovative, and error- and bug-free platform and similarly high quality client service;</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our ability to maintain high satisfaction among clients (and our clients’ consumers);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the quality and perceived value of our platforms and services;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successfully implementing and developing new features and revenue streams;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our ability to obtain, maintain and enforce trademarks and other indicia of origin that are valuable to our brand;</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our ability to successfully differentiate our platforms and services from competitors’ offerings;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our ability to integrate with POS systems;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our ability to provide our clients with accurate and actionable insights from the consumer data and feedback collected through our platform;</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our compliance with laws and regulations;</w:t>
      </w:r>
    </w:p>
    <w:p>
      <w:pPr>
        <w:spacing w:after="0" w:line="2" w:lineRule="exact"/>
        <w:rPr>
          <w:rFonts w:ascii="Arial" w:cs="Arial" w:eastAsia="Arial" w:hAnsi="Arial"/>
          <w:sz w:val="19"/>
          <w:szCs w:val="19"/>
          <w:color w:val="auto"/>
        </w:rPr>
      </w:pPr>
    </w:p>
    <w:p>
      <w:pPr>
        <w:ind w:left="620" w:hanging="300"/>
        <w:spacing w:after="0" w:line="22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our ability to address any environmental, social, and governance expectations of our various stakeholders;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our ability to provide client support; and</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any actual or perceived data breach or data loss, or misuse or perceived misuse of our platforms.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brand recognition and reputation may be affected by factors that are outside our control, such as:</w:t>
      </w:r>
    </w:p>
    <w:p>
      <w:pPr>
        <w:spacing w:after="0" w:line="27" w:lineRule="exact"/>
        <w:rPr>
          <w:sz w:val="20"/>
          <w:szCs w:val="20"/>
          <w:color w:val="auto"/>
        </w:rPr>
      </w:pPr>
    </w:p>
    <w:p>
      <w:pPr>
        <w:ind w:left="620" w:hanging="300"/>
        <w:spacing w:after="0"/>
        <w:tabs>
          <w:tab w:leader="none" w:pos="620" w:val="left"/>
        </w:tabs>
        <w:numPr>
          <w:ilvl w:val="0"/>
          <w:numId w:val="14"/>
        </w:numPr>
        <w:rPr>
          <w:rFonts w:ascii="Arial" w:cs="Arial" w:eastAsia="Arial" w:hAnsi="Arial"/>
          <w:sz w:val="19"/>
          <w:szCs w:val="19"/>
          <w:color w:val="auto"/>
        </w:rPr>
      </w:pPr>
      <w:r>
        <w:rPr>
          <w:rFonts w:ascii="Arial" w:cs="Arial" w:eastAsia="Arial" w:hAnsi="Arial"/>
          <w:sz w:val="17"/>
          <w:szCs w:val="17"/>
          <w:color w:val="auto"/>
        </w:rPr>
        <w:t>actions of competitors or other third parties;</w:t>
      </w:r>
    </w:p>
    <w:p>
      <w:pPr>
        <w:spacing w:after="0" w:line="9"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4"/>
        </w:numPr>
        <w:rPr>
          <w:rFonts w:ascii="Arial" w:cs="Arial" w:eastAsia="Arial" w:hAnsi="Arial"/>
          <w:sz w:val="19"/>
          <w:szCs w:val="19"/>
          <w:color w:val="auto"/>
        </w:rPr>
      </w:pPr>
      <w:r>
        <w:rPr>
          <w:rFonts w:ascii="Arial" w:cs="Arial" w:eastAsia="Arial" w:hAnsi="Arial"/>
          <w:sz w:val="17"/>
          <w:szCs w:val="17"/>
          <w:color w:val="auto"/>
        </w:rPr>
        <w:t>consumers’ experiences with retailers or brands using our platform;</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4"/>
        </w:numPr>
        <w:rPr>
          <w:rFonts w:ascii="Arial" w:cs="Arial" w:eastAsia="Arial" w:hAnsi="Arial"/>
          <w:sz w:val="19"/>
          <w:szCs w:val="19"/>
          <w:color w:val="auto"/>
        </w:rPr>
      </w:pPr>
      <w:r>
        <w:rPr>
          <w:rFonts w:ascii="Arial" w:cs="Arial" w:eastAsia="Arial" w:hAnsi="Arial"/>
          <w:sz w:val="17"/>
          <w:szCs w:val="17"/>
          <w:color w:val="auto"/>
        </w:rPr>
        <w:t>public perception of cannabis and cannabis-related businesses;</w:t>
      </w:r>
    </w:p>
    <w:p>
      <w:pPr>
        <w:spacing w:after="0" w:line="6" w:lineRule="exact"/>
        <w:rPr>
          <w:rFonts w:ascii="Arial" w:cs="Arial" w:eastAsia="Arial" w:hAnsi="Arial"/>
          <w:sz w:val="19"/>
          <w:szCs w:val="19"/>
          <w:color w:val="auto"/>
        </w:rPr>
      </w:pPr>
    </w:p>
    <w:p>
      <w:pPr>
        <w:ind w:left="640" w:right="300" w:hanging="320"/>
        <w:spacing w:after="0" w:line="239" w:lineRule="auto"/>
        <w:tabs>
          <w:tab w:leader="none" w:pos="628" w:val="left"/>
        </w:tabs>
        <w:numPr>
          <w:ilvl w:val="0"/>
          <w:numId w:val="14"/>
        </w:numPr>
        <w:rPr>
          <w:rFonts w:ascii="Arial" w:cs="Arial" w:eastAsia="Arial" w:hAnsi="Arial"/>
          <w:sz w:val="19"/>
          <w:szCs w:val="19"/>
          <w:color w:val="auto"/>
        </w:rPr>
      </w:pPr>
      <w:r>
        <w:rPr>
          <w:rFonts w:ascii="Arial" w:cs="Arial" w:eastAsia="Arial" w:hAnsi="Arial"/>
          <w:sz w:val="17"/>
          <w:szCs w:val="17"/>
          <w:color w:val="auto"/>
        </w:rPr>
        <w:t>positive or negative publicity, including with respect to events or activities attributed to us, our employees, partners or others associated with any of these parties;</w:t>
      </w:r>
    </w:p>
    <w:p>
      <w:pPr>
        <w:spacing w:after="0" w:line="2" w:lineRule="exact"/>
        <w:rPr>
          <w:rFonts w:ascii="Arial" w:cs="Arial" w:eastAsia="Arial" w:hAnsi="Arial"/>
          <w:sz w:val="19"/>
          <w:szCs w:val="19"/>
          <w:color w:val="auto"/>
        </w:rPr>
      </w:pPr>
    </w:p>
    <w:p>
      <w:pPr>
        <w:ind w:left="620" w:hanging="300"/>
        <w:spacing w:after="0"/>
        <w:tabs>
          <w:tab w:leader="none" w:pos="620" w:val="left"/>
        </w:tabs>
        <w:numPr>
          <w:ilvl w:val="0"/>
          <w:numId w:val="14"/>
        </w:numPr>
        <w:rPr>
          <w:rFonts w:ascii="Arial" w:cs="Arial" w:eastAsia="Arial" w:hAnsi="Arial"/>
          <w:sz w:val="19"/>
          <w:szCs w:val="19"/>
          <w:color w:val="auto"/>
        </w:rPr>
      </w:pPr>
      <w:r>
        <w:rPr>
          <w:rFonts w:ascii="Arial" w:cs="Arial" w:eastAsia="Arial" w:hAnsi="Arial"/>
          <w:sz w:val="17"/>
          <w:szCs w:val="17"/>
          <w:color w:val="auto"/>
        </w:rPr>
        <w:t>interruptions, delays or attacks on our platforms; and</w:t>
      </w:r>
    </w:p>
    <w:p>
      <w:pPr>
        <w:spacing w:after="0" w:line="9"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4"/>
        </w:numPr>
        <w:rPr>
          <w:rFonts w:ascii="Arial" w:cs="Arial" w:eastAsia="Arial" w:hAnsi="Arial"/>
          <w:sz w:val="19"/>
          <w:szCs w:val="19"/>
          <w:color w:val="auto"/>
        </w:rPr>
      </w:pPr>
      <w:r>
        <w:rPr>
          <w:rFonts w:ascii="Arial" w:cs="Arial" w:eastAsia="Arial" w:hAnsi="Arial"/>
          <w:sz w:val="17"/>
          <w:szCs w:val="17"/>
          <w:color w:val="auto"/>
        </w:rPr>
        <w:t>litigation or regulatory developments.</w:t>
      </w:r>
    </w:p>
    <w:p>
      <w:pPr>
        <w:spacing w:after="0" w:line="211"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861" w:right="339" w:bottom="1440" w:gutter="0" w:footer="0" w:header="0"/>
        </w:sectPr>
      </w:pPr>
    </w:p>
    <w:bookmarkStart w:id="47" w:name="page48"/>
    <w:bookmarkEnd w:id="47"/>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We currently face intense competition in marketing and advertising services available to our clients, and we expect competition to further intensify as the cannabis industry continues to evolve.</w:t>
      </w:r>
    </w:p>
    <w:p>
      <w:pPr>
        <w:spacing w:after="0" w:line="172" w:lineRule="exact"/>
        <w:rPr>
          <w:sz w:val="20"/>
          <w:szCs w:val="20"/>
          <w:color w:val="auto"/>
        </w:rPr>
      </w:pPr>
    </w:p>
    <w:p>
      <w:pPr>
        <w:jc w:val="both"/>
        <w:ind w:firstLine="315"/>
        <w:spacing w:after="0" w:line="259" w:lineRule="auto"/>
        <w:rPr>
          <w:sz w:val="20"/>
          <w:szCs w:val="20"/>
          <w:color w:val="auto"/>
        </w:rPr>
      </w:pPr>
      <w:r>
        <w:rPr>
          <w:rFonts w:ascii="Arial" w:cs="Arial" w:eastAsia="Arial" w:hAnsi="Arial"/>
          <w:sz w:val="16"/>
          <w:szCs w:val="16"/>
          <w:color w:val="auto"/>
        </w:rPr>
        <w:t>The cannabis marketing and software services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CRM and marketing solutions market. Competitors for individual components of our service platforms include businesses both within and outside of the cannabis industry. These include businesses focused on marketing and customer engagement, commerce and POS solutions, and SaaS or other technology solutions for brands and retailers. In addition, if legal market for cannabis becomes more accepted and/or the regulatory regime for cannabis evolves, it may eliminate existing barriers preventing our clients from using traditional marketing and advertising channels. This could result in increased competition in our industry from both products and solutions offered by internet search engines and advertising networks, like Google, social media platforms, like Instagram and Facebook, various other newspaper, television, media companies, outdoor billboard advertising, and online merchant platforms, as well as new participants entering into the cannabis CRM and marketing services market. Such potential competitors may have substantially greater financial, technical, and other resources than existing market participants. Additionally, as consumers and cannabis industry clients demand richer data, integrations with other cannabis industry participants such as point-of-sale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spacing w:after="0" w:line="197" w:lineRule="exact"/>
        <w:rPr>
          <w:sz w:val="20"/>
          <w:szCs w:val="20"/>
          <w:color w:val="auto"/>
        </w:rPr>
      </w:pPr>
    </w:p>
    <w:p>
      <w:pPr>
        <w:jc w:val="both"/>
        <w:ind w:firstLine="315"/>
        <w:spacing w:after="0" w:line="247" w:lineRule="auto"/>
        <w:rPr>
          <w:sz w:val="20"/>
          <w:szCs w:val="20"/>
          <w:color w:val="auto"/>
        </w:rPr>
      </w:pPr>
      <w:r>
        <w:rPr>
          <w:rFonts w:ascii="Arial" w:cs="Arial" w:eastAsia="Arial" w:hAnsi="Arial"/>
          <w:sz w:val="17"/>
          <w:szCs w:val="17"/>
          <w:color w:val="auto"/>
        </w:rPr>
        <w:t>Additionally, as the legalization of cannabis continues, cannabis cultivators, product manufacturers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access to our services and platform and result in decreased margins. Further, heightened competition between cannabis businesses could ultimately have a negative impact on the viability of individual market participants, which could reduce or eliminate their ability to purchase our services and solutions.</w:t>
      </w:r>
    </w:p>
    <w:p>
      <w:pPr>
        <w:spacing w:after="0" w:line="20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fail to manage our growth effectively, our brand, business and operating results could be harmed.</w:t>
      </w:r>
    </w:p>
    <w:p>
      <w:pPr>
        <w:spacing w:after="0" w:line="237" w:lineRule="exact"/>
        <w:rPr>
          <w:sz w:val="20"/>
          <w:szCs w:val="20"/>
          <w:color w:val="auto"/>
        </w:rPr>
      </w:pPr>
    </w:p>
    <w:p>
      <w:pPr>
        <w:jc w:val="both"/>
        <w:ind w:firstLine="315"/>
        <w:spacing w:after="0" w:line="243" w:lineRule="auto"/>
        <w:rPr>
          <w:sz w:val="20"/>
          <w:szCs w:val="20"/>
          <w:color w:val="auto"/>
        </w:rPr>
      </w:pPr>
      <w:r>
        <w:rPr>
          <w:rFonts w:ascii="Arial" w:cs="Arial" w:eastAsia="Arial" w:hAnsi="Arial"/>
          <w:sz w:val="17"/>
          <w:szCs w:val="17"/>
          <w:color w:val="auto"/>
        </w:rPr>
        <w:t>We have experienced rapid organic growth in our operations, which places substantial demands on management and our operational infrastructure. To manage the expected growth of our operations and personnel, we expect we will be required to improve existing, and implement new systems, procedures and controls including, among others, financial and operational systems. We will also be required to expand our finance, administrative and operations staff. We intend to continue making substantial investments in our sales, service and marketing workforce.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21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The growth of our business depends on our ability to accurately predict consumer trends, successfully offer new services, improve existing services and expand into new markets.</w:t>
      </w:r>
    </w:p>
    <w:p>
      <w:pPr>
        <w:spacing w:after="0" w:line="185" w:lineRule="exact"/>
        <w:rPr>
          <w:sz w:val="20"/>
          <w:szCs w:val="20"/>
          <w:color w:val="auto"/>
        </w:rPr>
      </w:pPr>
    </w:p>
    <w:p>
      <w:pPr>
        <w:jc w:val="both"/>
        <w:ind w:firstLine="315"/>
        <w:spacing w:after="0" w:line="245" w:lineRule="auto"/>
        <w:rPr>
          <w:sz w:val="20"/>
          <w:szCs w:val="20"/>
          <w:color w:val="auto"/>
        </w:rPr>
      </w:pPr>
      <w:r>
        <w:rPr>
          <w:rFonts w:ascii="Arial" w:cs="Arial" w:eastAsia="Arial" w:hAnsi="Arial"/>
          <w:sz w:val="17"/>
          <w:szCs w:val="17"/>
          <w:color w:val="auto"/>
        </w:rPr>
        <w:t>Our growth depends, in part, on our ability to successfully offer new platforms, products and services and improve and reposition our existing platforms and services to meet the requirements of our clients and their customers. This, in turn, depends on our ability to predict and respond to evolving consumer trends, demands and preferences. Our strategy is based on certain key trends and the projected growth of our key markets. However, historical trends may not be indicative of future trends and forecasts or estimated growth rates may not be accurate, in whole or part, or ever materialize. Further, underlying markets could decline, overall growth rates in our product categories could be slower than anticipated.</w:t>
      </w:r>
    </w:p>
    <w:p>
      <w:pPr>
        <w:spacing w:after="0" w:line="209"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The offering of innovative new platforms, products and services and expansion into new offerings involves considerable costs. Any new platform, product or service offering may not generate sufficient consumer interest and sales to become profitable or to cover the costs of its development and promotion and, as a result, may reduce our operating income. In addition, any such unsuccessful effort may adversely affect our brand and reputation. If we are unable to anticipate, identify, develop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862" w:right="339" w:bottom="1440" w:gutter="0" w:footer="0" w:header="0"/>
        </w:sectPr>
      </w:pPr>
    </w:p>
    <w:bookmarkStart w:id="48" w:name="page49"/>
    <w:bookmarkEnd w:id="48"/>
    <w:p>
      <w:pPr>
        <w:jc w:val="both"/>
        <w:spacing w:after="0" w:line="249" w:lineRule="auto"/>
        <w:rPr>
          <w:sz w:val="20"/>
          <w:szCs w:val="20"/>
          <w:color w:val="auto"/>
        </w:rPr>
      </w:pPr>
      <w:r>
        <w:rPr>
          <w:rFonts w:ascii="Arial" w:cs="Arial" w:eastAsia="Arial" w:hAnsi="Arial"/>
          <w:sz w:val="17"/>
          <w:szCs w:val="17"/>
          <w:color w:val="auto"/>
        </w:rPr>
        <w:t>market new offerings, that respond to changes in consumer requirements and preferences, or if our new offerings fail to gain consumer acceptance, we may be unable to grow our business as anticipated, our sales may decline and our margins and profitability may decline or not improve. As a result, our business, financial condition, and results of operations may be materially and adversely affected.</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are unable to recruit, train, retain and motivate key personnel, we may not achieve our business objectives.</w:t>
      </w:r>
    </w:p>
    <w:p>
      <w:pPr>
        <w:spacing w:after="0" w:line="237"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Our future success depends on our ability to recruit, train, retain and motivate key personnel, including our CEO, Jeffrey Harris, our CFO, Paul Sykes, our CTO, Navin Anand, and certain other key members of management. Competition for qualified personnel in the technology industry is intense. Additionally, we face additional challenges in attracting, retaining and motivating highly qualified personnel due to our relationship to the cannabis industry, which is rapidly evolving and has varying levels of social acceptance. Any failure to attract, train, retain and motivate qualified personnel could materially harm our operating results and growth prospects.</w:t>
      </w:r>
    </w:p>
    <w:p>
      <w:pPr>
        <w:spacing w:after="0" w:line="206"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85" w:lineRule="exact"/>
        <w:rPr>
          <w:sz w:val="20"/>
          <w:szCs w:val="20"/>
          <w:color w:val="auto"/>
        </w:rPr>
      </w:pPr>
    </w:p>
    <w:p>
      <w:pPr>
        <w:jc w:val="both"/>
        <w:ind w:firstLine="315"/>
        <w:spacing w:after="0" w:line="241" w:lineRule="auto"/>
        <w:rPr>
          <w:sz w:val="20"/>
          <w:szCs w:val="20"/>
          <w:color w:val="auto"/>
        </w:rPr>
      </w:pPr>
      <w:r>
        <w:rPr>
          <w:rFonts w:ascii="Arial" w:cs="Arial" w:eastAsia="Arial" w:hAnsi="Arial"/>
          <w:sz w:val="17"/>
          <w:szCs w:val="17"/>
          <w:color w:val="auto"/>
        </w:rPr>
        <w:t>We use our sales team to build relationships with our client base. Our sales team builds and maintains relationships with clients primarily through phone, email and other virtual contact, which is typically designed to allow us to cost-effectively service a large number of clients. We may need to employ more resource-intensive sales methods, such as increasing sales teams, to continue to attract and retain clients, particularly as we increase the number of our clients and our client base employs more sophisticated marketing operations, strategies and processes.</w:t>
      </w:r>
    </w:p>
    <w:p>
      <w:pPr>
        <w:spacing w:after="0" w:line="3" w:lineRule="exact"/>
        <w:rPr>
          <w:sz w:val="20"/>
          <w:szCs w:val="20"/>
          <w:color w:val="auto"/>
        </w:rPr>
      </w:pPr>
    </w:p>
    <w:p>
      <w:pPr>
        <w:jc w:val="both"/>
        <w:ind w:firstLine="315"/>
        <w:spacing w:after="0" w:line="256" w:lineRule="auto"/>
        <w:rPr>
          <w:sz w:val="20"/>
          <w:szCs w:val="20"/>
          <w:color w:val="auto"/>
        </w:rPr>
      </w:pPr>
      <w:r>
        <w:rPr>
          <w:rFonts w:ascii="Arial" w:cs="Arial" w:eastAsia="Arial" w:hAnsi="Arial"/>
          <w:sz w:val="17"/>
          <w:szCs w:val="17"/>
          <w:color w:val="auto"/>
        </w:rPr>
        <w:t>We have experience increased spending in connection with growing our sales, service and marketing operation and we expect to incur higher sales and marketing expenses, which could adversely affect our business and operating results.</w:t>
      </w:r>
    </w:p>
    <w:p>
      <w:pPr>
        <w:spacing w:after="0" w:line="19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85"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or dependent on integration with third parties, or as usage or traffic increases. If our platform is unavailable when our clients (or their consumers) attempt to access it or it does not load as quickly as they expect, they may seek other solutions and may seek to cancel and not renew subscriptions for our services.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197"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the extent we are not able to continue successfully improving and enhancing our platform, our business could be adversely affected.</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Real or perceived errors, failures, or bugs in our platform could adversely affect our operating results and growth prospects.</w:t>
      </w:r>
    </w:p>
    <w:p>
      <w:pPr>
        <w:spacing w:after="0" w:line="237" w:lineRule="exact"/>
        <w:rPr>
          <w:sz w:val="20"/>
          <w:szCs w:val="20"/>
          <w:color w:val="auto"/>
        </w:rPr>
      </w:pPr>
    </w:p>
    <w:p>
      <w:pPr>
        <w:jc w:val="both"/>
        <w:ind w:firstLine="315"/>
        <w:spacing w:after="0" w:line="247" w:lineRule="auto"/>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861" w:right="339" w:bottom="1440" w:gutter="0" w:footer="0" w:header="0"/>
        </w:sectPr>
      </w:pPr>
    </w:p>
    <w:bookmarkStart w:id="49" w:name="page50"/>
    <w:bookmarkEnd w:id="49"/>
    <w:p>
      <w:pPr>
        <w:jc w:val="both"/>
        <w:ind w:firstLine="315"/>
        <w:spacing w:after="0" w:line="244" w:lineRule="auto"/>
        <w:rPr>
          <w:sz w:val="20"/>
          <w:szCs w:val="20"/>
          <w:color w:val="auto"/>
        </w:rPr>
      </w:pPr>
      <w:r>
        <w:rPr>
          <w:rFonts w:ascii="Arial" w:cs="Arial" w:eastAsia="Arial" w:hAnsi="Arial"/>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211" w:lineRule="exact"/>
        <w:rPr>
          <w:sz w:val="20"/>
          <w:szCs w:val="20"/>
          <w:color w:val="auto"/>
        </w:rPr>
      </w:pPr>
    </w:p>
    <w:p>
      <w:pPr>
        <w:jc w:val="both"/>
        <w:ind w:firstLine="315"/>
        <w:spacing w:after="0" w:line="342" w:lineRule="auto"/>
        <w:rPr>
          <w:sz w:val="20"/>
          <w:szCs w:val="20"/>
          <w:color w:val="auto"/>
        </w:rPr>
      </w:pPr>
      <w:r>
        <w:rPr>
          <w:rFonts w:ascii="Arial" w:cs="Arial" w:eastAsia="Arial" w:hAnsi="Arial"/>
          <w:sz w:val="15"/>
          <w:szCs w:val="15"/>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138"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5"/>
          <w:szCs w:val="15"/>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189"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5"/>
          <w:szCs w:val="15"/>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third-party “cloud-based” providers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184" w:lineRule="exact"/>
        <w:rPr>
          <w:sz w:val="20"/>
          <w:szCs w:val="20"/>
          <w:color w:val="auto"/>
        </w:rPr>
      </w:pPr>
    </w:p>
    <w:p>
      <w:pPr>
        <w:jc w:val="both"/>
        <w:ind w:firstLine="315"/>
        <w:spacing w:after="0" w:line="243" w:lineRule="auto"/>
        <w:rPr>
          <w:sz w:val="20"/>
          <w:szCs w:val="20"/>
          <w:color w:val="auto"/>
        </w:rPr>
      </w:pPr>
      <w:r>
        <w:rPr>
          <w:rFonts w:ascii="Arial" w:cs="Arial" w:eastAsia="Arial" w:hAnsi="Arial"/>
          <w:sz w:val="17"/>
          <w:szCs w:val="17"/>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213"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198"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861" w:right="339" w:bottom="1440" w:gutter="0" w:footer="0" w:header="0"/>
        </w:sectPr>
      </w:pPr>
    </w:p>
    <w:bookmarkStart w:id="50" w:name="page51"/>
    <w:bookmarkEnd w:id="50"/>
    <w:p>
      <w:pPr>
        <w:jc w:val="both"/>
        <w:spacing w:after="0" w:line="273" w:lineRule="auto"/>
        <w:rPr>
          <w:sz w:val="20"/>
          <w:szCs w:val="20"/>
          <w:color w:val="auto"/>
        </w:rPr>
      </w:pPr>
      <w:r>
        <w:rPr>
          <w:rFonts w:ascii="Arial" w:cs="Arial" w:eastAsia="Arial" w:hAnsi="Arial"/>
          <w:sz w:val="17"/>
          <w:szCs w:val="17"/>
          <w:color w:val="auto"/>
        </w:rPr>
        <w:t>large deductible or co-insurance requirements, could have a material and adverse effect on our business, including our financial condition, operating results, and reputation.</w:t>
      </w:r>
    </w:p>
    <w:p>
      <w:pPr>
        <w:spacing w:after="0" w:line="172"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b w:val="1"/>
          <w:bCs w:val="1"/>
          <w:i w:val="1"/>
          <w:iCs w:val="1"/>
          <w:color w:val="auto"/>
        </w:rPr>
        <w:t>We rely upon cloud-based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19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6"/>
          <w:szCs w:val="16"/>
          <w:color w:val="auto"/>
        </w:rPr>
        <w:t>We rely on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186"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6"/>
          <w:szCs w:val="16"/>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196"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206"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impact of global, regional or local economic and market conditions may adversely affect our business, operating results and financial condition.</w:t>
      </w:r>
    </w:p>
    <w:p>
      <w:pPr>
        <w:spacing w:after="0" w:line="260"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Our performance is subject to global economic conditions and economic conditions in one or more of our key markets, which impact spending by our clients and consumers. A majority of our clients’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spacing w:after="0" w:line="208"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Economic conditions may also adversely impact retail sales of cannabis. Declining retail sales of cannabis could result in our clients going out of business or deciding, to stop using our platform to conserve financial resources or move to different marketing solutions. Negative economic conditions may also affect third parties with whom we have entered into relationships and upon whom we depend in order to grow our business.</w:t>
      </w:r>
    </w:p>
    <w:p>
      <w:pPr>
        <w:spacing w:after="0" w:line="198"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Furthermore, economic downturns could also lead to limitations on our ability to obtain debt or equity financing on favorable terms or at all, reduced liquidity, decreases in the market price of SpringBig’s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20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Negative economic conditions may be created or exacerbated by catastrophic events or health crises, including, among others, the ongoing COVID-19 pandemic.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861" w:right="339" w:bottom="1440" w:gutter="0" w:footer="0" w:header="0"/>
        </w:sectPr>
      </w:pPr>
    </w:p>
    <w:bookmarkStart w:id="51" w:name="page52"/>
    <w:bookmarkEnd w:id="51"/>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172" w:lineRule="exact"/>
        <w:rPr>
          <w:sz w:val="20"/>
          <w:szCs w:val="20"/>
          <w:color w:val="auto"/>
        </w:rPr>
      </w:pPr>
    </w:p>
    <w:p>
      <w:pPr>
        <w:jc w:val="both"/>
        <w:ind w:firstLine="315"/>
        <w:spacing w:after="0" w:line="266" w:lineRule="auto"/>
        <w:rPr>
          <w:sz w:val="20"/>
          <w:szCs w:val="20"/>
          <w:color w:val="auto"/>
        </w:rPr>
      </w:pPr>
      <w:r>
        <w:rPr>
          <w:rFonts w:ascii="Arial" w:cs="Arial" w:eastAsia="Arial" w:hAnsi="Arial"/>
          <w:sz w:val="16"/>
          <w:szCs w:val="16"/>
          <w:color w:val="auto"/>
        </w:rPr>
        <w:t>Our operations depend, in part, on our ability to protect our operations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marketing services, any of which could harm our business.</w:t>
      </w:r>
    </w:p>
    <w:p>
      <w:pPr>
        <w:spacing w:after="0" w:line="193"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b w:val="1"/>
          <w:bCs w:val="1"/>
          <w:i w:val="1"/>
          <w:iCs w:val="1"/>
          <w:color w:val="auto"/>
        </w:rPr>
        <w:t>SpringBig’s operations and employees face risks related to health crises, such as the ongoing COVID-19 pandemic, that could adversely affect SpringBig’s financial condition and operating results. The COVID-19 pandemic could materially affect SpringBig’s operations, including at SpringBig’s headquarters or anywhere else SpringBig operates, and the business or operations of SpringBig’s clients, consumers, partners or other third parties with whom SpringBig conducts business.</w:t>
      </w:r>
    </w:p>
    <w:p>
      <w:pPr>
        <w:spacing w:after="0" w:line="202" w:lineRule="exact"/>
        <w:rPr>
          <w:sz w:val="20"/>
          <w:szCs w:val="20"/>
          <w:color w:val="auto"/>
        </w:rPr>
      </w:pPr>
    </w:p>
    <w:p>
      <w:pPr>
        <w:jc w:val="both"/>
        <w:ind w:firstLine="315"/>
        <w:spacing w:after="0" w:line="245" w:lineRule="auto"/>
        <w:rPr>
          <w:sz w:val="20"/>
          <w:szCs w:val="20"/>
          <w:color w:val="auto"/>
        </w:rPr>
      </w:pPr>
      <w:r>
        <w:rPr>
          <w:rFonts w:ascii="Arial" w:cs="Arial" w:eastAsia="Arial" w:hAnsi="Arial"/>
          <w:sz w:val="17"/>
          <w:szCs w:val="17"/>
          <w:color w:val="auto"/>
        </w:rPr>
        <w:t>In connection with the ongoing COVID-19 pandemic, governments have, at various times, implemented significant measures intended to control the spread of the virus, including closures, quarantines, travel restrictions, health mandates and social distancing directives, and fiscal stimulus, and legislation designed to deliver monetary aid and other relief. In response to the risks posed by the COVID-19 pandemic and to comply with applicable governmental orders, SpringBig has taken active measures to promote the health and safety of our employees. These and other operational changes SpringBig has implemented or may implement in the future may negatively impact productivity and disrupt SpringBig’s business.</w:t>
      </w:r>
    </w:p>
    <w:p>
      <w:pPr>
        <w:spacing w:after="0" w:line="209"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To the extent that these restrictions are reinstated and/or remain in place, additional prevention and mitigation measures are implemented in the future, or there is uncertainty about the effectiveness of these or any other measures to contain or treat COVID-19, there is likely to be an adverse impact on global economic conditions and consumer confidence and spending, which could materially and adversely affect SpringBig’s operations as well as SpringBig’s relationships with clients and consumers.</w:t>
      </w:r>
    </w:p>
    <w:p>
      <w:pPr>
        <w:spacing w:after="0" w:line="202" w:lineRule="exact"/>
        <w:rPr>
          <w:sz w:val="20"/>
          <w:szCs w:val="20"/>
          <w:color w:val="auto"/>
        </w:rPr>
      </w:pPr>
    </w:p>
    <w:p>
      <w:pPr>
        <w:jc w:val="both"/>
        <w:ind w:firstLine="315"/>
        <w:spacing w:after="0" w:line="243" w:lineRule="auto"/>
        <w:rPr>
          <w:sz w:val="20"/>
          <w:szCs w:val="20"/>
          <w:color w:val="auto"/>
        </w:rPr>
      </w:pPr>
      <w:r>
        <w:rPr>
          <w:rFonts w:ascii="Arial" w:cs="Arial" w:eastAsia="Arial" w:hAnsi="Arial"/>
          <w:sz w:val="17"/>
          <w:szCs w:val="17"/>
          <w:color w:val="auto"/>
        </w:rPr>
        <w:t>Reinstating shelter-in-place orders and similar regulations promulgated in response to the COVID-19 pandemic could impact the ability of SpringBig’s clients to operate their businesses. Such events have in the past caused, and may in the future cause, a temporary closure or disruption of SpringBig’s clients’ businesses, either due to government mandate or voluntary preventative measures. In the event of mandated business operations limitations, clients may not be able to withstand prolonged interruptions to their businesses, and may be forced to go out of business. Even if SpringBig’s clients are able to continue to operate their businesses, many may operate with limited hours and capacity and other limitations. Any limitations on or disruptions or closures of SpringBig’s clients’ businesses could in turn adversely affect SpringBig’s business. Further, we may experience a decrease in new clients due to a lack of financial resources or a decline in new markets as businesses and financial markets deal with the impact of COVID-19 and efforts to curb the pandemic. Further, these conditions may impact our ability to access financial markets to obtain the necessary funding to expand our business as currently contemplated, which may adversely affect our liquidity and working capital.</w:t>
      </w:r>
    </w:p>
    <w:p>
      <w:pPr>
        <w:spacing w:after="0" w:line="212"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6"/>
          <w:szCs w:val="16"/>
          <w:color w:val="auto"/>
        </w:rPr>
        <w:t>The extent of COVID-19’s effect on SpringBig’s operational and financial performance will depend on future developments, including the duration, spread and intensity of the pandemic and steps taken to prevent its resurgence or further spread, all of which are still uncertain and difficult to predict considering the rapidly evolving landscape. Given the continuing uncertainty about the pandemic, its duration, and efforts to curb its spread, it is not currently possible to fully ascertain the overall impact of COVID-19 on SpringBig’s business. However, if the pandemic continues to persist as a severe worldwide health crisis, the disease may harm SpringBig’s business, and may also have the effect of heightening many of the other risks described in this “Risk Factors” section.</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Fluctuations in our quarterly and annual operating results may adversely affect our business and prospects.</w:t>
      </w:r>
    </w:p>
    <w:p>
      <w:pPr>
        <w:spacing w:after="0" w:line="237"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You should consider our business and prospects in light of the risks and difficulties we encounter in the uncertain and rapidly evolving market for our solutions. Because the cannabis CRM, marketing services and technology markets are new and evolving, predicting their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228" w:lineRule="exact"/>
        <w:rPr>
          <w:sz w:val="20"/>
          <w:szCs w:val="20"/>
          <w:color w:val="auto"/>
        </w:rPr>
      </w:pPr>
    </w:p>
    <w:p>
      <w:pPr>
        <w:ind w:left="620" w:hanging="300"/>
        <w:spacing w:after="0"/>
        <w:tabs>
          <w:tab w:leader="none" w:pos="620" w:val="left"/>
        </w:tabs>
        <w:numPr>
          <w:ilvl w:val="0"/>
          <w:numId w:val="15"/>
        </w:numPr>
        <w:rPr>
          <w:rFonts w:ascii="Arial" w:cs="Arial" w:eastAsia="Arial" w:hAnsi="Arial"/>
          <w:sz w:val="19"/>
          <w:szCs w:val="19"/>
          <w:color w:val="auto"/>
        </w:rPr>
      </w:pPr>
      <w:r>
        <w:rPr>
          <w:rFonts w:ascii="Arial" w:cs="Arial" w:eastAsia="Arial" w:hAnsi="Arial"/>
          <w:sz w:val="17"/>
          <w:szCs w:val="17"/>
          <w:color w:val="auto"/>
        </w:rPr>
        <w:t>our ability to attract new clients and retain existing clients;</w:t>
      </w:r>
    </w:p>
    <w:p>
      <w:pPr>
        <w:spacing w:after="0" w:line="5" w:lineRule="exact"/>
        <w:rPr>
          <w:rFonts w:ascii="Arial" w:cs="Arial" w:eastAsia="Arial" w:hAnsi="Arial"/>
          <w:sz w:val="19"/>
          <w:szCs w:val="19"/>
          <w:color w:val="auto"/>
        </w:rPr>
      </w:pPr>
    </w:p>
    <w:p>
      <w:pPr>
        <w:ind w:left="620" w:hanging="300"/>
        <w:spacing w:after="0" w:line="228" w:lineRule="auto"/>
        <w:tabs>
          <w:tab w:leader="none" w:pos="620" w:val="left"/>
        </w:tabs>
        <w:numPr>
          <w:ilvl w:val="0"/>
          <w:numId w:val="15"/>
        </w:numPr>
        <w:rPr>
          <w:rFonts w:ascii="Arial" w:cs="Arial" w:eastAsia="Arial" w:hAnsi="Arial"/>
          <w:sz w:val="19"/>
          <w:szCs w:val="19"/>
          <w:color w:val="auto"/>
        </w:rPr>
      </w:pPr>
      <w:r>
        <w:rPr>
          <w:rFonts w:ascii="Arial" w:cs="Arial" w:eastAsia="Arial" w:hAnsi="Arial"/>
          <w:sz w:val="17"/>
          <w:szCs w:val="17"/>
          <w:color w:val="auto"/>
        </w:rPr>
        <w:t>our ability to accurately forecast revenue and appropriately plan our expenses;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5"/>
        </w:numPr>
        <w:rPr>
          <w:rFonts w:ascii="Arial" w:cs="Arial" w:eastAsia="Arial" w:hAnsi="Arial"/>
          <w:sz w:val="19"/>
          <w:szCs w:val="19"/>
          <w:color w:val="auto"/>
        </w:rPr>
      </w:pPr>
      <w:r>
        <w:rPr>
          <w:rFonts w:ascii="Arial" w:cs="Arial" w:eastAsia="Arial" w:hAnsi="Arial"/>
          <w:sz w:val="17"/>
          <w:szCs w:val="17"/>
          <w:color w:val="auto"/>
        </w:rPr>
        <w:t>the effects of increased competition on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861" w:right="339" w:bottom="1440" w:gutter="0" w:footer="0" w:header="0"/>
        </w:sectPr>
      </w:pPr>
    </w:p>
    <w:bookmarkStart w:id="52" w:name="page53"/>
    <w:bookmarkEnd w:id="52"/>
    <w:p>
      <w:pPr>
        <w:ind w:left="620" w:hanging="300"/>
        <w:spacing w:after="0"/>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our ability to successfully expand in existing markets and successfully enter new markets;</w:t>
      </w:r>
    </w:p>
    <w:p>
      <w:pPr>
        <w:spacing w:after="0" w:line="9"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the impact of global, regional or economic conditions;</w:t>
      </w:r>
    </w:p>
    <w:p>
      <w:pPr>
        <w:spacing w:after="0" w:line="2" w:lineRule="exact"/>
        <w:rPr>
          <w:rFonts w:ascii="Arial" w:cs="Arial" w:eastAsia="Arial" w:hAnsi="Arial"/>
          <w:sz w:val="19"/>
          <w:szCs w:val="19"/>
          <w:color w:val="auto"/>
        </w:rPr>
      </w:pPr>
    </w:p>
    <w:p>
      <w:pPr>
        <w:ind w:left="620" w:hanging="300"/>
        <w:spacing w:after="0" w:line="22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the ability of licensed cannabis markets to successfully grow and outcompete illegal cannabis markets;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our ability to protect our intellectual property;</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our ability to maintain and effectively manage an adequate rate of growth;</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our ability to maintain and increase traffic to our platform;</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costs associated with defending claims, including intellectual property infringement claims and related judgments or settlements;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changes in governmental or other regulation affecting our business;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interruptions in platform availability and any related impact on our business, reputation or brand;</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the attraction and retention of qualified personnel;</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the effects of natural or man-made catastrophic events and/or health crises (including COVID-19); and</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7"/>
          <w:szCs w:val="17"/>
          <w:color w:val="auto"/>
        </w:rPr>
        <w:t>the effectiveness of our internal controls.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Investors should not rely on outdated financial projections.</w:t>
      </w:r>
    </w:p>
    <w:p>
      <w:pPr>
        <w:spacing w:after="0" w:line="237"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6"/>
          <w:szCs w:val="16"/>
          <w:color w:val="auto"/>
        </w:rPr>
        <w:t>In connection with the business combination, we disclosed certain projections of SpringBig’s potential financial performance in future years. As previously disclosed, in connection with the sale process, certain financial forecasts for fiscal years 2021 through 2024 were prepared by Legacy SpringBig’s management and made available to Tuatara. Also, as previously disclosed, the projections were not prepared with a view toward public disclosure or with a view toward complying with U.S. GAAP, the published guidelines of the SEC or the guidelines established by the American Institute of Certified Public Accountants for preparation and presentation of prospective financial information. Readers were cautioned not to rely on the prospective financial information because actual results are likely to differ materially from the prospective financial information. We reiterate our prior caution not to rely on the previously published and now outdated financial projections. We have not undertaken any obligation to publish any financial projections.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improve our products and solutions in ways that forego short-term gains.</w:t>
      </w:r>
    </w:p>
    <w:p>
      <w:pPr>
        <w:spacing w:after="0" w:line="237"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We seek to provide the best experience for the clients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202"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We currently have clients across the United States and Canada using our platform.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237" w:lineRule="exact"/>
        <w:rPr>
          <w:sz w:val="20"/>
          <w:szCs w:val="20"/>
          <w:color w:val="auto"/>
        </w:rPr>
      </w:pPr>
    </w:p>
    <w:p>
      <w:pPr>
        <w:ind w:left="620" w:hanging="300"/>
        <w:spacing w:after="0"/>
        <w:tabs>
          <w:tab w:leader="none" w:pos="620" w:val="left"/>
        </w:tabs>
        <w:numPr>
          <w:ilvl w:val="0"/>
          <w:numId w:val="17"/>
        </w:numPr>
        <w:rPr>
          <w:rFonts w:ascii="Arial" w:cs="Arial" w:eastAsia="Arial" w:hAnsi="Arial"/>
          <w:sz w:val="19"/>
          <w:szCs w:val="19"/>
          <w:color w:val="auto"/>
        </w:rPr>
      </w:pPr>
      <w:r>
        <w:rPr>
          <w:rFonts w:ascii="Arial" w:cs="Arial" w:eastAsia="Arial" w:hAnsi="Arial"/>
          <w:sz w:val="17"/>
          <w:szCs w:val="17"/>
          <w:color w:val="auto"/>
        </w:rPr>
        <w:t>political, social, and economic instability;</w:t>
      </w:r>
    </w:p>
    <w:p>
      <w:pPr>
        <w:spacing w:after="0" w:line="9" w:lineRule="exact"/>
        <w:rPr>
          <w:rFonts w:ascii="Arial" w:cs="Arial" w:eastAsia="Arial" w:hAnsi="Arial"/>
          <w:sz w:val="19"/>
          <w:szCs w:val="19"/>
          <w:color w:val="auto"/>
        </w:rPr>
      </w:pPr>
    </w:p>
    <w:p>
      <w:pPr>
        <w:ind w:left="640" w:hanging="320"/>
        <w:spacing w:after="0" w:line="239" w:lineRule="auto"/>
        <w:tabs>
          <w:tab w:leader="none" w:pos="628" w:val="left"/>
        </w:tabs>
        <w:numPr>
          <w:ilvl w:val="0"/>
          <w:numId w:val="17"/>
        </w:numPr>
        <w:rPr>
          <w:rFonts w:ascii="Arial" w:cs="Arial" w:eastAsia="Arial" w:hAnsi="Arial"/>
          <w:sz w:val="19"/>
          <w:szCs w:val="19"/>
          <w:color w:val="auto"/>
        </w:rPr>
      </w:pPr>
      <w:r>
        <w:rPr>
          <w:rFonts w:ascii="Arial" w:cs="Arial" w:eastAsia="Arial" w:hAnsi="Arial"/>
          <w:sz w:val="17"/>
          <w:szCs w:val="17"/>
          <w:color w:val="auto"/>
        </w:rPr>
        <w:t>risks related to the legal and regulatory environment in foreign jurisdictions, including with respect to privacy and data protection, and unexpected changes in laws, regulatory requirements, and enforcement;</w:t>
      </w:r>
    </w:p>
    <w:p>
      <w:pPr>
        <w:spacing w:after="0" w:line="2" w:lineRule="exact"/>
        <w:rPr>
          <w:rFonts w:ascii="Arial" w:cs="Arial" w:eastAsia="Arial" w:hAnsi="Arial"/>
          <w:sz w:val="19"/>
          <w:szCs w:val="19"/>
          <w:color w:val="auto"/>
        </w:rPr>
      </w:pPr>
    </w:p>
    <w:p>
      <w:pPr>
        <w:ind w:left="620" w:hanging="300"/>
        <w:spacing w:after="0"/>
        <w:tabs>
          <w:tab w:leader="none" w:pos="620" w:val="left"/>
        </w:tabs>
        <w:numPr>
          <w:ilvl w:val="0"/>
          <w:numId w:val="17"/>
        </w:numPr>
        <w:rPr>
          <w:rFonts w:ascii="Arial" w:cs="Arial" w:eastAsia="Arial" w:hAnsi="Arial"/>
          <w:sz w:val="19"/>
          <w:szCs w:val="19"/>
          <w:color w:val="auto"/>
        </w:rPr>
      </w:pPr>
      <w:r>
        <w:rPr>
          <w:rFonts w:ascii="Arial" w:cs="Arial" w:eastAsia="Arial" w:hAnsi="Arial"/>
          <w:sz w:val="17"/>
          <w:szCs w:val="17"/>
          <w:color w:val="auto"/>
        </w:rPr>
        <w:t>fluctuations in currency exchange rates;</w:t>
      </w:r>
    </w:p>
    <w:p>
      <w:pPr>
        <w:spacing w:after="0" w:line="9"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7"/>
        </w:numPr>
        <w:rPr>
          <w:rFonts w:ascii="Arial" w:cs="Arial" w:eastAsia="Arial" w:hAnsi="Arial"/>
          <w:sz w:val="19"/>
          <w:szCs w:val="19"/>
          <w:color w:val="auto"/>
        </w:rPr>
      </w:pPr>
      <w:r>
        <w:rPr>
          <w:rFonts w:ascii="Arial" w:cs="Arial" w:eastAsia="Arial" w:hAnsi="Arial"/>
          <w:sz w:val="17"/>
          <w:szCs w:val="17"/>
          <w:color w:val="auto"/>
        </w:rPr>
        <w:t>higher levels of credit risk and payment fraud;</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7"/>
        </w:numPr>
        <w:rPr>
          <w:rFonts w:ascii="Arial" w:cs="Arial" w:eastAsia="Arial" w:hAnsi="Arial"/>
          <w:sz w:val="19"/>
          <w:szCs w:val="19"/>
          <w:color w:val="auto"/>
        </w:rPr>
      </w:pPr>
      <w:r>
        <w:rPr>
          <w:rFonts w:ascii="Arial" w:cs="Arial" w:eastAsia="Arial" w:hAnsi="Arial"/>
          <w:sz w:val="17"/>
          <w:szCs w:val="17"/>
          <w:color w:val="auto"/>
        </w:rPr>
        <w:t>complying with tax requirements of multiple jurisdictions;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7"/>
        </w:numPr>
        <w:rPr>
          <w:rFonts w:ascii="Arial" w:cs="Arial" w:eastAsia="Arial" w:hAnsi="Arial"/>
          <w:sz w:val="19"/>
          <w:szCs w:val="19"/>
          <w:color w:val="auto"/>
        </w:rPr>
      </w:pPr>
      <w:r>
        <w:rPr>
          <w:rFonts w:ascii="Arial" w:cs="Arial" w:eastAsia="Arial" w:hAnsi="Arial"/>
          <w:sz w:val="17"/>
          <w:szCs w:val="17"/>
          <w:color w:val="auto"/>
        </w:rPr>
        <w:t>enhanced difficulties of integrating any foreign acquisitions;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7"/>
        </w:numPr>
        <w:rPr>
          <w:rFonts w:ascii="Arial" w:cs="Arial" w:eastAsia="Arial" w:hAnsi="Arial"/>
          <w:sz w:val="19"/>
          <w:szCs w:val="19"/>
          <w:color w:val="auto"/>
        </w:rPr>
      </w:pPr>
      <w:r>
        <w:rPr>
          <w:rFonts w:ascii="Arial" w:cs="Arial" w:eastAsia="Arial" w:hAnsi="Arial"/>
          <w:sz w:val="17"/>
          <w:szCs w:val="17"/>
          <w:color w:val="auto"/>
        </w:rPr>
        <w:t>the ability to present our content effectively in foreign languages;</w:t>
      </w:r>
    </w:p>
    <w:p>
      <w:pPr>
        <w:spacing w:after="0" w:line="6" w:lineRule="exact"/>
        <w:rPr>
          <w:rFonts w:ascii="Arial" w:cs="Arial" w:eastAsia="Arial" w:hAnsi="Arial"/>
          <w:sz w:val="19"/>
          <w:szCs w:val="19"/>
          <w:color w:val="auto"/>
        </w:rPr>
      </w:pPr>
    </w:p>
    <w:p>
      <w:pPr>
        <w:ind w:left="640" w:hanging="320"/>
        <w:spacing w:after="0" w:line="239" w:lineRule="auto"/>
        <w:tabs>
          <w:tab w:leader="none" w:pos="628" w:val="left"/>
        </w:tabs>
        <w:numPr>
          <w:ilvl w:val="0"/>
          <w:numId w:val="17"/>
        </w:numPr>
        <w:rPr>
          <w:rFonts w:ascii="Arial" w:cs="Arial" w:eastAsia="Arial" w:hAnsi="Arial"/>
          <w:sz w:val="19"/>
          <w:szCs w:val="19"/>
          <w:color w:val="auto"/>
        </w:rPr>
      </w:pPr>
      <w:r>
        <w:rPr>
          <w:rFonts w:ascii="Arial" w:cs="Arial" w:eastAsia="Arial" w:hAnsi="Arial"/>
          <w:sz w:val="17"/>
          <w:szCs w:val="17"/>
          <w:color w:val="auto"/>
        </w:rPr>
        <w:t>complying with a variety of foreign laws, including certain employment laws requiring national collective bargaining agreements that set minimum salaries, benefits, working conditions, and termination requirements;</w:t>
      </w:r>
    </w:p>
    <w:p>
      <w:pPr>
        <w:spacing w:after="0" w:line="1" w:lineRule="exact"/>
        <w:rPr>
          <w:rFonts w:ascii="Arial" w:cs="Arial" w:eastAsia="Arial" w:hAnsi="Arial"/>
          <w:sz w:val="19"/>
          <w:szCs w:val="19"/>
          <w:color w:val="auto"/>
        </w:rPr>
      </w:pPr>
    </w:p>
    <w:p>
      <w:pPr>
        <w:ind w:left="620" w:hanging="300"/>
        <w:spacing w:after="0" w:line="230" w:lineRule="auto"/>
        <w:tabs>
          <w:tab w:leader="none" w:pos="620" w:val="left"/>
        </w:tabs>
        <w:numPr>
          <w:ilvl w:val="0"/>
          <w:numId w:val="17"/>
        </w:numPr>
        <w:rPr>
          <w:rFonts w:ascii="Arial" w:cs="Arial" w:eastAsia="Arial" w:hAnsi="Arial"/>
          <w:sz w:val="19"/>
          <w:szCs w:val="19"/>
          <w:color w:val="auto"/>
        </w:rPr>
      </w:pPr>
      <w:r>
        <w:rPr>
          <w:rFonts w:ascii="Arial" w:cs="Arial" w:eastAsia="Arial" w:hAnsi="Arial"/>
          <w:sz w:val="17"/>
          <w:szCs w:val="17"/>
          <w:color w:val="auto"/>
        </w:rPr>
        <w:t>reduced protection for intellectual property rights in some countries;</w:t>
      </w:r>
    </w:p>
    <w:p>
      <w:pPr>
        <w:spacing w:after="0" w:line="6" w:lineRule="exact"/>
        <w:rPr>
          <w:rFonts w:ascii="Arial" w:cs="Arial" w:eastAsia="Arial" w:hAnsi="Arial"/>
          <w:sz w:val="19"/>
          <w:szCs w:val="19"/>
          <w:color w:val="auto"/>
        </w:rPr>
      </w:pPr>
    </w:p>
    <w:p>
      <w:pPr>
        <w:ind w:left="640" w:hanging="320"/>
        <w:spacing w:after="0" w:line="239" w:lineRule="auto"/>
        <w:tabs>
          <w:tab w:leader="none" w:pos="628" w:val="left"/>
        </w:tabs>
        <w:numPr>
          <w:ilvl w:val="0"/>
          <w:numId w:val="17"/>
        </w:numPr>
        <w:rPr>
          <w:rFonts w:ascii="Arial" w:cs="Arial" w:eastAsia="Arial" w:hAnsi="Arial"/>
          <w:sz w:val="19"/>
          <w:szCs w:val="19"/>
          <w:color w:val="auto"/>
        </w:rPr>
      </w:pPr>
      <w:r>
        <w:rPr>
          <w:rFonts w:ascii="Arial" w:cs="Arial" w:eastAsia="Arial" w:hAnsi="Arial"/>
          <w:sz w:val="17"/>
          <w:szCs w:val="17"/>
          <w:color w:val="auto"/>
        </w:rPr>
        <w:t>difficulties in staffing and managing global operations and the increased travel, infrastructure, and compliance costs associated with multiple foreign locations;</w:t>
      </w:r>
    </w:p>
    <w:p>
      <w:pPr>
        <w:spacing w:after="0" w:line="2" w:lineRule="exact"/>
        <w:rPr>
          <w:rFonts w:ascii="Arial" w:cs="Arial" w:eastAsia="Arial" w:hAnsi="Arial"/>
          <w:sz w:val="19"/>
          <w:szCs w:val="19"/>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6"/>
          <w:szCs w:val="16"/>
          <w:color w:val="auto"/>
        </w:rPr>
        <w:t>regulations that might add difficulties in repatriating cash earned outside the United States and otherwise preventing us from freely moving cash;</w:t>
      </w:r>
    </w:p>
    <w:p>
      <w:pPr>
        <w:spacing w:after="0" w:line="32" w:lineRule="exact"/>
        <w:rPr>
          <w:rFonts w:ascii="Arial" w:cs="Arial" w:eastAsia="Arial" w:hAnsi="Arial"/>
          <w:sz w:val="17"/>
          <w:szCs w:val="17"/>
          <w:color w:val="auto"/>
        </w:rPr>
      </w:pPr>
    </w:p>
    <w:p>
      <w:pPr>
        <w:ind w:left="620" w:hanging="300"/>
        <w:spacing w:after="0" w:line="238" w:lineRule="auto"/>
        <w:tabs>
          <w:tab w:leader="none" w:pos="620" w:val="left"/>
        </w:tabs>
        <w:numPr>
          <w:ilvl w:val="0"/>
          <w:numId w:val="17"/>
        </w:numPr>
        <w:rPr>
          <w:rFonts w:ascii="Arial" w:cs="Arial" w:eastAsia="Arial" w:hAnsi="Arial"/>
          <w:sz w:val="19"/>
          <w:szCs w:val="19"/>
          <w:color w:val="auto"/>
        </w:rPr>
      </w:pPr>
      <w:r>
        <w:rPr>
          <w:rFonts w:ascii="Arial" w:cs="Arial" w:eastAsia="Arial" w:hAnsi="Arial"/>
          <w:sz w:val="17"/>
          <w:szCs w:val="17"/>
          <w:color w:val="auto"/>
        </w:rPr>
        <w:t>import and export restrictions and changes in trade regulation;</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17"/>
        </w:numPr>
        <w:rPr>
          <w:rFonts w:ascii="Arial" w:cs="Arial" w:eastAsia="Arial" w:hAnsi="Arial"/>
          <w:sz w:val="19"/>
          <w:szCs w:val="19"/>
          <w:color w:val="auto"/>
        </w:rPr>
      </w:pPr>
      <w:r>
        <w:rPr>
          <w:rFonts w:ascii="Arial" w:cs="Arial" w:eastAsia="Arial" w:hAnsi="Arial"/>
          <w:sz w:val="17"/>
          <w:szCs w:val="17"/>
          <w:color w:val="auto"/>
        </w:rPr>
        <w:t>complying with statutory equity requirements;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888" w:right="339" w:bottom="1440" w:gutter="0" w:footer="0" w:header="0"/>
        </w:sectPr>
      </w:pPr>
    </w:p>
    <w:bookmarkStart w:id="53" w:name="page54"/>
    <w:bookmarkEnd w:id="53"/>
    <w:p>
      <w:pPr>
        <w:ind w:left="640" w:hanging="320"/>
        <w:spacing w:after="0" w:line="245" w:lineRule="auto"/>
        <w:tabs>
          <w:tab w:leader="none" w:pos="628" w:val="left"/>
        </w:tabs>
        <w:numPr>
          <w:ilvl w:val="0"/>
          <w:numId w:val="18"/>
        </w:numPr>
        <w:rPr>
          <w:rFonts w:ascii="Arial" w:cs="Arial" w:eastAsia="Arial" w:hAnsi="Arial"/>
          <w:sz w:val="19"/>
          <w:szCs w:val="19"/>
          <w:color w:val="auto"/>
        </w:rPr>
      </w:pPr>
      <w:r>
        <w:rPr>
          <w:rFonts w:ascii="Arial" w:cs="Arial" w:eastAsia="Arial" w:hAnsi="Arial"/>
          <w:sz w:val="17"/>
          <w:szCs w:val="17"/>
          <w:color w:val="auto"/>
        </w:rPr>
        <w:t>complying with the U.S. Foreign Corrupt Practices Act of 1977, as amended and the Corruption of Public Officials Act (Canada), and similar laws in other jurisdictions.</w:t>
      </w:r>
    </w:p>
    <w:p>
      <w:pPr>
        <w:spacing w:after="0" w:line="19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185"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198"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206" w:lineRule="exact"/>
        <w:rPr>
          <w:sz w:val="20"/>
          <w:szCs w:val="20"/>
          <w:color w:val="auto"/>
        </w:rPr>
      </w:pPr>
    </w:p>
    <w:p>
      <w:pPr>
        <w:jc w:val="both"/>
        <w:ind w:firstLine="315"/>
        <w:spacing w:after="0" w:line="259" w:lineRule="auto"/>
        <w:rPr>
          <w:sz w:val="20"/>
          <w:szCs w:val="20"/>
          <w:color w:val="auto"/>
        </w:rPr>
      </w:pPr>
      <w:r>
        <w:rPr>
          <w:rFonts w:ascii="Arial" w:cs="Arial" w:eastAsia="Arial" w:hAnsi="Arial"/>
          <w:sz w:val="16"/>
          <w:szCs w:val="16"/>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which has resulted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197"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We are also currently subject to a variety of, and may in the future become subject to additional U.S. federal, state and local laws and regulations on advertising that are continuously evolving and developing, including the Telephone Consumer Protection Act, or the TCPA, the Telemarketing Sales Rule, the Controlling the Assault of Non-Solicited Pornography and Marketing Act, or the CAN-SPAM Act, and, at the state level, the CCPA (as described above), the Virginia Consumer Data Protection Act of 2021, or VCDPA, and the Colorado Privacy Act, or CPA. Many states are discussing potentially adopting similar comprehensive privacy legislation and we expect many of these will be implemented over the course of the next few years. These laws and regulations directly impact our business and require ongoing compliance, monitoring and internal and external audits as they continue to evolve, and may result in ever-increasing public and regulatory scrutiny and escalating levels of enforcement and sanctions. Subsequent changes to data protection and privacy laws and regulations could also impact how we process personal information and, therefore, limit the effectiveness of our product offerings or our ability to operate or expand our business, including limiting strategic relationships that may involve the sharing of personal information.</w:t>
      </w:r>
    </w:p>
    <w:p>
      <w:pPr>
        <w:spacing w:after="0" w:line="199"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Many foreign countries and governmental bodies, including Canada and other relevant jurisdictions where we conduct or may, in the future,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888" w:right="339" w:bottom="1440" w:gutter="0" w:footer="0" w:header="0"/>
        </w:sectPr>
      </w:pPr>
    </w:p>
    <w:bookmarkStart w:id="54" w:name="page55"/>
    <w:bookmarkEnd w:id="54"/>
    <w:p>
      <w:pPr>
        <w:jc w:val="both"/>
        <w:spacing w:after="0" w:line="249" w:lineRule="auto"/>
        <w:rPr>
          <w:sz w:val="20"/>
          <w:szCs w:val="20"/>
          <w:color w:val="auto"/>
        </w:rPr>
      </w:pPr>
      <w:r>
        <w:rPr>
          <w:rFonts w:ascii="Arial" w:cs="Arial" w:eastAsia="Arial" w:hAnsi="Arial"/>
          <w:sz w:val="17"/>
          <w:szCs w:val="17"/>
          <w:color w:val="auto"/>
        </w:rPr>
        <w:t>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w:t>
      </w:r>
    </w:p>
    <w:p>
      <w:pPr>
        <w:spacing w:after="0" w:line="205"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6"/>
          <w:szCs w:val="16"/>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restrict our ability to utilize collected personal information, and adversely affect our business.</w:t>
      </w:r>
    </w:p>
    <w:p>
      <w:pPr>
        <w:spacing w:after="0" w:line="199" w:lineRule="exact"/>
        <w:rPr>
          <w:sz w:val="20"/>
          <w:szCs w:val="20"/>
          <w:color w:val="auto"/>
        </w:rPr>
      </w:pPr>
    </w:p>
    <w:p>
      <w:pPr>
        <w:jc w:val="both"/>
        <w:ind w:firstLine="315"/>
        <w:spacing w:after="0" w:line="259"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199" w:lineRule="exact"/>
        <w:rPr>
          <w:sz w:val="20"/>
          <w:szCs w:val="20"/>
          <w:color w:val="auto"/>
        </w:rPr>
      </w:pPr>
    </w:p>
    <w:p>
      <w:pPr>
        <w:jc w:val="both"/>
        <w:ind w:firstLine="315"/>
        <w:spacing w:after="0" w:line="288" w:lineRule="auto"/>
        <w:rPr>
          <w:sz w:val="20"/>
          <w:szCs w:val="20"/>
          <w:color w:val="auto"/>
        </w:rPr>
      </w:pPr>
      <w:r>
        <w:rPr>
          <w:rFonts w:ascii="Arial" w:cs="Arial" w:eastAsia="Arial" w:hAnsi="Arial"/>
          <w:sz w:val="16"/>
          <w:szCs w:val="16"/>
          <w:color w:val="auto"/>
        </w:rPr>
        <w:t>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Governmental regulation of the internet continues to develop, and unfavorable changes could substantially harm our business and operating results.</w:t>
      </w:r>
    </w:p>
    <w:p>
      <w:pPr>
        <w:spacing w:after="0" w:line="260" w:lineRule="exact"/>
        <w:rPr>
          <w:sz w:val="20"/>
          <w:szCs w:val="20"/>
          <w:color w:val="auto"/>
        </w:rPr>
      </w:pPr>
    </w:p>
    <w:p>
      <w:pPr>
        <w:jc w:val="both"/>
        <w:ind w:firstLine="315"/>
        <w:spacing w:after="0" w:line="245" w:lineRule="auto"/>
        <w:rPr>
          <w:sz w:val="20"/>
          <w:szCs w:val="20"/>
          <w:color w:val="auto"/>
        </w:rPr>
      </w:pPr>
      <w:r>
        <w:rPr>
          <w:rFonts w:ascii="Arial" w:cs="Arial" w:eastAsia="Arial" w:hAnsi="Arial"/>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210"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Future investments in our growth strategy, including acquisitions, could disrupt our business and adversely affect our operating results, financial condition and cash flows.</w:t>
      </w:r>
    </w:p>
    <w:p>
      <w:pPr>
        <w:spacing w:after="0" w:line="172"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We are seeking to expand using both organic and M&amp;A growth strategies in keeping with the changing regulatory landscape in the U.S. Expanding accounts with existing clients, adding new clients, entering new markets, adding new features and functionality to our platform and/or acquisitions may involve significant investments of capital, time, resources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861" w:right="339" w:bottom="1440" w:gutter="0" w:footer="0" w:header="0"/>
        </w:sectPr>
      </w:pPr>
    </w:p>
    <w:bookmarkStart w:id="55" w:name="page56"/>
    <w:bookmarkEnd w:id="55"/>
    <w:p>
      <w:pPr>
        <w:jc w:val="both"/>
        <w:spacing w:after="0" w:line="273" w:lineRule="auto"/>
        <w:rPr>
          <w:sz w:val="20"/>
          <w:szCs w:val="20"/>
          <w:color w:val="auto"/>
        </w:rPr>
      </w:pPr>
      <w:r>
        <w:rPr>
          <w:rFonts w:ascii="Arial" w:cs="Arial" w:eastAsia="Arial" w:hAnsi="Arial"/>
          <w:sz w:val="17"/>
          <w:szCs w:val="17"/>
          <w:color w:val="auto"/>
        </w:rPr>
        <w:t>managerial attention.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172"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Additionally, we may make acquisitions that could be material to our business, operating results, financial condition and cash flows. Our ability as an organization to successfully acquire and integrate technologies, services, platforms or businesses is unproven. Acquisitions involve many risks, including the following:</w:t>
      </w:r>
    </w:p>
    <w:p>
      <w:pPr>
        <w:spacing w:after="0" w:line="224" w:lineRule="exact"/>
        <w:rPr>
          <w:sz w:val="20"/>
          <w:szCs w:val="20"/>
          <w:color w:val="auto"/>
        </w:rPr>
      </w:pPr>
    </w:p>
    <w:p>
      <w:pPr>
        <w:jc w:val="both"/>
        <w:ind w:left="640" w:hanging="320"/>
        <w:spacing w:after="0" w:line="242" w:lineRule="auto"/>
        <w:tabs>
          <w:tab w:leader="none" w:pos="628" w:val="left"/>
        </w:tabs>
        <w:numPr>
          <w:ilvl w:val="0"/>
          <w:numId w:val="19"/>
        </w:numPr>
        <w:rPr>
          <w:rFonts w:ascii="Arial" w:cs="Arial" w:eastAsia="Arial" w:hAnsi="Arial"/>
          <w:sz w:val="19"/>
          <w:szCs w:val="19"/>
          <w:color w:val="auto"/>
        </w:rPr>
      </w:pPr>
      <w:r>
        <w:rPr>
          <w:rFonts w:ascii="Arial" w:cs="Arial" w:eastAsia="Arial" w:hAnsi="Arial"/>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37" w:lineRule="exact"/>
        <w:rPr>
          <w:rFonts w:ascii="Arial" w:cs="Arial" w:eastAsia="Arial" w:hAnsi="Arial"/>
          <w:sz w:val="19"/>
          <w:szCs w:val="19"/>
          <w:color w:val="auto"/>
        </w:rPr>
      </w:pPr>
    </w:p>
    <w:p>
      <w:pPr>
        <w:jc w:val="both"/>
        <w:ind w:left="640" w:hanging="320"/>
        <w:spacing w:after="0" w:line="243" w:lineRule="auto"/>
        <w:tabs>
          <w:tab w:leader="none" w:pos="628" w:val="left"/>
        </w:tabs>
        <w:numPr>
          <w:ilvl w:val="0"/>
          <w:numId w:val="19"/>
        </w:numPr>
        <w:rPr>
          <w:rFonts w:ascii="Arial" w:cs="Arial" w:eastAsia="Arial" w:hAnsi="Arial"/>
          <w:sz w:val="19"/>
          <w:szCs w:val="19"/>
          <w:color w:val="auto"/>
        </w:rPr>
      </w:pPr>
      <w:r>
        <w:rPr>
          <w:rFonts w:ascii="Arial" w:cs="Arial" w:eastAsia="Arial" w:hAnsi="Arial"/>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235" w:lineRule="exact"/>
        <w:rPr>
          <w:rFonts w:ascii="Arial" w:cs="Arial" w:eastAsia="Arial" w:hAnsi="Arial"/>
          <w:sz w:val="19"/>
          <w:szCs w:val="19"/>
          <w:color w:val="auto"/>
        </w:rPr>
      </w:pPr>
    </w:p>
    <w:p>
      <w:pPr>
        <w:ind w:left="640" w:hanging="320"/>
        <w:spacing w:after="0" w:line="245" w:lineRule="auto"/>
        <w:tabs>
          <w:tab w:leader="none" w:pos="628" w:val="left"/>
        </w:tabs>
        <w:numPr>
          <w:ilvl w:val="0"/>
          <w:numId w:val="19"/>
        </w:numPr>
        <w:rPr>
          <w:rFonts w:ascii="Arial" w:cs="Arial" w:eastAsia="Arial" w:hAnsi="Arial"/>
          <w:sz w:val="19"/>
          <w:szCs w:val="19"/>
          <w:color w:val="auto"/>
        </w:rPr>
      </w:pPr>
      <w:r>
        <w:rPr>
          <w:rFonts w:ascii="Arial" w:cs="Arial" w:eastAsia="Arial" w:hAnsi="Arial"/>
          <w:sz w:val="17"/>
          <w:szCs w:val="17"/>
          <w:color w:val="auto"/>
        </w:rPr>
        <w:t>the acquired business may not perform at levels and on the timelines anticipated by our management and/or we may not be able to achieve expected synergies;</w:t>
      </w:r>
    </w:p>
    <w:p>
      <w:pPr>
        <w:spacing w:after="0" w:line="233" w:lineRule="exact"/>
        <w:rPr>
          <w:rFonts w:ascii="Arial" w:cs="Arial" w:eastAsia="Arial" w:hAnsi="Arial"/>
          <w:sz w:val="19"/>
          <w:szCs w:val="19"/>
          <w:color w:val="auto"/>
        </w:rPr>
      </w:pPr>
    </w:p>
    <w:p>
      <w:pPr>
        <w:ind w:left="620" w:hanging="300"/>
        <w:spacing w:after="0"/>
        <w:tabs>
          <w:tab w:leader="none" w:pos="620" w:val="left"/>
        </w:tabs>
        <w:numPr>
          <w:ilvl w:val="0"/>
          <w:numId w:val="19"/>
        </w:numPr>
        <w:rPr>
          <w:rFonts w:ascii="Arial" w:cs="Arial" w:eastAsia="Arial" w:hAnsi="Arial"/>
          <w:sz w:val="19"/>
          <w:szCs w:val="19"/>
          <w:color w:val="auto"/>
        </w:rPr>
      </w:pPr>
      <w:r>
        <w:rPr>
          <w:rFonts w:ascii="Arial" w:cs="Arial" w:eastAsia="Arial" w:hAnsi="Arial"/>
          <w:sz w:val="17"/>
          <w:szCs w:val="17"/>
          <w:color w:val="auto"/>
        </w:rPr>
        <w:t>an acquisition may disrupt our ongoing business, divert resources, increase our expenses and distract our management;</w:t>
      </w:r>
    </w:p>
    <w:p>
      <w:pPr>
        <w:spacing w:after="0" w:line="5" w:lineRule="exact"/>
        <w:rPr>
          <w:rFonts w:ascii="Arial" w:cs="Arial" w:eastAsia="Arial" w:hAnsi="Arial"/>
          <w:sz w:val="19"/>
          <w:szCs w:val="19"/>
          <w:color w:val="auto"/>
        </w:rPr>
      </w:pPr>
    </w:p>
    <w:p>
      <w:pPr>
        <w:ind w:left="640" w:hanging="320"/>
        <w:spacing w:after="0" w:line="234" w:lineRule="auto"/>
        <w:tabs>
          <w:tab w:leader="none" w:pos="628" w:val="left"/>
        </w:tabs>
        <w:numPr>
          <w:ilvl w:val="0"/>
          <w:numId w:val="19"/>
        </w:numPr>
        <w:rPr>
          <w:rFonts w:ascii="Arial" w:cs="Arial" w:eastAsia="Arial" w:hAnsi="Arial"/>
          <w:sz w:val="19"/>
          <w:szCs w:val="19"/>
          <w:color w:val="auto"/>
        </w:rPr>
      </w:pPr>
      <w:r>
        <w:rPr>
          <w:rFonts w:ascii="Arial" w:cs="Arial" w:eastAsia="Arial" w:hAnsi="Arial"/>
          <w:sz w:val="17"/>
          <w:szCs w:val="17"/>
          <w:color w:val="auto"/>
        </w:rPr>
        <w:t>an acquisition may result in a delay or reduction of sales for both us and the company we acquire due to uncertainty about continuity and effectiveness of products or support from either company;</w:t>
      </w:r>
    </w:p>
    <w:p>
      <w:pPr>
        <w:spacing w:after="0" w:line="238" w:lineRule="exact"/>
        <w:rPr>
          <w:rFonts w:ascii="Arial" w:cs="Arial" w:eastAsia="Arial" w:hAnsi="Arial"/>
          <w:sz w:val="19"/>
          <w:szCs w:val="19"/>
          <w:color w:val="auto"/>
        </w:rPr>
      </w:pPr>
    </w:p>
    <w:p>
      <w:pPr>
        <w:ind w:left="620" w:hanging="300"/>
        <w:spacing w:after="0"/>
        <w:tabs>
          <w:tab w:leader="none" w:pos="620" w:val="left"/>
        </w:tabs>
        <w:numPr>
          <w:ilvl w:val="0"/>
          <w:numId w:val="19"/>
        </w:numPr>
        <w:rPr>
          <w:rFonts w:ascii="Arial" w:cs="Arial" w:eastAsia="Arial" w:hAnsi="Arial"/>
          <w:sz w:val="19"/>
          <w:szCs w:val="19"/>
          <w:color w:val="auto"/>
        </w:rPr>
      </w:pPr>
      <w:r>
        <w:rPr>
          <w:rFonts w:ascii="Arial" w:cs="Arial" w:eastAsia="Arial" w:hAnsi="Arial"/>
          <w:sz w:val="17"/>
          <w:szCs w:val="17"/>
          <w:color w:val="auto"/>
        </w:rPr>
        <w:t>we may encounter difficulties in, or may be unable to, successfully sell any acquired products or services;</w:t>
      </w:r>
    </w:p>
    <w:p>
      <w:pPr>
        <w:spacing w:after="0" w:line="9" w:lineRule="exact"/>
        <w:rPr>
          <w:rFonts w:ascii="Arial" w:cs="Arial" w:eastAsia="Arial" w:hAnsi="Arial"/>
          <w:sz w:val="19"/>
          <w:szCs w:val="19"/>
          <w:color w:val="auto"/>
        </w:rPr>
      </w:pPr>
    </w:p>
    <w:p>
      <w:pPr>
        <w:ind w:left="640" w:hanging="320"/>
        <w:spacing w:after="0" w:line="239" w:lineRule="auto"/>
        <w:tabs>
          <w:tab w:leader="none" w:pos="628" w:val="left"/>
        </w:tabs>
        <w:numPr>
          <w:ilvl w:val="0"/>
          <w:numId w:val="19"/>
        </w:numPr>
        <w:rPr>
          <w:rFonts w:ascii="Arial" w:cs="Arial" w:eastAsia="Arial" w:hAnsi="Arial"/>
          <w:sz w:val="19"/>
          <w:szCs w:val="19"/>
          <w:color w:val="auto"/>
        </w:rPr>
      </w:pPr>
      <w:r>
        <w:rPr>
          <w:rFonts w:ascii="Arial" w:cs="Arial" w:eastAsia="Arial" w:hAnsi="Arial"/>
          <w:sz w:val="17"/>
          <w:szCs w:val="17"/>
          <w:color w:val="auto"/>
        </w:rPr>
        <w:t>an acquisition may involve the entry into geographic or business markets in which we have little or no prior experience or where competitors have stronger market positions;</w:t>
      </w:r>
    </w:p>
    <w:p>
      <w:pPr>
        <w:spacing w:after="0" w:line="238" w:lineRule="exact"/>
        <w:rPr>
          <w:rFonts w:ascii="Arial" w:cs="Arial" w:eastAsia="Arial" w:hAnsi="Arial"/>
          <w:sz w:val="19"/>
          <w:szCs w:val="19"/>
          <w:color w:val="auto"/>
        </w:rPr>
      </w:pPr>
    </w:p>
    <w:p>
      <w:pPr>
        <w:ind w:left="620" w:hanging="300"/>
        <w:spacing w:after="0"/>
        <w:tabs>
          <w:tab w:leader="none" w:pos="620" w:val="left"/>
        </w:tabs>
        <w:numPr>
          <w:ilvl w:val="0"/>
          <w:numId w:val="19"/>
        </w:numPr>
        <w:rPr>
          <w:rFonts w:ascii="Arial" w:cs="Arial" w:eastAsia="Arial" w:hAnsi="Arial"/>
          <w:sz w:val="19"/>
          <w:szCs w:val="19"/>
          <w:color w:val="auto"/>
        </w:rPr>
      </w:pPr>
      <w:r>
        <w:rPr>
          <w:rFonts w:ascii="Arial" w:cs="Arial" w:eastAsia="Arial" w:hAnsi="Arial"/>
          <w:sz w:val="17"/>
          <w:szCs w:val="17"/>
          <w:color w:val="auto"/>
        </w:rPr>
        <w:t>potential strain on our financial and managerial controls and reporting systems and procedures;</w:t>
      </w:r>
    </w:p>
    <w:p>
      <w:pPr>
        <w:spacing w:after="0" w:line="240" w:lineRule="exact"/>
        <w:rPr>
          <w:rFonts w:ascii="Arial" w:cs="Arial" w:eastAsia="Arial" w:hAnsi="Arial"/>
          <w:sz w:val="19"/>
          <w:szCs w:val="19"/>
          <w:color w:val="auto"/>
        </w:rPr>
      </w:pPr>
    </w:p>
    <w:p>
      <w:pPr>
        <w:ind w:left="620" w:hanging="300"/>
        <w:spacing w:after="0"/>
        <w:tabs>
          <w:tab w:leader="none" w:pos="620" w:val="left"/>
        </w:tabs>
        <w:numPr>
          <w:ilvl w:val="0"/>
          <w:numId w:val="19"/>
        </w:numPr>
        <w:rPr>
          <w:rFonts w:ascii="Arial" w:cs="Arial" w:eastAsia="Arial" w:hAnsi="Arial"/>
          <w:sz w:val="19"/>
          <w:szCs w:val="19"/>
          <w:color w:val="auto"/>
        </w:rPr>
      </w:pPr>
      <w:r>
        <w:rPr>
          <w:rFonts w:ascii="Arial" w:cs="Arial" w:eastAsia="Arial" w:hAnsi="Arial"/>
          <w:sz w:val="17"/>
          <w:szCs w:val="17"/>
          <w:color w:val="auto"/>
        </w:rPr>
        <w:t>potential known and unknown liabilities associated with an acquired company;</w:t>
      </w:r>
    </w:p>
    <w:p>
      <w:pPr>
        <w:spacing w:after="0" w:line="240" w:lineRule="exact"/>
        <w:rPr>
          <w:rFonts w:ascii="Arial" w:cs="Arial" w:eastAsia="Arial" w:hAnsi="Arial"/>
          <w:sz w:val="19"/>
          <w:szCs w:val="19"/>
          <w:color w:val="auto"/>
        </w:rPr>
      </w:pPr>
    </w:p>
    <w:p>
      <w:pPr>
        <w:ind w:left="640" w:hanging="320"/>
        <w:spacing w:after="0" w:line="245" w:lineRule="auto"/>
        <w:tabs>
          <w:tab w:leader="none" w:pos="628" w:val="left"/>
        </w:tabs>
        <w:numPr>
          <w:ilvl w:val="0"/>
          <w:numId w:val="19"/>
        </w:numPr>
        <w:rPr>
          <w:rFonts w:ascii="Arial" w:cs="Arial" w:eastAsia="Arial" w:hAnsi="Arial"/>
          <w:sz w:val="19"/>
          <w:szCs w:val="19"/>
          <w:color w:val="auto"/>
        </w:rPr>
      </w:pPr>
      <w:r>
        <w:rPr>
          <w:rFonts w:ascii="Arial" w:cs="Arial" w:eastAsia="Arial" w:hAnsi="Arial"/>
          <w:sz w:val="17"/>
          <w:szCs w:val="17"/>
          <w:color w:val="auto"/>
        </w:rPr>
        <w:t>if we incur debt to fund such acquisitions, such debt may subject us to material restrictions on our ability to conduct our business as well as financial maintenance covenants;</w:t>
      </w:r>
    </w:p>
    <w:p>
      <w:pPr>
        <w:spacing w:after="0" w:line="233" w:lineRule="exact"/>
        <w:rPr>
          <w:rFonts w:ascii="Arial" w:cs="Arial" w:eastAsia="Arial" w:hAnsi="Arial"/>
          <w:sz w:val="19"/>
          <w:szCs w:val="19"/>
          <w:color w:val="auto"/>
        </w:rPr>
      </w:pPr>
    </w:p>
    <w:p>
      <w:pPr>
        <w:ind w:left="620" w:hanging="300"/>
        <w:spacing w:after="0"/>
        <w:tabs>
          <w:tab w:leader="none" w:pos="620" w:val="left"/>
        </w:tabs>
        <w:numPr>
          <w:ilvl w:val="0"/>
          <w:numId w:val="19"/>
        </w:numPr>
        <w:rPr>
          <w:rFonts w:ascii="Arial" w:cs="Arial" w:eastAsia="Arial" w:hAnsi="Arial"/>
          <w:sz w:val="19"/>
          <w:szCs w:val="19"/>
          <w:color w:val="auto"/>
        </w:rPr>
      </w:pPr>
      <w:r>
        <w:rPr>
          <w:rFonts w:ascii="Arial" w:cs="Arial" w:eastAsia="Arial" w:hAnsi="Arial"/>
          <w:sz w:val="17"/>
          <w:szCs w:val="17"/>
          <w:color w:val="auto"/>
        </w:rPr>
        <w:t>the risk of impairment charges related to potential write-downs of acquired assets or goodwill in future acquisitions;</w:t>
      </w:r>
    </w:p>
    <w:p>
      <w:pPr>
        <w:spacing w:after="0" w:line="240" w:lineRule="exact"/>
        <w:rPr>
          <w:rFonts w:ascii="Arial" w:cs="Arial" w:eastAsia="Arial" w:hAnsi="Arial"/>
          <w:sz w:val="19"/>
          <w:szCs w:val="19"/>
          <w:color w:val="auto"/>
        </w:rPr>
      </w:pPr>
    </w:p>
    <w:p>
      <w:pPr>
        <w:ind w:left="640" w:hanging="320"/>
        <w:spacing w:after="0" w:line="245" w:lineRule="auto"/>
        <w:tabs>
          <w:tab w:leader="none" w:pos="628" w:val="left"/>
        </w:tabs>
        <w:numPr>
          <w:ilvl w:val="0"/>
          <w:numId w:val="19"/>
        </w:numPr>
        <w:rPr>
          <w:rFonts w:ascii="Arial" w:cs="Arial" w:eastAsia="Arial" w:hAnsi="Arial"/>
          <w:sz w:val="19"/>
          <w:szCs w:val="19"/>
          <w:color w:val="auto"/>
        </w:rPr>
      </w:pPr>
      <w:r>
        <w:rPr>
          <w:rFonts w:ascii="Arial" w:cs="Arial" w:eastAsia="Arial" w:hAnsi="Arial"/>
          <w:sz w:val="17"/>
          <w:szCs w:val="17"/>
          <w:color w:val="auto"/>
        </w:rPr>
        <w:t>to the extent that we issue a significant amount of equity or convertible debt securities in connection with future acquisitions, existing equity holders may be diluted and earnings per share may decrease; and</w:t>
      </w:r>
    </w:p>
    <w:p>
      <w:pPr>
        <w:spacing w:after="0" w:line="233" w:lineRule="exact"/>
        <w:rPr>
          <w:rFonts w:ascii="Arial" w:cs="Arial" w:eastAsia="Arial" w:hAnsi="Arial"/>
          <w:sz w:val="19"/>
          <w:szCs w:val="19"/>
          <w:color w:val="auto"/>
        </w:rPr>
      </w:pPr>
    </w:p>
    <w:p>
      <w:pPr>
        <w:ind w:left="620" w:hanging="300"/>
        <w:spacing w:after="0"/>
        <w:tabs>
          <w:tab w:leader="none" w:pos="620" w:val="left"/>
        </w:tabs>
        <w:numPr>
          <w:ilvl w:val="0"/>
          <w:numId w:val="19"/>
        </w:numPr>
        <w:rPr>
          <w:rFonts w:ascii="Arial" w:cs="Arial" w:eastAsia="Arial" w:hAnsi="Arial"/>
          <w:sz w:val="19"/>
          <w:szCs w:val="19"/>
          <w:color w:val="auto"/>
        </w:rPr>
      </w:pPr>
      <w:r>
        <w:rPr>
          <w:rFonts w:ascii="Arial" w:cs="Arial" w:eastAsia="Arial" w:hAnsi="Arial"/>
          <w:sz w:val="17"/>
          <w:szCs w:val="17"/>
          <w:color w:val="auto"/>
        </w:rPr>
        <w:t>managing the varying intellectual property protection strategies and other activities of an acquired company.</w:t>
      </w:r>
    </w:p>
    <w:p>
      <w:pPr>
        <w:spacing w:after="0" w:line="201"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9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85"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We may need to raise additional capital and the funding contemplated by the Notes and Warrants Purchase Agreement and Facility may not be sufficient or available in full. Such additional capital may cause dilution to our stockholders. Further, the likelihood that the Investor will exercise the Investor Warrants or that other warrant holders will exercise their warrants, and therefore the amount of cash proceeds that we would receive, is dependent upon the trading price of our shares of common stock, which is currently below the applicable exercise price. If the trading price for our shares of common stock is less than the applicable exercise price, we believe the warrant holders will be unlikely to exercise their warrants. If our need is due to unforeseen circumstances or material expenditures or if our operating results are worse than expected, then we cannot be certain that we will be able to obtain additional financing on favorable terms, if at all, and these additional financings could cause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861" w:right="339" w:bottom="1440" w:gutter="0" w:footer="0" w:header="0"/>
        </w:sectPr>
      </w:pPr>
    </w:p>
    <w:bookmarkStart w:id="56" w:name="page57"/>
    <w:bookmarkEnd w:id="56"/>
    <w:p>
      <w:pPr>
        <w:jc w:val="both"/>
        <w:spacing w:after="0" w:line="243" w:lineRule="auto"/>
        <w:rPr>
          <w:sz w:val="20"/>
          <w:szCs w:val="20"/>
          <w:color w:val="auto"/>
        </w:rPr>
      </w:pPr>
      <w:r>
        <w:rPr>
          <w:rFonts w:ascii="Arial" w:cs="Arial" w:eastAsia="Arial" w:hAnsi="Arial"/>
          <w:sz w:val="17"/>
          <w:szCs w:val="17"/>
          <w:color w:val="auto"/>
        </w:rPr>
        <w:t>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SpringBig may be unable to obtain additional financing to fund its operations or growth.</w:t>
      </w:r>
    </w:p>
    <w:p>
      <w:pPr>
        <w:spacing w:after="0" w:line="237"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SpringBig may require additional financing to fund its operations or growth. The failure to secure additional financing could have a material adverse effect on the continued development or growth of SpringBig. Any funds we raise may not be sufficient to enable us to continue to implement our long-term business strategy. Further, our ability to raise additional capital may be adversely impacted by potential worsening global economic conditions and the recent disruptions to and volatility in the credit and financial markets in the United States. We may not be able to find financing on terms favorable to us, if at all. If we are unable to obtain adequate financing or financing on terms satisfactory to us when we require it, such inability to obtain financing when needed may make it more difficult for us to operate our business or implement our growth plans or respond to business challenges could be significantly impaired, and our business may be harmed.</w:t>
      </w:r>
    </w:p>
    <w:p>
      <w:pPr>
        <w:spacing w:after="0" w:line="209"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b w:val="1"/>
          <w:bCs w:val="1"/>
          <w:i w:val="1"/>
          <w:iCs w:val="1"/>
          <w:color w:val="auto"/>
        </w:rPr>
        <w:t>Our obligations to the holder of our Secured Convertible Notes and Investor Warrants are secured by a security interest in substantially all of our assets, so if we default on those obligations, the noteholders could foreclose on, liquidate and/or take possession of our assets. If that were to happen, we could be forced to curtail, or even to cease, our operations.</w:t>
      </w:r>
    </w:p>
    <w:p>
      <w:pPr>
        <w:spacing w:after="0" w:line="198" w:lineRule="exact"/>
        <w:rPr>
          <w:sz w:val="20"/>
          <w:szCs w:val="20"/>
          <w:color w:val="auto"/>
        </w:rPr>
      </w:pPr>
    </w:p>
    <w:p>
      <w:pPr>
        <w:jc w:val="both"/>
        <w:ind w:firstLine="315"/>
        <w:spacing w:after="0" w:line="285" w:lineRule="auto"/>
        <w:rPr>
          <w:sz w:val="20"/>
          <w:szCs w:val="20"/>
          <w:color w:val="auto"/>
        </w:rPr>
      </w:pPr>
      <w:r>
        <w:rPr>
          <w:rFonts w:ascii="Arial" w:cs="Arial" w:eastAsia="Arial" w:hAnsi="Arial"/>
          <w:sz w:val="15"/>
          <w:szCs w:val="15"/>
          <w:color w:val="auto"/>
        </w:rPr>
        <w:t>On April 29, 2022, the Company entered into the Notes and Warrants Purchase Agreement with the Investor, pursuant to which the Company, on June 14, 2022, issued the first tranche of Secured Convertible Notes and may issue a second tranche of such notes to the Investor. Simultaneously, Legacy SpringBig entered into a guaranty agreement to guarantee the Company’s obligations under the Secured Convertible Notes and the Company and Legacy SpringBig entered into a security agreement, pursuant to which the Investor was granted a security interest in all of the assets of the Company and Legacy SpringBig to secure repayment of amounts due under the Secured Convertible Notes. As a result, if we default on our obligations under the Secured Convertible Notes, the Investor could foreclose on its security interests and liquidate or take possession of some or all of the assets of the Company, Legacy SpringBig and its subsidiaries, which would harm our business, financial condition and results of operations and could require us to curtail, or even to cease our operations.</w:t>
      </w:r>
    </w:p>
    <w:p>
      <w:pPr>
        <w:spacing w:after="0" w:line="17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Our notes and related agreements restrict our ability to obtain additional debt and equity financing which may restrict our ability to grow and finance our operations and, further, no assurances can be made that we will receive cash proceeds from the Investor Warrants.</w:t>
      </w:r>
    </w:p>
    <w:p>
      <w:pPr>
        <w:spacing w:after="0" w:line="172" w:lineRule="exact"/>
        <w:rPr>
          <w:sz w:val="20"/>
          <w:szCs w:val="20"/>
          <w:color w:val="auto"/>
        </w:rPr>
      </w:pPr>
    </w:p>
    <w:p>
      <w:pPr>
        <w:jc w:val="both"/>
        <w:ind w:firstLine="315"/>
        <w:spacing w:after="0" w:line="245" w:lineRule="auto"/>
        <w:rPr>
          <w:sz w:val="20"/>
          <w:szCs w:val="20"/>
          <w:color w:val="auto"/>
        </w:rPr>
      </w:pPr>
      <w:r>
        <w:rPr>
          <w:rFonts w:ascii="Arial" w:cs="Arial" w:eastAsia="Arial" w:hAnsi="Arial"/>
          <w:sz w:val="17"/>
          <w:szCs w:val="17"/>
          <w:color w:val="auto"/>
        </w:rPr>
        <w:t>The agreements related to the sale of the Secured Convertible Notes and Investor Warrants contain a number of restrictive covenants that may impose significant operating and financial restrictions on us while Secured Convertible Notes remain outstanding or unless the restrictions are waived by consent of each noteholder, including restrictions on our ability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issue additional equity (outside of the Facility, issuances under our equity compensation plan and other limited exceptions); enter into variable rate transactions (exclusive of the Facility); and adopt certain amendments to our governing documents, among other restrictions. In addition, the terms of the Secured Convertible Notes restrict our ability to issue additional equity capital. The Company does not have the ability to prepay the Secured Convertible Notes prior to maturity except to the limited extent of proceeds from the Cantor Equity Facility to the extent available.</w:t>
      </w:r>
    </w:p>
    <w:p>
      <w:pPr>
        <w:spacing w:after="0" w:line="208"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A breach of the covenants or restrictions under the agreements governing our indebtedness could result in an event of default under these agreements. As a result of these restrictions, we may be limited in how we conduct our business, unable to raise additional debt or equity financing to operate during general economic or business downturns and/or unable to compete effectively or to take advantage of new business opportunities.</w:t>
      </w:r>
    </w:p>
    <w:p>
      <w:pPr>
        <w:spacing w:after="0" w:line="185"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Further, while we could potentially receive up to an aggregate of approximately $21 million in gross proceeds from the exercise of the Investor Warrants, assuming the exercise in full of all of the Investor Warrants, no assurances can be made that the Investor will elect to exercise any or all of such Investor Warrants and, accordingly, no assurance that we will receive any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320" w:top="861" w:right="339" w:bottom="1440" w:gutter="0" w:footer="0" w:header="0"/>
        </w:sectPr>
      </w:pPr>
    </w:p>
    <w:bookmarkStart w:id="57" w:name="page58"/>
    <w:bookmarkEnd w:id="57"/>
    <w:p>
      <w:pPr>
        <w:jc w:val="both"/>
        <w:spacing w:after="0" w:line="245" w:lineRule="auto"/>
        <w:rPr>
          <w:sz w:val="20"/>
          <w:szCs w:val="20"/>
          <w:color w:val="auto"/>
        </w:rPr>
      </w:pPr>
      <w:r>
        <w:rPr>
          <w:rFonts w:ascii="Arial" w:cs="Arial" w:eastAsia="Arial" w:hAnsi="Arial"/>
          <w:sz w:val="17"/>
          <w:szCs w:val="17"/>
          <w:color w:val="auto"/>
        </w:rPr>
        <w:t>proceeds from the exercise of the Investor Warrants. We believe the likelihood that the Investor will exercise the Investor Warrants, and therefore the amount of cash proceeds that we would receive, is dependent upon the trading price of our shares of common stock, which is currently below the $12.00 exercise price. If the trading price for our shares of common stock is less than $12.00 per share (or the adjusted exercise price in the event of dilutive issuances), we believe the Investor will be unlikely to exercise their warrants. Accordingly, we may not receive cash proceeds with respect to the Investor Warrants and we are restricted in our ability to raise additional debt or equity financing.</w:t>
      </w:r>
    </w:p>
    <w:p>
      <w:pPr>
        <w:spacing w:after="0" w:line="20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Changes in laws or regulations, or a failure to comply with any laws and regulations, may adversely affect our business, investments and results of operations.</w:t>
      </w:r>
    </w:p>
    <w:p>
      <w:pPr>
        <w:spacing w:after="0" w:line="18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the Nasdaq stock exchange. In particular, we are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our business, investments and results of operations. In addition, a failure to comply with applicable laws, regulations and rules, as interpreted and applied, could have a material adverse effect on our business and results of operations.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be subject to potential adverse tax consequences both domestically and in Canada.</w:t>
      </w:r>
    </w:p>
    <w:p>
      <w:pPr>
        <w:spacing w:after="0" w:line="237"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We are a Delaware corporation that is treated as a C-corporation for U.S. federal and most applicable state and local income tax purposes.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and will continue to comply,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99" w:lineRule="exact"/>
        <w:rPr>
          <w:sz w:val="20"/>
          <w:szCs w:val="20"/>
          <w:color w:val="auto"/>
        </w:rPr>
      </w:pPr>
    </w:p>
    <w:p>
      <w:pPr>
        <w:jc w:val="both"/>
        <w:ind w:firstLine="315"/>
        <w:spacing w:after="0" w:line="307" w:lineRule="auto"/>
        <w:rPr>
          <w:sz w:val="20"/>
          <w:szCs w:val="20"/>
          <w:color w:val="auto"/>
        </w:rPr>
      </w:pPr>
      <w:r>
        <w:rPr>
          <w:rFonts w:ascii="Arial" w:cs="Arial" w:eastAsia="Arial" w:hAnsi="Arial"/>
          <w:sz w:val="15"/>
          <w:szCs w:val="15"/>
          <w:b w:val="1"/>
          <w:bCs w:val="1"/>
          <w:i w:val="1"/>
          <w:iCs w:val="1"/>
          <w:color w:val="auto"/>
        </w:rPr>
        <w:t>The ability of SpringBig to utilize net operating loss and tax credit carryforwards is conditioned upon SpringBig attaining profitability and generating taxable income. SpringBig has incurred significant net losses since inception and it is anticipated that SpringBig will continue to incur significant losses. Additionally, SpringBig’s ability to utilize net operating loss and tax credit carryforwards to offset future taxable income may be limited.</w:t>
      </w:r>
    </w:p>
    <w:p>
      <w:pPr>
        <w:spacing w:after="0" w:line="164" w:lineRule="exact"/>
        <w:rPr>
          <w:sz w:val="20"/>
          <w:szCs w:val="20"/>
          <w:color w:val="auto"/>
        </w:rPr>
      </w:pPr>
    </w:p>
    <w:p>
      <w:pPr>
        <w:jc w:val="both"/>
        <w:ind w:firstLine="315"/>
        <w:spacing w:after="0" w:line="259" w:lineRule="auto"/>
        <w:rPr>
          <w:sz w:val="20"/>
          <w:szCs w:val="20"/>
          <w:color w:val="auto"/>
        </w:rPr>
      </w:pPr>
      <w:r>
        <w:rPr>
          <w:rFonts w:ascii="Arial" w:cs="Arial" w:eastAsia="Arial" w:hAnsi="Arial"/>
          <w:sz w:val="16"/>
          <w:szCs w:val="16"/>
          <w:color w:val="auto"/>
        </w:rPr>
        <w:t>As of December 31, 2021, SpringBig had approximately $12 million of U.S. federal net operating loss carryforwards available to reduce future taxable income, which can be carried forward indefinitely. The Tax Cuts and Jobs Act (the “Tax Act”) included a reduction to the maximum deduction allowed for net operating losses generated in tax years after December 31, 2017 and the elimination of carrybacks of net operating losses. In addition,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ownership by “5% shareholders” that exceeds 50 percentage points over a rolling three-year period. If SpringBig has experienced an ownership change at any time since its incorporation, SpringBig may already be subject to limitations on its ability to utilize its existing net operating loss carryforwards and other tax attributes to offset taxable income or tax liability. In addition, the business combination, and future changes in SpringBig’s stock ownership, which may be outside of SpringBig’s control, may trigger an ownership change. Similar provisions of state tax law may also apply to limit SpringBig’s use of accumulated state tax attributes. As a result, even if SpringBig earns net taxable income in the future, its ability to use its pre-change net operating loss carryforwards and other tax attributes to offset such taxable income or tax liability may be subject to limitations, which could potentially result in increased future income tax liability to SpringBig.</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Changes in accounting standards or other factors could negatively impact our future effective tax rate.</w:t>
      </w:r>
    </w:p>
    <w:p>
      <w:pPr>
        <w:spacing w:after="0" w:line="237"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40"/>
          </w:cols>
          <w:pgMar w:left="320" w:top="861" w:right="339" w:bottom="1440" w:gutter="0" w:footer="0" w:header="0"/>
        </w:sectPr>
      </w:pPr>
    </w:p>
    <w:bookmarkStart w:id="58" w:name="page59"/>
    <w:bookmarkEnd w:id="58"/>
    <w:p>
      <w:pPr>
        <w:jc w:val="both"/>
        <w:ind w:firstLine="315"/>
        <w:spacing w:after="0" w:line="273" w:lineRule="auto"/>
        <w:rPr>
          <w:sz w:val="20"/>
          <w:szCs w:val="20"/>
          <w:color w:val="auto"/>
        </w:rPr>
      </w:pPr>
      <w:r>
        <w:rPr>
          <w:rFonts w:ascii="Arial" w:cs="Arial" w:eastAsia="Arial" w:hAnsi="Arial"/>
          <w:sz w:val="17"/>
          <w:szCs w:val="17"/>
          <w:color w:val="auto"/>
        </w:rPr>
        <w:t>Although we believe that our tax estimates are reasonable, we cannot ensure that the final determination of tax audits or tax disputes will not be different from what is reflected in our historical income tax provisions and accruals.</w:t>
      </w:r>
    </w:p>
    <w:p>
      <w:pPr>
        <w:spacing w:after="0" w:line="17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185" w:lineRule="exact"/>
        <w:rPr>
          <w:sz w:val="20"/>
          <w:szCs w:val="20"/>
          <w:color w:val="auto"/>
        </w:rPr>
      </w:pPr>
    </w:p>
    <w:p>
      <w:pPr>
        <w:jc w:val="both"/>
        <w:ind w:firstLine="315"/>
        <w:spacing w:after="0" w:line="245" w:lineRule="auto"/>
        <w:rPr>
          <w:sz w:val="20"/>
          <w:szCs w:val="20"/>
          <w:color w:val="auto"/>
        </w:rPr>
      </w:pPr>
      <w:r>
        <w:rPr>
          <w:rFonts w:ascii="Arial" w:cs="Arial" w:eastAsia="Arial" w:hAnsi="Arial"/>
          <w:sz w:val="17"/>
          <w:szCs w:val="17"/>
          <w:color w:val="auto"/>
        </w:rPr>
        <w:t>We are subject to the income tax laws of the United States and Canada.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 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210"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Certain taxing authorities may successfully assert that SpringBig should have collected or that in the future SpringBig should collect sales and use or similar taxes for certain services which could adversely affect our results of operations.</w:t>
      </w:r>
    </w:p>
    <w:p>
      <w:pPr>
        <w:spacing w:after="0" w:line="172" w:lineRule="exact"/>
        <w:rPr>
          <w:sz w:val="20"/>
          <w:szCs w:val="20"/>
          <w:color w:val="auto"/>
        </w:rPr>
      </w:pPr>
    </w:p>
    <w:p>
      <w:pPr>
        <w:jc w:val="both"/>
        <w:ind w:firstLine="315"/>
        <w:spacing w:after="0" w:line="247" w:lineRule="auto"/>
        <w:rPr>
          <w:sz w:val="20"/>
          <w:szCs w:val="20"/>
          <w:color w:val="auto"/>
        </w:rPr>
      </w:pPr>
      <w:r>
        <w:rPr>
          <w:rFonts w:ascii="Arial" w:cs="Arial" w:eastAsia="Arial" w:hAnsi="Arial"/>
          <w:sz w:val="17"/>
          <w:szCs w:val="17"/>
          <w:color w:val="auto"/>
        </w:rPr>
        <w:t>We do not collect sales and use or similar taxes in the United States or Canada based on our determination that such taxes are not applicable to our platform. Based on the U.S. Supreme Court’s ruling in South Dakota v. Wayfair, certain state taxing authorities may assert that SpringBig had economic nexus with their state and was required to collect sales and use or similar taxes with respect to certain past services that SpringBig has provided (or with respect to future services that SpringBig will provide), which could result in tax assessments and penalties and interest. A successful assertion that SpringBig should be collecting additional sales and use or similar taxes or remitting such sales and use or similar taxes directly to states or other jurisdictions could have an adverse effect on SpringBig and its business.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Additional Risks Related to the Cannabis Industry</w:t>
      </w:r>
    </w:p>
    <w:p>
      <w:pPr>
        <w:spacing w:after="0" w:line="243"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Cannabis remains illegal under federal law, and therefore, strict enforcement of federal laws regarding cannabis would likely result in our inability to execute our business plan.</w:t>
      </w:r>
    </w:p>
    <w:p>
      <w:pPr>
        <w:spacing w:after="0" w:line="185" w:lineRule="exact"/>
        <w:rPr>
          <w:sz w:val="20"/>
          <w:szCs w:val="20"/>
          <w:color w:val="auto"/>
        </w:rPr>
      </w:pPr>
    </w:p>
    <w:p>
      <w:pPr>
        <w:jc w:val="both"/>
        <w:ind w:firstLine="315"/>
        <w:spacing w:after="0" w:line="243" w:lineRule="auto"/>
        <w:rPr>
          <w:sz w:val="20"/>
          <w:szCs w:val="20"/>
          <w:color w:val="auto"/>
        </w:rPr>
      </w:pPr>
      <w:r>
        <w:rPr>
          <w:rFonts w:ascii="Arial" w:cs="Arial" w:eastAsia="Arial" w:hAnsi="Arial"/>
          <w:sz w:val="17"/>
          <w:szCs w:val="17"/>
          <w:color w:val="auto"/>
        </w:rPr>
        <w:t>Cannabis, other than hemp (defined by the U.S. government as Cannabis sativa L. with a THC concentration of not more than 0.3% on a dry weight basis), is a Schedule I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the Biden administration, although prosecutions against state-legal entities cannot be ruled out.</w:t>
      </w:r>
    </w:p>
    <w:p>
      <w:pPr>
        <w:spacing w:after="0" w:line="212"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nearly three years ago, however, U.S. Attorneys have generally not prioritized the targeting of state law compliant entities.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1098" w:right="339" w:bottom="1440" w:gutter="0" w:footer="0" w:header="0"/>
        </w:sectPr>
      </w:pPr>
    </w:p>
    <w:bookmarkStart w:id="59" w:name="page60"/>
    <w:bookmarkEnd w:id="59"/>
    <w:p>
      <w:pPr>
        <w:jc w:val="both"/>
        <w:ind w:firstLine="315"/>
        <w:spacing w:after="0" w:line="282" w:lineRule="auto"/>
        <w:rPr>
          <w:sz w:val="20"/>
          <w:szCs w:val="20"/>
          <w:color w:val="auto"/>
        </w:rPr>
      </w:pPr>
      <w:r>
        <w:rPr>
          <w:rFonts w:ascii="Arial" w:cs="Arial" w:eastAsia="Arial" w:hAnsi="Arial"/>
          <w:sz w:val="15"/>
          <w:szCs w:val="15"/>
          <w:color w:val="auto"/>
        </w:rPr>
        <w:t>Attorney General William Barr testified in his confirmation hearing on January 15, 2019, that he would not upset “settled expectations,” “investments,” or other “reliance interest[s]” arising as a result of the Cole Memo, and that he did not intend to devote federal resources to enforce federal cannabis laws in states that have legalized cannabis “to the extent people are complying with the state laws.” He stated: “My approach to this would be not to upset settled expectations and the reliance interests that have arisen as a result of the Cole Memorandum and investments have been made and so there has been reliance on it, so I don’t think it’s appropriate to upset those interests.” He also implied that the CSA’s prohibitions of cannabis may be implicitly nullified in states that have legalized cannabis: “[T]he current situation … is almost like a back-door nullification of federal law.” Industry observers generally have not interpreted Attorney General Barr’s comments to suggest that the DOJ would proceed with cases against participants who entered the state-legal industry after the Cole Memo’s rescission.</w:t>
      </w:r>
    </w:p>
    <w:p>
      <w:pPr>
        <w:spacing w:after="0" w:line="181" w:lineRule="exact"/>
        <w:rPr>
          <w:sz w:val="20"/>
          <w:szCs w:val="20"/>
          <w:color w:val="auto"/>
        </w:rPr>
      </w:pPr>
    </w:p>
    <w:p>
      <w:pPr>
        <w:jc w:val="both"/>
        <w:ind w:firstLine="315"/>
        <w:spacing w:after="0" w:line="258" w:lineRule="auto"/>
        <w:rPr>
          <w:sz w:val="20"/>
          <w:szCs w:val="20"/>
          <w:color w:val="auto"/>
        </w:rPr>
      </w:pPr>
      <w:r>
        <w:rPr>
          <w:rFonts w:ascii="Arial" w:cs="Arial" w:eastAsia="Arial" w:hAnsi="Arial"/>
          <w:sz w:val="16"/>
          <w:szCs w:val="16"/>
          <w:color w:val="auto"/>
        </w:rPr>
        <w:t>As such, 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In USA vs. McIntosh,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Certain of our clients that are retailers currently (and may in the future) sell adult-use cannabis, if permitted by such state and local laws now or in the future, and therefore may be outside any protections extended to medical-use cannabis under the spending bill provision. This could subject such retailer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207"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On March 11, 2021, Merrick Garland was sworn in as the U.S. Attorney General. During his campaign, President Biden stated a policy goal to decriminalize possession of cannabis at the federal level, but he has not publicly supported the full legalization of cannabis. In response to questions posed by Senator Cory Booker, Merrick Garland stated during February 2021 congressional testimony that he would reinstitute a version of the Cole Memorandum. He reiterated the statement that the Justice Department under his leadership would not pursue cases against Americans “complying with the laws in states that have legalized and are effectively regulating marijuana”, in written responses to the Senate Judiciary Committee provided around March 1. It is not yet known whether the Department of Justice under President Biden and Attorney General Garland, will re-adopt the Cole Memorandum or announce a substantive marijuana enforcement policy. Justice Garland indicated at a confirmation hearing before the United States Senate that it did not seem to him to be a useful use of limited resources to pursue prosecutions in states that have legalized and that are regulating the use of marijuana, either medically or otherwise. It is unclear what impact, if any, the current or any new administration will or would have on U.S. federal government enforcement policy on cannabis. Nonetheless, there is no guarantee that the position of the Department of Justice will not change.</w:t>
      </w:r>
    </w:p>
    <w:p>
      <w:pPr>
        <w:spacing w:after="0" w:line="197"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Industry observers are hopeful that a Democrat-controlled Senate, along with a Biden presidency, will increase the chances of federal cannabis policy reform. Numerous bills have attracted attention, including the Marijuana Opportunity Reinvestment and Expungement Act (the “MORE Act”), which was originally co-sponsored by now Vice President Harris in the Senate, and the Secure and Fair Enforcement Banking Act, which recently passed the House of Representatives but has not yet passed the Senate. Senate Majority leader Chuck Schumer also has proposed draft legislation that would legalize cannabis at the federal level (the “Cannabis Administration and Opportunity Act”). Representative Nancy Mace (R. South Carolina) introduced proposed draft legislation to decriminalize and tax cannabis at the federal level, with hopes that her “States Reform Act” will garner bi-partisan support. However, we cannot provide assurances about the content, timing or chances of passage of a bill legalizing cannabis or liberalizing cannabis regulations. Accordingly, we cannot predict the timing of any change in federal law or possible changes in federal enforcement. In the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85"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861" w:right="339" w:bottom="1440" w:gutter="0" w:footer="0" w:header="0"/>
        </w:sectPr>
      </w:pPr>
    </w:p>
    <w:bookmarkStart w:id="60" w:name="page61"/>
    <w:bookmarkEnd w:id="60"/>
    <w:p>
      <w:pPr>
        <w:jc w:val="both"/>
        <w:spacing w:after="0" w:line="249" w:lineRule="auto"/>
        <w:rPr>
          <w:sz w:val="20"/>
          <w:szCs w:val="20"/>
          <w:color w:val="auto"/>
        </w:rPr>
      </w:pPr>
      <w:r>
        <w:rPr>
          <w:rFonts w:ascii="Arial" w:cs="Arial" w:eastAsia="Arial" w:hAnsi="Arial"/>
          <w:sz w:val="17"/>
          <w:szCs w:val="17"/>
          <w:color w:val="auto"/>
        </w:rPr>
        <w:t>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205"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w:t>
      </w:r>
    </w:p>
    <w:p>
      <w:pPr>
        <w:spacing w:after="0" w:line="207" w:lineRule="exact"/>
        <w:rPr>
          <w:sz w:val="20"/>
          <w:szCs w:val="20"/>
          <w:color w:val="auto"/>
        </w:rPr>
      </w:pPr>
    </w:p>
    <w:p>
      <w:pPr>
        <w:jc w:val="both"/>
        <w:ind w:firstLine="315"/>
        <w:spacing w:after="0" w:line="278" w:lineRule="auto"/>
        <w:rPr>
          <w:sz w:val="20"/>
          <w:szCs w:val="20"/>
          <w:color w:val="auto"/>
        </w:rPr>
      </w:pPr>
      <w:r>
        <w:rPr>
          <w:rFonts w:ascii="Arial" w:cs="Arial" w:eastAsia="Arial" w:hAnsi="Arial"/>
          <w:sz w:val="15"/>
          <w:szCs w:val="15"/>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8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18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185" w:lineRule="exact"/>
        <w:rPr>
          <w:sz w:val="20"/>
          <w:szCs w:val="20"/>
          <w:color w:val="auto"/>
        </w:rPr>
      </w:pPr>
    </w:p>
    <w:p>
      <w:pPr>
        <w:jc w:val="both"/>
        <w:ind w:firstLine="315"/>
        <w:spacing w:after="0" w:line="259" w:lineRule="auto"/>
        <w:rPr>
          <w:sz w:val="20"/>
          <w:szCs w:val="20"/>
          <w:color w:val="auto"/>
        </w:rPr>
      </w:pPr>
      <w:r>
        <w:rPr>
          <w:rFonts w:ascii="Arial" w:cs="Arial" w:eastAsia="Arial" w:hAnsi="Arial"/>
          <w:sz w:val="16"/>
          <w:szCs w:val="16"/>
          <w:color w:val="auto"/>
        </w:rPr>
        <w:t>We are dependent on the banking industry to support the financial functions of our products and solutions. Our business operating functions including payroll for our employees, real estate leases, and other expenses are handled and reliant on traditional banking.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or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201" w:lineRule="exact"/>
        <w:rPr>
          <w:sz w:val="20"/>
          <w:szCs w:val="20"/>
          <w:color w:val="auto"/>
        </w:rPr>
      </w:pPr>
    </w:p>
    <w:p>
      <w:pPr>
        <w:jc w:val="both"/>
        <w:ind w:firstLine="315"/>
        <w:spacing w:after="0" w:line="243" w:lineRule="auto"/>
        <w:rPr>
          <w:sz w:val="20"/>
          <w:szCs w:val="20"/>
          <w:color w:val="auto"/>
        </w:rPr>
      </w:pPr>
      <w:r>
        <w:rPr>
          <w:rFonts w:ascii="Arial" w:cs="Arial" w:eastAsia="Arial" w:hAnsi="Arial"/>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or the IRS, a Form 8300 report within 15 days of receiving a cash payment of over $10,000. While we do not receive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861" w:right="339" w:bottom="1440" w:gutter="0" w:footer="0" w:header="0"/>
        </w:sectPr>
      </w:pPr>
    </w:p>
    <w:bookmarkStart w:id="61" w:name="page62"/>
    <w:bookmarkEnd w:id="61"/>
    <w:p>
      <w:pPr>
        <w:jc w:val="both"/>
        <w:spacing w:after="0" w:line="244" w:lineRule="auto"/>
        <w:rPr>
          <w:sz w:val="20"/>
          <w:szCs w:val="20"/>
          <w:color w:val="auto"/>
        </w:rPr>
      </w:pPr>
      <w:r>
        <w:rPr>
          <w:rFonts w:ascii="Arial" w:cs="Arial" w:eastAsia="Arial" w:hAnsi="Arial"/>
          <w:sz w:val="17"/>
          <w:szCs w:val="17"/>
          <w:color w:val="auto"/>
        </w:rPr>
        <w:t>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platforms,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211" w:lineRule="exact"/>
        <w:rPr>
          <w:sz w:val="20"/>
          <w:szCs w:val="20"/>
          <w:color w:val="auto"/>
        </w:rPr>
      </w:pPr>
    </w:p>
    <w:p>
      <w:pPr>
        <w:jc w:val="both"/>
        <w:ind w:firstLine="315"/>
        <w:spacing w:after="0" w:line="243" w:lineRule="auto"/>
        <w:rPr>
          <w:sz w:val="20"/>
          <w:szCs w:val="20"/>
          <w:color w:val="auto"/>
        </w:rPr>
      </w:pPr>
      <w:r>
        <w:rPr>
          <w:rFonts w:ascii="Arial" w:cs="Arial" w:eastAsia="Arial" w:hAnsi="Arial"/>
          <w:sz w:val="17"/>
          <w:szCs w:val="17"/>
          <w:color w:val="auto"/>
        </w:rPr>
        <w:t>We do not sell cannabis, or products that contain cannabis; accordingly, our company is not part of the cannabis industry that would be restricted from using federal and federally insured banks. However, because of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SpringBig and could materially adversely affect our business and operations. In addition to banks and financial institutions, merchant processors may take a similar view of the risks of working with SpringBig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have difficulty using bankruptcy courts due to our involvement in the regulated cannabis industry.</w:t>
      </w:r>
    </w:p>
    <w:p>
      <w:pPr>
        <w:spacing w:after="0" w:line="237"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The conduct of third parties may jeopardize our business.</w:t>
      </w:r>
    </w:p>
    <w:p>
      <w:pPr>
        <w:spacing w:after="0" w:line="237" w:lineRule="exact"/>
        <w:rPr>
          <w:sz w:val="20"/>
          <w:szCs w:val="20"/>
          <w:color w:val="auto"/>
        </w:rPr>
      </w:pPr>
    </w:p>
    <w:p>
      <w:pPr>
        <w:jc w:val="both"/>
        <w:ind w:firstLine="315"/>
        <w:spacing w:after="0" w:line="249" w:lineRule="auto"/>
        <w:rPr>
          <w:sz w:val="20"/>
          <w:szCs w:val="20"/>
          <w:color w:val="auto"/>
        </w:rPr>
      </w:pPr>
      <w:r>
        <w:rPr>
          <w:rFonts w:ascii="Arial" w:cs="Arial" w:eastAsia="Arial" w:hAnsi="Arial"/>
          <w:sz w:val="17"/>
          <w:szCs w:val="17"/>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policies and procedures to review cannabis license information for operational cannabis retail clients to ensure validity and accuracy of such license information. We cannot ensure that the conduct of our clients, who are third parties, and their actions could expose them to legal sanctions and costs, which would in turn, adversely affect our business and operations.</w:t>
      </w:r>
    </w:p>
    <w:p>
      <w:pPr>
        <w:spacing w:after="0" w:line="19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A failure to comply with laws and regulations regarding our use of telemarketing, including the TCPA, could increase our operating costs and materially and adversely impact our business, financial condition, results of operations, and prospects.</w:t>
      </w:r>
    </w:p>
    <w:p>
      <w:pPr>
        <w:spacing w:after="0" w:line="185"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Our technology allows dispensaries to send outbound text communications to their customers. While we believe that it is each dispensary’s responsibility for compliance with state and federal laws regulating outbound communications, we recognize that SpringBig may be named in actions alleging violations of these laws or otherwise have to be involved in demands and actions stemming from alleged violations of these laws (e.g., through subpoenas). There are a number of state and federal laws regulating outbound telephonic communications, including the TCPA and Telemarketing Sales Rule. The U.S. Federal Communications Commission, or the FCC, and the FTC have responsibility for regulating various aspects of these laws. Individual states, like Washington and Florida, also separately regulate outbound telephonic communications. Among other requirements, the TCPA and other laws require the sender of the message to obtain prior express written consent for telemarketing calls and to adhere to state and national “do-not-call” registry requirements and implement various compliance procedures. These laws impact dispensary customers’ ability to communicate with their customers and can impact effectiveness of our marketing programs. These laws also raise the risk that SpringBig could be named directly or involved indirectly in litigation. The TCPA and other similar laws do not distinguish between voice and data communications, and, as such, SMS/MMS messages are also “calls” for the purpose of these outbound telephonic communication statutes.</w:t>
      </w:r>
    </w:p>
    <w:p>
      <w:pPr>
        <w:spacing w:after="0" w:line="201"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The TCPA and similar state laws provide for a private right of action under which a plaintiff may bring suit and, oftentimes, allow the recovery of statutory damages. The TCPA, by way of example, imposes statutory damages of between $500 and $1,500 per violation. There is no statutory cap on maximum aggregate exposure (although some courts have applied in TCPA class actions constitutional limits on excessive penalties). An action may be brought by the FCC, a state attorney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861" w:right="339" w:bottom="1440" w:gutter="0" w:footer="0" w:header="0"/>
        </w:sectPr>
      </w:pPr>
    </w:p>
    <w:bookmarkStart w:id="62" w:name="page63"/>
    <w:bookmarkEnd w:id="62"/>
    <w:p>
      <w:pPr>
        <w:jc w:val="both"/>
        <w:spacing w:after="0" w:line="245" w:lineRule="auto"/>
        <w:rPr>
          <w:sz w:val="20"/>
          <w:szCs w:val="20"/>
          <w:color w:val="auto"/>
        </w:rPr>
      </w:pPr>
      <w:r>
        <w:rPr>
          <w:rFonts w:ascii="Arial" w:cs="Arial" w:eastAsia="Arial" w:hAnsi="Arial"/>
          <w:sz w:val="17"/>
          <w:szCs w:val="17"/>
          <w:color w:val="auto"/>
        </w:rPr>
        <w:t>general, an individual on behalf of the individual or a class of individuals. Like other companies that play an intermediary role between the sender (the dispensary) and the recipient (the dispensary customer) of telephonic communications, we have been sued under the TCPA and have received a number of subpoenas in TCPA cases brought against dispensaries. If in the future we are found to have violated the TCPA or any similar state law, particularly on a class-wide basis, the amount of damages and potential liability could be extensive and materially and adversely impact our business, financial condition, results of operations, and prospects.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continue to be subject to constraints on marketing our products.</w:t>
      </w:r>
    </w:p>
    <w:p>
      <w:pPr>
        <w:spacing w:after="0" w:line="237" w:lineRule="exact"/>
        <w:rPr>
          <w:sz w:val="20"/>
          <w:szCs w:val="20"/>
          <w:color w:val="auto"/>
        </w:rPr>
      </w:pPr>
    </w:p>
    <w:p>
      <w:pPr>
        <w:jc w:val="both"/>
        <w:ind w:firstLine="315"/>
        <w:spacing w:after="0" w:line="247" w:lineRule="auto"/>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platform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Cannabis businesses are subject to unfavorable U.S. tax treatment.</w:t>
      </w:r>
    </w:p>
    <w:p>
      <w:pPr>
        <w:spacing w:after="0" w:line="237"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Section 280E of the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of the Code may have a lesser impact on cannabis cultivation and manufacturing operations than on sales operations, which directly affects our suppliers, who are cannabis retailers and brands. However, Section 280E of the Code and related IRS enforcement activity have had a significant impact on the operations of all cannabis companies. While Section 280E of the Code does not directly affect SpringBig, it lowers SpringBig’s clients’ profitability, and could result in decreased demand or higher price sensitivity for SpringBig’s listing, marketing, and customer loyalty services. An otherwise profitable cannabis business may operate at a loss after taking into account its U.S. income tax expenses. This affects SpringBig because SpringBig’s sales and operating results could be adversely affected if SpringBig’s clients decrease their marketing budgets and are operating on lower profit margins as a result of unfavorable treatment by the Code.</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Service providers to cannabis businesses may also be subject to unfavorable U.S. tax treatment.</w:t>
      </w:r>
    </w:p>
    <w:p>
      <w:pPr>
        <w:spacing w:after="0" w:line="237"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not believe that Section 280E of the Code applies to our business, and, generally, ancillary service providers who work with state-licensed cannabis businesses have not been subject to Section 280E of the Code, because they are providing services or products other than cannabis, if the IRS interprets the section to apply, it would significantly and materially affect our profitability and financial condition.</w:t>
      </w:r>
    </w:p>
    <w:p>
      <w:pPr>
        <w:spacing w:after="0" w:line="20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6"/>
          <w:szCs w:val="16"/>
          <w:color w:val="auto"/>
        </w:rPr>
        <w:t>The MORE Act, which was passed by the House of Representatives in 2020 and reintroduced in the Senate for consideration on September 30, 2021, would remove marijuana from the CSA, which would effectively carve out state-legal cannabis businesses from Section 280E of the Code. However, 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the activities of SpringBig. Similarly, the recently introduced States Reform Act would also effectively carve out state-legal cannabis businesses from Section 280E of the Code but at the same time impose a new excise tax on cannabis businesses (albeit at a lower rate than the proposed MORE Act).</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Cannabis businesses may be subject to civil asset forfeiture.</w:t>
      </w:r>
    </w:p>
    <w:p>
      <w:pPr>
        <w:spacing w:after="0" w:line="237" w:lineRule="exact"/>
        <w:rPr>
          <w:sz w:val="20"/>
          <w:szCs w:val="20"/>
          <w:color w:val="auto"/>
        </w:rPr>
      </w:pPr>
    </w:p>
    <w:p>
      <w:pPr>
        <w:jc w:val="both"/>
        <w:ind w:firstLine="315"/>
        <w:spacing w:after="0" w:line="267" w:lineRule="auto"/>
        <w:rPr>
          <w:sz w:val="20"/>
          <w:szCs w:val="20"/>
          <w:color w:val="auto"/>
        </w:rPr>
      </w:pPr>
      <w:r>
        <w:rPr>
          <w:rFonts w:ascii="Arial" w:cs="Arial" w:eastAsia="Arial" w:hAnsi="Arial"/>
          <w:sz w:val="16"/>
          <w:szCs w:val="16"/>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 Forfeiture of assets of our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861" w:right="339" w:bottom="1440" w:gutter="0" w:footer="0" w:header="0"/>
        </w:sectPr>
      </w:pPr>
    </w:p>
    <w:bookmarkStart w:id="63" w:name="page64"/>
    <w:bookmarkEnd w:id="63"/>
    <w:p>
      <w:pPr>
        <w:jc w:val="both"/>
        <w:spacing w:after="0" w:line="273" w:lineRule="auto"/>
        <w:rPr>
          <w:sz w:val="20"/>
          <w:szCs w:val="20"/>
          <w:color w:val="auto"/>
        </w:rPr>
      </w:pPr>
      <w:r>
        <w:rPr>
          <w:rFonts w:ascii="Arial" w:cs="Arial" w:eastAsia="Arial" w:hAnsi="Arial"/>
          <w:sz w:val="17"/>
          <w:szCs w:val="17"/>
          <w:color w:val="auto"/>
        </w:rPr>
        <w:t>cannabis business clients could adversely affect our revenues if it impedes their profitability or operations and our clients’ ability to continue to subscribe to our services.</w:t>
      </w:r>
    </w:p>
    <w:p>
      <w:pPr>
        <w:spacing w:after="0" w:line="17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8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6"/>
          <w:szCs w:val="16"/>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operate our business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There may be difficulty enforcing certain of our commercial agreements and contracts.</w:t>
      </w:r>
    </w:p>
    <w:p>
      <w:pPr>
        <w:spacing w:after="0" w:line="237"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certain parties to contracts involving the state-legal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all of our commercial agreements in court for this reason. We cannot be assured that we will have a remedy for breach of contract, which would have a material adverse effect on our business.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43"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We may in the future be, subject to disputes and assertions by third parties with respect to alleged violations of intellectual property rights. These disputes could be costly to defend and could harm our business and operating results.</w:t>
      </w:r>
    </w:p>
    <w:p>
      <w:pPr>
        <w:spacing w:after="0" w:line="185"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We may, from time to time in the future, face allegations that we have violated the intellectual property rights of third parties, including patent, trademark, copyright and other intellectual property rights. Even if the claims are without merit, defending these types of claims may result in substantial costs, the diversion of the attention of management, and the disruption of our operations. In particular, patent and other intellectual property litigation may be protracted and expensive, and the results are difficult to predict. We may be required to stop offering certain features, purchase licenses or modify our products and features while we develop non-infringing substitutes, or become subject to significant settlement costs. These claims also could subject us to significant liability for damages and could result in our having to stop using or hosting technology, content, branding or business methods found to be in violation of another party’s rights. We do not own any patents and, therefore, may be unable to deter competitors or others from pursuing patent or other intellectual property infringement claims against us through the threat of counter-suit.</w:t>
      </w:r>
    </w:p>
    <w:p>
      <w:pPr>
        <w:spacing w:after="0" w:line="207"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Companies in the software-as-a-service (SaaS) vertical in which we operate and other industries may own large numbers of patents, copyrights, and trademarks and may frequently request license agreements, threaten litigation or file suit against us based on allegations of infringement or other violations of intellectual property rights. Our platform features third-party brands, which may themselves infringe third party intellectual property rights and could bring us into litigation between the parties. Further, although we contractually seek indemnification protection from our clients, clients may not be solvent or financially able to indemnify us. We may be required or may opt to seek a license of intellectual property rights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content, branding, or business methods, which could require significant effort and expense and which we may not be able to accomplish efficiently, or at all. If we cannot use, license, or develop technology, content, branding, or business methods for any allegedly infringing aspect of our business, we may be unable to compete effectively. Further, as we face increasing competition and as our business grows, we will face an increasing likelihood of claims of infringement.</w:t>
      </w:r>
    </w:p>
    <w:p>
      <w:pPr>
        <w:spacing w:after="0" w:line="197"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results of litigation and claims to which we may be subject cannot be predicted with certainty. Even if these matters do not result in litigation or are resolved in our favor or without significant cash settlements, these matters, and the time and resources necessary to litigate or resolve them, could harm our business, reputation and operating results.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Some of our solutions contain open source software, which may pose particular risks to our proprietary software and solutions.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861" w:right="339" w:bottom="1440" w:gutter="0" w:footer="0" w:header="0"/>
        </w:sectPr>
      </w:pPr>
    </w:p>
    <w:bookmarkStart w:id="64" w:name="page65"/>
    <w:bookmarkEnd w:id="64"/>
    <w:p>
      <w:pPr>
        <w:jc w:val="both"/>
        <w:ind w:firstLine="315"/>
        <w:spacing w:after="0" w:line="260" w:lineRule="auto"/>
        <w:rPr>
          <w:sz w:val="20"/>
          <w:szCs w:val="20"/>
          <w:color w:val="auto"/>
        </w:rPr>
      </w:pPr>
      <w:r>
        <w:rPr>
          <w:rFonts w:ascii="Arial" w:cs="Arial" w:eastAsia="Arial" w:hAnsi="Arial"/>
          <w:sz w:val="16"/>
          <w:szCs w:val="16"/>
          <w:color w:val="auto"/>
        </w:rPr>
        <w:t>We use open source software that we have obtained from third parties or is included in software packages in our solutions and will continue to use open source software in the future. Open source software is generally freely accessible, usable and modifiable, and is made available to the general public on an “as-is” basis under the terms of a non-negotiable license. From time to time, we may face claims from third parties claiming ownership of, or demanding release of, the open source software and/or derivative works that we developed using such software (which could include our proprietary source code), or otherwise seeking to enforce the terms of the applicable open source license. These claims could result in litigation and could require us to purchase a costly license or cease offering the implicated solutions unless and until we can re-engineer them to avoid infringement. This re-engineering process could require significant additional research and development resources. In addition to risks related to license requirements, use of certain open source software can lead to greater risks than use of third party commercial software, as open source licensors generally do not provide warranties or controls on the origin of software. Any of these risks could be difficult to eliminate or manage, and, if not addressed, could have a negative effect on our business and operating results.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The success of our business heavily depends on our ability to protect and enforce our intellectual property rights.</w:t>
      </w:r>
    </w:p>
    <w:p>
      <w:pPr>
        <w:spacing w:after="0" w:line="237"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6"/>
          <w:szCs w:val="16"/>
          <w:color w:val="auto"/>
        </w:rPr>
        <w:t>Our business depends on our intellectual property, the protection of which is crucial to the success of our business. We rely on a combination of trademark, trade secret and other intellectual property rights and laws and contractual restrictions to protect our intellectual property. As examples of such restrictions, we attempt to protect our intellectual property, technology and confidential information by entering into confidentiality and inventions assignment agreements and non-competition agreements with employees, contractors, consultants and business partners who develop intellectual property on our behalf, and entering into non-disclosure agreements with our business partners.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as examples, may copy aspects of our website features, software and functionality or obtain and use information that we consider proprietary.</w:t>
      </w:r>
    </w:p>
    <w:p>
      <w:pPr>
        <w:spacing w:after="0" w:line="196" w:lineRule="exact"/>
        <w:rPr>
          <w:sz w:val="20"/>
          <w:szCs w:val="20"/>
          <w:color w:val="auto"/>
        </w:rPr>
      </w:pPr>
    </w:p>
    <w:p>
      <w:pPr>
        <w:jc w:val="both"/>
        <w:ind w:firstLine="315"/>
        <w:spacing w:after="0" w:line="246" w:lineRule="auto"/>
        <w:rPr>
          <w:sz w:val="20"/>
          <w:szCs w:val="20"/>
          <w:color w:val="auto"/>
        </w:rPr>
      </w:pPr>
      <w:r>
        <w:rPr>
          <w:rFonts w:ascii="Arial" w:cs="Arial" w:eastAsia="Arial" w:hAnsi="Arial"/>
          <w:sz w:val="17"/>
          <w:szCs w:val="17"/>
          <w:color w:val="auto"/>
        </w:rPr>
        <w:t>Despite our efforts to protect our intellectual property rights, including trademarks, they may not be recognized in the future, or may be invalidated, circumvented or challenged. For example, we have registered, among numerous other trademarks, “SpringBig” as a trademark in the U.S. Competitors have and may continue to adopt service names similar to ours, thereby harming our ability to build brand identity and possibly leading to consumer confusion. In addition, there could be potential trade name or trademark infringement claims brought by owners of other trademarks that are similar to our trademarks. Litigation or proceedings before the U.S. Patent and Trademark Office or other governmental authorities and administrative bodies in the U.S. and abroad may be necessary in the future to enforce our intellectual property rights and to determine the validity and scope of the proprietary rights of others. Our efforts to enforce or protect our proprietary rights may be ineffective and could result in substantial costs and diversion of resources, which could harm our business and operating results.</w:t>
      </w:r>
    </w:p>
    <w:p>
      <w:pPr>
        <w:spacing w:after="0" w:line="207"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6"/>
          <w:szCs w:val="16"/>
          <w:color w:val="auto"/>
        </w:rPr>
        <w:t>Further, we may be subject, from time-to-time, to claims that former employees, collaborators or other third parties have an interest in our intellectual property as an inventor or co-inventor.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If we are subject to a dispute challenging our rights in or to patents or other intellectual property, such a dispute could be expensive and time consuming. If we were unsuccessful, we could lose valuable rights in intellectual property that we regard as our own, which could have a material adverse effect on our business, financial condition, results of operations and prospects.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Our Securities and Certain Tax Matters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If our performance does not meet market expectations, the price of our securities may decline and the market for our securities may be volatile.</w:t>
      </w:r>
    </w:p>
    <w:p>
      <w:pPr>
        <w:spacing w:after="0" w:line="249"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If our performance does not meet market expectations, the price of our shares of common stock may decline. In addition, even if an active market for our shares of common stock develops and continues, the trading price of our shares of common stock could be volatile and subject to wide fluctuations in response to various factors, some of which are beyond our control. Any of the factors listed below could have a material adverse effect on the price of our shares of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Factors affecting the trading price of our shares of common stock may include:</w:t>
      </w:r>
    </w:p>
    <w:p>
      <w:pPr>
        <w:spacing w:after="0" w:line="263" w:lineRule="exact"/>
        <w:rPr>
          <w:sz w:val="20"/>
          <w:szCs w:val="20"/>
          <w:color w:val="auto"/>
        </w:rPr>
      </w:pPr>
    </w:p>
    <w:p>
      <w:pPr>
        <w:ind w:left="640" w:hanging="320"/>
        <w:spacing w:after="0" w:line="235" w:lineRule="auto"/>
        <w:tabs>
          <w:tab w:leader="none" w:pos="628" w:val="left"/>
        </w:tabs>
        <w:numPr>
          <w:ilvl w:val="0"/>
          <w:numId w:val="20"/>
        </w:numPr>
        <w:rPr>
          <w:rFonts w:ascii="Arial" w:cs="Arial" w:eastAsia="Arial" w:hAnsi="Arial"/>
          <w:sz w:val="19"/>
          <w:szCs w:val="19"/>
          <w:color w:val="auto"/>
        </w:rPr>
      </w:pPr>
      <w:r>
        <w:rPr>
          <w:rFonts w:ascii="Arial" w:cs="Arial" w:eastAsia="Arial" w:hAnsi="Arial"/>
          <w:sz w:val="17"/>
          <w:szCs w:val="17"/>
          <w:color w:val="auto"/>
        </w:rPr>
        <w:t>actual or anticipated fluctuations in our quarterly and annual financial results or the quarterly and annual financial results of companies perceived to be similar to us;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862" w:right="339" w:bottom="1440" w:gutter="0" w:footer="0" w:header="0"/>
        </w:sectPr>
      </w:pPr>
    </w:p>
    <w:bookmarkStart w:id="65" w:name="page66"/>
    <w:bookmarkEnd w:id="65"/>
    <w:p>
      <w:pPr>
        <w:ind w:left="620" w:hanging="300"/>
        <w:spacing w:after="0"/>
        <w:tabs>
          <w:tab w:leader="none" w:pos="620" w:val="left"/>
        </w:tabs>
        <w:numPr>
          <w:ilvl w:val="0"/>
          <w:numId w:val="21"/>
        </w:numPr>
        <w:rPr>
          <w:rFonts w:ascii="Arial" w:cs="Arial" w:eastAsia="Arial" w:hAnsi="Arial"/>
          <w:sz w:val="19"/>
          <w:szCs w:val="19"/>
          <w:color w:val="auto"/>
        </w:rPr>
      </w:pPr>
      <w:r>
        <w:rPr>
          <w:rFonts w:ascii="Arial" w:cs="Arial" w:eastAsia="Arial" w:hAnsi="Arial"/>
          <w:sz w:val="17"/>
          <w:szCs w:val="17"/>
          <w:color w:val="auto"/>
        </w:rPr>
        <w:t>changes in the market’s expectations about operating results;</w:t>
      </w:r>
    </w:p>
    <w:p>
      <w:pPr>
        <w:spacing w:after="0" w:line="9"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21"/>
        </w:numPr>
        <w:rPr>
          <w:rFonts w:ascii="Arial" w:cs="Arial" w:eastAsia="Arial" w:hAnsi="Arial"/>
          <w:sz w:val="19"/>
          <w:szCs w:val="19"/>
          <w:color w:val="auto"/>
        </w:rPr>
      </w:pPr>
      <w:r>
        <w:rPr>
          <w:rFonts w:ascii="Arial" w:cs="Arial" w:eastAsia="Arial" w:hAnsi="Arial"/>
          <w:sz w:val="17"/>
          <w:szCs w:val="17"/>
          <w:color w:val="auto"/>
        </w:rPr>
        <w:t>operating results failing to meet market expectations in a particular period, which could impact the market price our shares of common stock;</w:t>
      </w:r>
    </w:p>
    <w:p>
      <w:pPr>
        <w:spacing w:after="0" w:line="2" w:lineRule="exact"/>
        <w:rPr>
          <w:rFonts w:ascii="Arial" w:cs="Arial" w:eastAsia="Arial" w:hAnsi="Arial"/>
          <w:sz w:val="19"/>
          <w:szCs w:val="19"/>
          <w:color w:val="auto"/>
        </w:rPr>
      </w:pPr>
    </w:p>
    <w:p>
      <w:pPr>
        <w:ind w:left="620" w:hanging="300"/>
        <w:spacing w:after="0" w:line="228" w:lineRule="auto"/>
        <w:tabs>
          <w:tab w:leader="none" w:pos="620" w:val="left"/>
        </w:tabs>
        <w:numPr>
          <w:ilvl w:val="0"/>
          <w:numId w:val="21"/>
        </w:numPr>
        <w:rPr>
          <w:rFonts w:ascii="Arial" w:cs="Arial" w:eastAsia="Arial" w:hAnsi="Arial"/>
          <w:sz w:val="19"/>
          <w:szCs w:val="19"/>
          <w:color w:val="auto"/>
        </w:rPr>
      </w:pPr>
      <w:r>
        <w:rPr>
          <w:rFonts w:ascii="Arial" w:cs="Arial" w:eastAsia="Arial" w:hAnsi="Arial"/>
          <w:sz w:val="17"/>
          <w:szCs w:val="17"/>
          <w:color w:val="auto"/>
        </w:rPr>
        <w:t>operating and stock price performance of other companies that investors deem comparable to us;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21"/>
        </w:numPr>
        <w:rPr>
          <w:rFonts w:ascii="Arial" w:cs="Arial" w:eastAsia="Arial" w:hAnsi="Arial"/>
          <w:sz w:val="19"/>
          <w:szCs w:val="19"/>
          <w:color w:val="auto"/>
        </w:rPr>
      </w:pPr>
      <w:r>
        <w:rPr>
          <w:rFonts w:ascii="Arial" w:cs="Arial" w:eastAsia="Arial" w:hAnsi="Arial"/>
          <w:sz w:val="17"/>
          <w:szCs w:val="17"/>
          <w:color w:val="auto"/>
        </w:rPr>
        <w:t>changes in laws and regulations affecting our businesses;</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21"/>
        </w:numPr>
        <w:rPr>
          <w:rFonts w:ascii="Arial" w:cs="Arial" w:eastAsia="Arial" w:hAnsi="Arial"/>
          <w:sz w:val="19"/>
          <w:szCs w:val="19"/>
          <w:color w:val="auto"/>
        </w:rPr>
      </w:pPr>
      <w:r>
        <w:rPr>
          <w:rFonts w:ascii="Arial" w:cs="Arial" w:eastAsia="Arial" w:hAnsi="Arial"/>
          <w:sz w:val="17"/>
          <w:szCs w:val="17"/>
          <w:color w:val="auto"/>
        </w:rPr>
        <w:t>commencement of, or involvement in, litigation involving the Company;</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21"/>
        </w:numPr>
        <w:rPr>
          <w:rFonts w:ascii="Arial" w:cs="Arial" w:eastAsia="Arial" w:hAnsi="Arial"/>
          <w:sz w:val="19"/>
          <w:szCs w:val="19"/>
          <w:color w:val="auto"/>
        </w:rPr>
      </w:pPr>
      <w:r>
        <w:rPr>
          <w:rFonts w:ascii="Arial" w:cs="Arial" w:eastAsia="Arial" w:hAnsi="Arial"/>
          <w:sz w:val="17"/>
          <w:szCs w:val="17"/>
          <w:color w:val="auto"/>
        </w:rPr>
        <w:t>changes in our capital structure, such as future issuances of securities or the incurrence of debt;</w:t>
      </w:r>
    </w:p>
    <w:p>
      <w:pPr>
        <w:spacing w:after="0" w:line="6" w:lineRule="exact"/>
        <w:rPr>
          <w:rFonts w:ascii="Arial" w:cs="Arial" w:eastAsia="Arial" w:hAnsi="Arial"/>
          <w:sz w:val="19"/>
          <w:szCs w:val="19"/>
          <w:color w:val="auto"/>
        </w:rPr>
      </w:pPr>
    </w:p>
    <w:p>
      <w:pPr>
        <w:ind w:left="620" w:hanging="300"/>
        <w:spacing w:after="0" w:line="238" w:lineRule="auto"/>
        <w:tabs>
          <w:tab w:leader="none" w:pos="620" w:val="left"/>
        </w:tabs>
        <w:numPr>
          <w:ilvl w:val="0"/>
          <w:numId w:val="21"/>
        </w:numPr>
        <w:rPr>
          <w:rFonts w:ascii="Arial" w:cs="Arial" w:eastAsia="Arial" w:hAnsi="Arial"/>
          <w:sz w:val="19"/>
          <w:szCs w:val="19"/>
          <w:color w:val="auto"/>
        </w:rPr>
      </w:pPr>
      <w:r>
        <w:rPr>
          <w:rFonts w:ascii="Arial" w:cs="Arial" w:eastAsia="Arial" w:hAnsi="Arial"/>
          <w:sz w:val="17"/>
          <w:szCs w:val="17"/>
          <w:color w:val="auto"/>
        </w:rPr>
        <w:t>any significant change in our Board of Directors or management;</w:t>
      </w:r>
    </w:p>
    <w:p>
      <w:pPr>
        <w:spacing w:after="0" w:line="6" w:lineRule="exact"/>
        <w:rPr>
          <w:rFonts w:ascii="Arial" w:cs="Arial" w:eastAsia="Arial" w:hAnsi="Arial"/>
          <w:sz w:val="19"/>
          <w:szCs w:val="19"/>
          <w:color w:val="auto"/>
        </w:rPr>
      </w:pPr>
    </w:p>
    <w:p>
      <w:pPr>
        <w:ind w:left="640" w:hanging="320"/>
        <w:spacing w:after="0" w:line="239" w:lineRule="auto"/>
        <w:tabs>
          <w:tab w:leader="none" w:pos="628" w:val="left"/>
        </w:tabs>
        <w:numPr>
          <w:ilvl w:val="0"/>
          <w:numId w:val="21"/>
        </w:numPr>
        <w:rPr>
          <w:rFonts w:ascii="Arial" w:cs="Arial" w:eastAsia="Arial" w:hAnsi="Arial"/>
          <w:sz w:val="19"/>
          <w:szCs w:val="19"/>
          <w:color w:val="auto"/>
        </w:rPr>
      </w:pPr>
      <w:r>
        <w:rPr>
          <w:rFonts w:ascii="Arial" w:cs="Arial" w:eastAsia="Arial" w:hAnsi="Arial"/>
          <w:sz w:val="17"/>
          <w:szCs w:val="17"/>
          <w:color w:val="auto"/>
        </w:rPr>
        <w:t>sales of substantial amounts of our shares of common stock by the Company, Cantor, the Investor or our directors, executive officers or significant shareholders or the perception that such sales could occur; and</w:t>
      </w:r>
    </w:p>
    <w:p>
      <w:pPr>
        <w:spacing w:after="0" w:line="2" w:lineRule="exact"/>
        <w:rPr>
          <w:rFonts w:ascii="Arial" w:cs="Arial" w:eastAsia="Arial" w:hAnsi="Arial"/>
          <w:sz w:val="19"/>
          <w:szCs w:val="19"/>
          <w:color w:val="auto"/>
        </w:rPr>
      </w:pPr>
    </w:p>
    <w:p>
      <w:pPr>
        <w:ind w:left="620" w:hanging="300"/>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5"/>
          <w:szCs w:val="15"/>
          <w:color w:val="auto"/>
        </w:rPr>
        <w:t>general economic and political conditions such as recessions, interest rates, fuel prices, international currency fluctuations and acts of war or terrorism.</w:t>
      </w:r>
    </w:p>
    <w:p>
      <w:pPr>
        <w:spacing w:after="0" w:line="249" w:lineRule="exact"/>
        <w:rPr>
          <w:sz w:val="20"/>
          <w:szCs w:val="20"/>
          <w:color w:val="auto"/>
        </w:rPr>
      </w:pPr>
    </w:p>
    <w:p>
      <w:pPr>
        <w:jc w:val="both"/>
        <w:ind w:firstLine="315"/>
        <w:spacing w:after="0" w:line="263" w:lineRule="auto"/>
        <w:rPr>
          <w:sz w:val="20"/>
          <w:szCs w:val="20"/>
          <w:color w:val="auto"/>
        </w:rPr>
      </w:pPr>
      <w:r>
        <w:rPr>
          <w:rFonts w:ascii="Arial" w:cs="Arial" w:eastAsia="Arial" w:hAnsi="Arial"/>
          <w:sz w:val="16"/>
          <w:szCs w:val="16"/>
          <w:color w:val="auto"/>
        </w:rPr>
        <w:t>Broad market and industry factors may depress the market price of our shares of common stock irrespective of our operating performance. The stock market in general has experienced price and volume fluctuations that have often been unrelated or disproportionate to the operating performance of the particular companies affected. The trading prices and valuations of these shares, and of our securities, may not be predictable. A loss of investor confidence in the market for companies engaging in digital payments or the shares of other companies which investors perceive to be similar to us could depress our stock price regardless of our business, prospects, financial conditions or results of operations. A decline in the market price of our shares of common stock also could adversely affect our ability to issue additional securities and our ability to obtain additional financing in the future.</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do not intend to pay cash dividends for the foreseeable future.</w:t>
      </w:r>
    </w:p>
    <w:p>
      <w:pPr>
        <w:spacing w:after="0" w:line="237"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237"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98"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b w:val="1"/>
          <w:bCs w:val="1"/>
          <w:i w:val="1"/>
          <w:iCs w:val="1"/>
          <w:color w:val="auto"/>
        </w:rPr>
        <w:t>The issuance of our shares of common stock in connection with the Notes and Warrants Purchase Agreement or that may otherwise be issued and/or sold by the Company or selling securityholders, could cause substantial dilution, which could materially affect the trading price of our shares of common stock.</w:t>
      </w:r>
    </w:p>
    <w:p>
      <w:pPr>
        <w:spacing w:after="0" w:line="185" w:lineRule="exact"/>
        <w:rPr>
          <w:sz w:val="20"/>
          <w:szCs w:val="20"/>
          <w:color w:val="auto"/>
        </w:rPr>
      </w:pPr>
    </w:p>
    <w:p>
      <w:pPr>
        <w:jc w:val="both"/>
        <w:ind w:firstLine="315"/>
        <w:spacing w:after="0" w:line="263" w:lineRule="auto"/>
        <w:rPr>
          <w:sz w:val="20"/>
          <w:szCs w:val="20"/>
          <w:color w:val="auto"/>
        </w:rPr>
      </w:pPr>
      <w:r>
        <w:rPr>
          <w:rFonts w:ascii="Arial" w:cs="Arial" w:eastAsia="Arial" w:hAnsi="Arial"/>
          <w:sz w:val="16"/>
          <w:szCs w:val="16"/>
          <w:color w:val="auto"/>
        </w:rPr>
        <w:t>To the extent that the Secured Convertible Notes and Investor Warrants are converted into or exercised for shares of common stock, substantial amounts of our shares of common stock will be issued. Under certain default circumstances the Secured Convertible Notes and Investor Warrants may become exercisable at prevailing prices or discounts to prevailing prices, and the conversion price of the Secured Convertible Notes and exercise price of the Investor Warrants may be adjusted in the event of certain issuances of common stock below the original Conversion Price. In addition, we have the ability under certain circumstances to make payments on the Secured Convertible Notes in shares of common stock at then prevailing market prices. As described above, we are required to reserve three times the original number of shares obtainable under the Secured Convertible Notes and Investor Warrants to provide for these circumstances. Although we cannot predict the number of our shares of common stock that will actually be issued in connection with any such conversions and/or sales, such issuances could result in substantial decreases to our stock price.</w:t>
      </w:r>
    </w:p>
    <w:p>
      <w:pPr>
        <w:spacing w:after="0" w:line="197"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Further, substantial amounts of our shares of common stock may also be issued, sold and/or resold under our committed equity facility with Cantor and pursuant to the Company’s equity incentive plan, which could cause further substantial dilution of our shares of common stock and materially impact the trading price of our shares of common stock.</w:t>
      </w:r>
    </w:p>
    <w:p>
      <w:pPr>
        <w:spacing w:after="0" w:line="19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A significant portion of our total outstanding shares may be sold into the market in the near future. This could cause the market price of our shares of common stock to drop significantly, even if our business is doing well.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888" w:right="339" w:bottom="1440" w:gutter="0" w:footer="0" w:header="0"/>
        </w:sectPr>
      </w:pPr>
    </w:p>
    <w:bookmarkStart w:id="66" w:name="page67"/>
    <w:bookmarkEnd w:id="66"/>
    <w:p>
      <w:pPr>
        <w:jc w:val="both"/>
        <w:ind w:firstLine="315"/>
        <w:spacing w:after="0" w:line="245" w:lineRule="auto"/>
        <w:rPr>
          <w:sz w:val="20"/>
          <w:szCs w:val="20"/>
          <w:color w:val="auto"/>
        </w:rPr>
      </w:pPr>
      <w:r>
        <w:rPr>
          <w:rFonts w:ascii="Arial" w:cs="Arial" w:eastAsia="Arial" w:hAnsi="Arial"/>
          <w:sz w:val="17"/>
          <w:szCs w:val="17"/>
          <w:color w:val="auto"/>
        </w:rPr>
        <w:t>Sales of a substantial number of shares of common stock in the public market could occur at any time as a result of issuances and resales of shares of common stock under the Facility along with other issuances and resales of shares of common stock including shares subject to the Secured Convertible Notes, Investor Warrants, and our public and private warrants, as well as the resale of shares of common stock by other holders, and pursuant to the Company’s equity incentive plan. These sales, or the perception in the market that the holders of a large number of shares intend to sell shares, could reduce the market price of our shares of common stock.</w:t>
      </w:r>
    </w:p>
    <w:p>
      <w:pPr>
        <w:spacing w:after="0" w:line="209" w:lineRule="exact"/>
        <w:rPr>
          <w:sz w:val="20"/>
          <w:szCs w:val="20"/>
          <w:color w:val="auto"/>
        </w:rPr>
      </w:pPr>
    </w:p>
    <w:p>
      <w:pPr>
        <w:jc w:val="both"/>
        <w:ind w:firstLine="315"/>
        <w:spacing w:after="0" w:line="342" w:lineRule="auto"/>
        <w:rPr>
          <w:sz w:val="20"/>
          <w:szCs w:val="20"/>
          <w:color w:val="auto"/>
        </w:rPr>
      </w:pPr>
      <w:r>
        <w:rPr>
          <w:rFonts w:ascii="Arial" w:cs="Arial" w:eastAsia="Arial" w:hAnsi="Arial"/>
          <w:sz w:val="15"/>
          <w:szCs w:val="15"/>
          <w:b w:val="1"/>
          <w:bCs w:val="1"/>
          <w:i w:val="1"/>
          <w:iCs w:val="1"/>
          <w:color w:val="auto"/>
        </w:rPr>
        <w:t>Sales of our shares of common stock, or the perception of such sales, including by selling securityholders in the public market or otherwise could cause the market price for our shares of common stock to decline the securityholders selling such securities may still receive significant proceeds.</w:t>
      </w:r>
    </w:p>
    <w:p>
      <w:pPr>
        <w:spacing w:after="0" w:line="138" w:lineRule="exact"/>
        <w:rPr>
          <w:sz w:val="20"/>
          <w:szCs w:val="20"/>
          <w:color w:val="auto"/>
        </w:rPr>
      </w:pPr>
    </w:p>
    <w:p>
      <w:pPr>
        <w:jc w:val="both"/>
        <w:ind w:firstLine="315"/>
        <w:spacing w:after="0" w:line="266" w:lineRule="auto"/>
        <w:rPr>
          <w:sz w:val="20"/>
          <w:szCs w:val="20"/>
          <w:color w:val="auto"/>
        </w:rPr>
      </w:pPr>
      <w:r>
        <w:rPr>
          <w:rFonts w:ascii="Arial" w:cs="Arial" w:eastAsia="Arial" w:hAnsi="Arial"/>
          <w:sz w:val="16"/>
          <w:szCs w:val="16"/>
          <w:color w:val="auto"/>
        </w:rPr>
        <w:t>The sale of our shares of common stock in the public market or otherwise, or the perception that such sales could occur, could harm the prevailing market price of our shares of common stock. These sales, or the possibility that these sales may occur, also might make it more difficult for us to sell equity securities in the future at a time and at a price that it deems appropriate (which ability to sell equity securities is also subject to restrictions under the terms of the Secured Convertible Notes and related agreements). Institutional investors and our founder that collectively beneficially own in excess of 50% of the Company’s outstanding shares in the aggregate will be able to resell their shares for so long as a registration statement is available for use. Resales of our shares of common stock may cause the market price of our securities to drop significantly, regardless of the performance of our business.</w:t>
      </w:r>
    </w:p>
    <w:p>
      <w:pPr>
        <w:spacing w:after="0" w:line="193"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We have filed registration statements relating to the resale of a large number of shares of common stock representing a large percentage of our public float pursuant to the Notes and Warrants Purchase Agreement, the Facility, and securities held by certain existing shareholders for which such securityholders have registration rights. As such, sales of a substantial number of shares of common stock in the public market could occur at any time. Given the substantial number of shares of common stock being registered for potential resale or the perception in the market that the stockholders of a large number of shares intend to sell shares, could increase the volatility of the market price of our common stock or result in a significant decline in the public trading price of our common stock. Further, certain shares of our common stock that are being registered for resale include shares that were purchased at prices that may be significantly below the trading price of our shares of common stock and the sale of which would result in such selling securityholders realizing a significant gain. Even if our trading price is significantly below $10.00, the offering price for the units offered in Tuatara’s IPO, certain selling securityholders, including the IPO sponsor, may still have an incentive to sell shares of our common stock because they purchased the shares at prices lower than the public investors or the current trading price of our common stock. Public holders of our shares of common stock may not experience a similar rate of return on their shares.</w:t>
      </w:r>
    </w:p>
    <w:p>
      <w:pPr>
        <w:spacing w:after="0" w:line="197" w:lineRule="exact"/>
        <w:rPr>
          <w:sz w:val="20"/>
          <w:szCs w:val="20"/>
          <w:color w:val="auto"/>
        </w:rPr>
      </w:pPr>
    </w:p>
    <w:p>
      <w:pPr>
        <w:jc w:val="both"/>
        <w:ind w:firstLine="315"/>
        <w:spacing w:after="0" w:line="305"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change their recommendations regarding our common stock adversely, the price and trading volume of our common stock could decline.</w:t>
      </w:r>
    </w:p>
    <w:p>
      <w:pPr>
        <w:spacing w:after="0" w:line="162" w:lineRule="exact"/>
        <w:rPr>
          <w:sz w:val="20"/>
          <w:szCs w:val="20"/>
          <w:color w:val="auto"/>
        </w:rPr>
      </w:pPr>
    </w:p>
    <w:p>
      <w:pPr>
        <w:jc w:val="both"/>
        <w:ind w:firstLine="315"/>
        <w:spacing w:after="0" w:line="245"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may publish about us, our business, our market, or our competitors. If any of the analysts who may cover SpringBig change their recommendation regarding our stock adversely, or provide more favorable relative recommendations about our competitors, the price of our common stock would likely decline. If any analyst who may cover SpringBig were to cease their coverage or fail to regularly publish reports on us, we could lose visibility in the financial markets, which could cause our stock price or trading volume to decline.</w:t>
      </w:r>
    </w:p>
    <w:p>
      <w:pPr>
        <w:spacing w:after="0" w:line="209" w:lineRule="exact"/>
        <w:rPr>
          <w:sz w:val="20"/>
          <w:szCs w:val="20"/>
          <w:color w:val="auto"/>
        </w:rPr>
      </w:pPr>
    </w:p>
    <w:p>
      <w:pPr>
        <w:jc w:val="both"/>
        <w:ind w:firstLine="315"/>
        <w:spacing w:after="0" w:line="307" w:lineRule="auto"/>
        <w:rPr>
          <w:sz w:val="20"/>
          <w:szCs w:val="20"/>
          <w:color w:val="auto"/>
        </w:rPr>
      </w:pPr>
      <w:r>
        <w:rPr>
          <w:rFonts w:ascii="Arial" w:cs="Arial" w:eastAsia="Arial" w:hAnsi="Arial"/>
          <w:sz w:val="15"/>
          <w:szCs w:val="15"/>
          <w:b w:val="1"/>
          <w:bCs w:val="1"/>
          <w:i w:val="1"/>
          <w:iCs w:val="1"/>
          <w:color w:val="auto"/>
        </w:rPr>
        <w:t>We may amend the terms of our public and private warrants in a manner that may be adverse to holders with the approval by the holders of at least 65% of then outstanding public warrants. As a result, the exercise price of your warrants could be increased, the exercise period could be shortened and the number of common stock purchasable upon exercise of a warrant could be decreased, all without the approval of all securityholders.</w:t>
      </w:r>
    </w:p>
    <w:p>
      <w:pPr>
        <w:spacing w:after="0" w:line="164"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Our public warrants were issued in registered form under the warrant agreement between Continental Stock Transfer &amp; Trust Company, as warrant agent, and Tuatara. In connection with the Domestication, the public warrants which were originally warrants to purchase Tuatara Class A ordinary shares and Tuatara Class B ordinary shares became, by operation of law, warrants to purchase SpringBig common stock. The warrant agreement provides that the terms of the warrants may be amended without the consent of any holder for the purpose of curing any ambiguity or curing, correcting or supplementing any defective provision or adding or changing any other provisions with respect to matters or questions arising under the warrant agreement, but requires the approval by the holders of at least 65% of then outstanding public warrants to make any change that adversely affects the interests of the registered holders. Accordingly, we may amend the terms of the public warrants in a manner adverse to a holder if holders of at least 65% of then outstanding public warrants approve of such amendment. Examples of such amendments could be amendments to, among other things, increase the exercise price of the warrants, shorten the exercise period or decrease the number of shares of common stock purchasable upon the exercise of a warrant.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861" w:right="339" w:bottom="1440" w:gutter="0" w:footer="0" w:header="0"/>
        </w:sectPr>
      </w:pPr>
    </w:p>
    <w:bookmarkStart w:id="67" w:name="page68"/>
    <w:bookmarkEnd w:id="67"/>
    <w:p>
      <w:pPr>
        <w:jc w:val="both"/>
        <w:ind w:firstLine="315"/>
        <w:spacing w:after="0" w:line="249" w:lineRule="auto"/>
        <w:rPr>
          <w:sz w:val="20"/>
          <w:szCs w:val="20"/>
          <w:color w:val="auto"/>
        </w:rPr>
      </w:pPr>
      <w:r>
        <w:rPr>
          <w:rFonts w:ascii="Arial" w:cs="Arial" w:eastAsia="Arial" w:hAnsi="Arial"/>
          <w:sz w:val="17"/>
          <w:szCs w:val="17"/>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205"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remain an emerging growth company for up to five years from the date of our IPO, although circumstances could cause us to lose that status earlier, including if the market value of our shares of common stock held by non-affiliates exceeds $700,000,000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9" w:lineRule="exact"/>
        <w:rPr>
          <w:sz w:val="20"/>
          <w:szCs w:val="20"/>
          <w:color w:val="auto"/>
        </w:rPr>
      </w:pPr>
    </w:p>
    <w:p>
      <w:pPr>
        <w:jc w:val="both"/>
        <w:ind w:firstLine="315"/>
        <w:spacing w:after="0" w:line="243"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21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We have and will continue to incur increased costs as a result of operating as a public company and our management has and will continue to devote a substantial amount of time to new compliance initiatives.</w:t>
      </w:r>
    </w:p>
    <w:p>
      <w:pPr>
        <w:spacing w:after="0" w:line="185"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As a public company, we have and will continue to incur significant legal, accounting and other expenses that we did not incur as a private company, and these expenses may increase even more after we are no longer an emerging growth company, as defined in Section 2(a) of the Securities Act. In addition, we expect to record incremental share-based compensation expense in connection with the consummation of the business combination.</w:t>
      </w:r>
    </w:p>
    <w:p>
      <w:pPr>
        <w:spacing w:after="0" w:line="16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the Dodd-Frank Act, as well as rules adopted, and to be adopted, by the SEC and the Nasdaq Stock Market LLC. Our management and other personnel have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director and officer liability insurance and forced us to accept reduced policy limits. We cannot predict or estimate the amount or timing of additional costs we have and will continue to incur to respond to these requirements. The impact of these requirements could also make it more difficult for us to attract and retain qualified persons to serve on our Board of Directors, our board committees or as executive officers.</w:t>
      </w:r>
    </w:p>
    <w:p>
      <w:pPr>
        <w:spacing w:after="0" w:line="196"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Our failure to timely and effectively implement controls and procedures required by Section 404(a) of the Sarbanes-Oxley Act could have a material adverse effect on our business.</w:t>
      </w:r>
    </w:p>
    <w:p>
      <w:pPr>
        <w:spacing w:after="0" w:line="185" w:lineRule="exact"/>
        <w:rPr>
          <w:sz w:val="20"/>
          <w:szCs w:val="20"/>
          <w:color w:val="auto"/>
        </w:rPr>
      </w:pPr>
    </w:p>
    <w:p>
      <w:pPr>
        <w:jc w:val="both"/>
        <w:ind w:firstLine="315"/>
        <w:spacing w:after="0" w:line="245" w:lineRule="auto"/>
        <w:rPr>
          <w:sz w:val="20"/>
          <w:szCs w:val="20"/>
          <w:color w:val="auto"/>
        </w:rPr>
      </w:pPr>
      <w:r>
        <w:rPr>
          <w:rFonts w:ascii="Arial" w:cs="Arial" w:eastAsia="Arial" w:hAnsi="Arial"/>
          <w:sz w:val="17"/>
          <w:szCs w:val="17"/>
          <w:color w:val="auto"/>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1098" w:right="339" w:bottom="1440" w:gutter="0" w:footer="0" w:header="0"/>
        </w:sectPr>
      </w:pPr>
    </w:p>
    <w:bookmarkStart w:id="68" w:name="page69"/>
    <w:bookmarkEnd w:id="68"/>
    <w:p>
      <w:pPr>
        <w:jc w:val="both"/>
        <w:ind w:firstLine="315"/>
        <w:spacing w:after="0" w:line="286" w:lineRule="auto"/>
        <w:rPr>
          <w:sz w:val="20"/>
          <w:szCs w:val="20"/>
          <w:color w:val="auto"/>
        </w:rPr>
      </w:pPr>
      <w:r>
        <w:rPr>
          <w:rFonts w:ascii="Arial" w:cs="Arial" w:eastAsia="Arial" w:hAnsi="Arial"/>
          <w:sz w:val="15"/>
          <w:szCs w:val="15"/>
          <w:color w:val="auto"/>
        </w:rPr>
        <w:t>Failure to properly implement internal controls on a timely basis may lead to the identification of one or more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shares of common stock to decline. If we have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shares of common stock.</w:t>
      </w:r>
    </w:p>
    <w:p>
      <w:pPr>
        <w:spacing w:after="0" w:line="179" w:lineRule="exact"/>
        <w:rPr>
          <w:sz w:val="20"/>
          <w:szCs w:val="20"/>
          <w:color w:val="auto"/>
        </w:rPr>
      </w:pPr>
    </w:p>
    <w:p>
      <w:pPr>
        <w:jc w:val="both"/>
        <w:ind w:firstLine="315"/>
        <w:spacing w:after="0" w:line="252" w:lineRule="auto"/>
        <w:rPr>
          <w:sz w:val="20"/>
          <w:szCs w:val="20"/>
          <w:color w:val="auto"/>
        </w:rPr>
      </w:pPr>
      <w:r>
        <w:rPr>
          <w:rFonts w:ascii="Arial" w:cs="Arial" w:eastAsia="Arial" w:hAnsi="Arial"/>
          <w:sz w:val="17"/>
          <w:szCs w:val="17"/>
          <w:color w:val="auto"/>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spacing w:after="0" w:line="20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Changes in laws or regulations, or a failure to comply with any laws and regulations, may adversely affect our business, investments and results of operations.</w:t>
      </w:r>
    </w:p>
    <w:p>
      <w:pPr>
        <w:spacing w:after="0" w:line="185" w:lineRule="exact"/>
        <w:rPr>
          <w:sz w:val="20"/>
          <w:szCs w:val="20"/>
          <w:color w:val="auto"/>
        </w:rPr>
      </w:pPr>
    </w:p>
    <w:p>
      <w:pPr>
        <w:jc w:val="both"/>
        <w:ind w:firstLine="315"/>
        <w:spacing w:after="0" w:line="245"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20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Anti-takeover provisions in our certificate of incorporation and bylaws and under Delaware law could delay or prevent a change in control, limit the price investors may be willing to pay in the future for our shares of common stock and could entrench management.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certificate of incorporation and bylaws contain provisions that could make it more difficult for a third-party to acquire us without the consent of our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These provisions provide for:</w:t>
      </w:r>
    </w:p>
    <w:p>
      <w:pPr>
        <w:spacing w:after="0" w:line="249" w:lineRule="exact"/>
        <w:rPr>
          <w:sz w:val="20"/>
          <w:szCs w:val="20"/>
          <w:color w:val="auto"/>
        </w:rPr>
      </w:pPr>
    </w:p>
    <w:p>
      <w:pPr>
        <w:ind w:left="620" w:hanging="300"/>
        <w:spacing w:after="0"/>
        <w:tabs>
          <w:tab w:leader="none" w:pos="620" w:val="left"/>
        </w:tabs>
        <w:numPr>
          <w:ilvl w:val="0"/>
          <w:numId w:val="22"/>
        </w:numPr>
        <w:rPr>
          <w:rFonts w:ascii="Arial" w:cs="Arial" w:eastAsia="Arial" w:hAnsi="Arial"/>
          <w:sz w:val="19"/>
          <w:szCs w:val="19"/>
          <w:color w:val="auto"/>
        </w:rPr>
      </w:pPr>
      <w:r>
        <w:rPr>
          <w:rFonts w:ascii="Arial" w:cs="Arial" w:eastAsia="Arial" w:hAnsi="Arial"/>
          <w:sz w:val="17"/>
          <w:szCs w:val="17"/>
          <w:color w:val="auto"/>
        </w:rPr>
        <w:t>a classified Board of Directors with staggered three-year terms;</w:t>
      </w:r>
    </w:p>
    <w:p>
      <w:pPr>
        <w:spacing w:after="0" w:line="9" w:lineRule="exact"/>
        <w:rPr>
          <w:rFonts w:ascii="Arial" w:cs="Arial" w:eastAsia="Arial" w:hAnsi="Arial"/>
          <w:sz w:val="19"/>
          <w:szCs w:val="19"/>
          <w:color w:val="auto"/>
        </w:rPr>
      </w:pPr>
    </w:p>
    <w:p>
      <w:pPr>
        <w:ind w:left="640" w:hanging="320"/>
        <w:spacing w:after="0" w:line="239" w:lineRule="auto"/>
        <w:tabs>
          <w:tab w:leader="none" w:pos="628" w:val="left"/>
        </w:tabs>
        <w:numPr>
          <w:ilvl w:val="0"/>
          <w:numId w:val="22"/>
        </w:numPr>
        <w:rPr>
          <w:rFonts w:ascii="Arial" w:cs="Arial" w:eastAsia="Arial" w:hAnsi="Arial"/>
          <w:sz w:val="19"/>
          <w:szCs w:val="19"/>
          <w:color w:val="auto"/>
        </w:rPr>
      </w:pPr>
      <w:r>
        <w:rPr>
          <w:rFonts w:ascii="Arial" w:cs="Arial" w:eastAsia="Arial" w:hAnsi="Arial"/>
          <w:sz w:val="17"/>
          <w:szCs w:val="17"/>
          <w:color w:val="auto"/>
        </w:rPr>
        <w:t>the ability of our Board of Directors to determine the powers, preferences and rights of preference shares and to cause us to issue the preference shares without shareholder approval; and</w:t>
      </w:r>
    </w:p>
    <w:p>
      <w:pPr>
        <w:spacing w:after="0" w:line="2" w:lineRule="exact"/>
        <w:rPr>
          <w:rFonts w:ascii="Arial" w:cs="Arial" w:eastAsia="Arial" w:hAnsi="Arial"/>
          <w:sz w:val="19"/>
          <w:szCs w:val="19"/>
          <w:color w:val="auto"/>
        </w:rPr>
      </w:pPr>
    </w:p>
    <w:p>
      <w:pPr>
        <w:ind w:left="620" w:hanging="300"/>
        <w:spacing w:after="0"/>
        <w:tabs>
          <w:tab w:leader="none" w:pos="620" w:val="left"/>
        </w:tabs>
        <w:numPr>
          <w:ilvl w:val="0"/>
          <w:numId w:val="22"/>
        </w:numPr>
        <w:rPr>
          <w:rFonts w:ascii="Arial" w:cs="Arial" w:eastAsia="Arial" w:hAnsi="Arial"/>
          <w:sz w:val="19"/>
          <w:szCs w:val="19"/>
          <w:color w:val="auto"/>
        </w:rPr>
      </w:pPr>
      <w:r>
        <w:rPr>
          <w:rFonts w:ascii="Arial" w:cs="Arial" w:eastAsia="Arial" w:hAnsi="Arial"/>
          <w:sz w:val="17"/>
          <w:szCs w:val="17"/>
          <w:color w:val="auto"/>
        </w:rPr>
        <w:t>requiring advance notice for shareholder proposals and nominations and placing limitations on convening shareholder meetings.</w:t>
      </w:r>
    </w:p>
    <w:p>
      <w:pPr>
        <w:spacing w:after="0" w:line="214"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shareholders to elect directors of their choosing and cause us to take corporate actions other than those shareholders may desire, any of which could harm our share price.</w:t>
      </w:r>
    </w:p>
    <w:p>
      <w:pPr>
        <w:spacing w:after="0" w:line="180"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b w:val="1"/>
          <w:bCs w:val="1"/>
          <w:i w:val="1"/>
          <w:iCs w:val="1"/>
          <w:color w:val="auto"/>
        </w:rPr>
        <w:t>Our largest shareholders and certain members of our management own a significant percentage of our shares of common stock and are able to exert significant control over matters subject to shareholder approval.</w:t>
      </w:r>
    </w:p>
    <w:p>
      <w:pPr>
        <w:spacing w:after="0" w:line="198"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6"/>
          <w:szCs w:val="16"/>
          <w:color w:val="auto"/>
        </w:rPr>
        <w:t>Our founder and certain of our largest shareholders hold a significant percentage of our shares of common stock.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spacing w:after="0" w:line="196"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b w:val="1"/>
          <w:bCs w:val="1"/>
          <w:i w:val="1"/>
          <w:iCs w:val="1"/>
          <w:color w:val="auto"/>
        </w:rPr>
        <w:t>Future sales and issuances of our shares of common stock, including pursuant to our equity incentive and other compensatory plans, will result in additional dilution of the percentage ownership of our shareholders and could cause our share price to fall.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861" w:right="339" w:bottom="1440" w:gutter="0" w:footer="0" w:header="0"/>
        </w:sectPr>
      </w:pPr>
    </w:p>
    <w:bookmarkStart w:id="69" w:name="page70"/>
    <w:bookmarkEnd w:id="69"/>
    <w:p>
      <w:pPr>
        <w:jc w:val="both"/>
        <w:ind w:firstLine="315"/>
        <w:spacing w:after="0" w:line="245" w:lineRule="auto"/>
        <w:rPr>
          <w:sz w:val="20"/>
          <w:szCs w:val="20"/>
          <w:color w:val="auto"/>
        </w:rPr>
      </w:pPr>
      <w:r>
        <w:rPr>
          <w:rFonts w:ascii="Arial" w:cs="Arial" w:eastAsia="Arial" w:hAnsi="Arial"/>
          <w:sz w:val="17"/>
          <w:szCs w:val="17"/>
          <w:color w:val="auto"/>
        </w:rPr>
        <w:t>We may need additional capital in the future to continue our planned operations. To the extent we raise additional capital by issuing equity securities, our shareholders may experience substantial dilution. We may sell shares of common stock, convertible securities or other equity securities in one or more transactions at prices and in a manner we determine from time to time. If we sell shares of common stock, convertible securities or other equity securities in more than one transaction, investors may be materially diluted by subsequent sales. In addition, new investors could gain rights superior to our existing shareholders.</w:t>
      </w:r>
    </w:p>
    <w:p>
      <w:pPr>
        <w:spacing w:after="0" w:line="209" w:lineRule="exact"/>
        <w:rPr>
          <w:sz w:val="20"/>
          <w:szCs w:val="20"/>
          <w:color w:val="auto"/>
        </w:rPr>
      </w:pPr>
    </w:p>
    <w:p>
      <w:pPr>
        <w:jc w:val="both"/>
        <w:ind w:firstLine="315"/>
        <w:spacing w:after="0" w:line="287" w:lineRule="auto"/>
        <w:rPr>
          <w:sz w:val="20"/>
          <w:szCs w:val="20"/>
          <w:color w:val="auto"/>
        </w:rPr>
      </w:pPr>
      <w:r>
        <w:rPr>
          <w:rFonts w:ascii="Arial" w:cs="Arial" w:eastAsia="Arial" w:hAnsi="Arial"/>
          <w:sz w:val="15"/>
          <w:szCs w:val="15"/>
          <w:color w:val="auto"/>
        </w:rPr>
        <w:t>Pursuant to SpringBig Holdings, Inc. 2022 Long-Term Incentive Plan (the “Incentive Plan”), we are authorized to grant options and other share-based awards to our employees, directors and consultants. The number of shares of our common stock initially reserved for issuance under the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that are outstanding as of the Closing. Shares subject to stock awards granted under the Incentive Plan that expire or terminate without being exercised in full, or that are paid out in cash rather than in shares, will not reduce the number of shares available for issuance under the Incentive Plan.</w:t>
      </w:r>
    </w:p>
    <w:p>
      <w:pPr>
        <w:spacing w:after="0" w:line="179"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b w:val="1"/>
          <w:bCs w:val="1"/>
          <w:i w:val="1"/>
          <w:iCs w:val="1"/>
          <w:color w:val="auto"/>
        </w:rPr>
        <w:t>Because there are no current plans to pay cash dividends on our shares of common stock for the foreseeable future, you may not receive any return on investment unless you sell our shares of common stock for a price greater than that which you paid for it; furthermore, there is no guarantee that the value of the shares of common stock will increase to a price greater than that which you paid for it.</w:t>
      </w:r>
    </w:p>
    <w:p>
      <w:pPr>
        <w:spacing w:after="0" w:line="180" w:lineRule="exact"/>
        <w:rPr>
          <w:sz w:val="20"/>
          <w:szCs w:val="20"/>
          <w:color w:val="auto"/>
        </w:rPr>
      </w:pPr>
    </w:p>
    <w:p>
      <w:pPr>
        <w:jc w:val="both"/>
        <w:ind w:firstLine="315"/>
        <w:spacing w:after="0" w:line="244" w:lineRule="auto"/>
        <w:rPr>
          <w:sz w:val="20"/>
          <w:szCs w:val="20"/>
          <w:color w:val="auto"/>
        </w:rPr>
      </w:pPr>
      <w:r>
        <w:rPr>
          <w:rFonts w:ascii="Arial" w:cs="Arial" w:eastAsia="Arial" w:hAnsi="Arial"/>
          <w:sz w:val="17"/>
          <w:szCs w:val="17"/>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shares of common stock unless you sell your shares of for a price greater than that which you paid for them; provided, however, that there is no guarantee that the value of the shares of common stock will increase to a price greater than the price for which such shares were purchased.</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has been previously disclosed in our Current Report on Form 8-K filed with the SEC on June 21, 2022.</w:t>
      </w:r>
    </w:p>
    <w:p>
      <w:pPr>
        <w:spacing w:after="0" w:line="237" w:lineRule="exact"/>
        <w:rPr>
          <w:sz w:val="20"/>
          <w:szCs w:val="20"/>
          <w:color w:val="auto"/>
        </w:rPr>
      </w:pPr>
    </w:p>
    <w:p>
      <w:pPr>
        <w:jc w:val="both"/>
        <w:ind w:firstLine="315"/>
        <w:spacing w:after="0" w:line="282" w:lineRule="auto"/>
        <w:rPr>
          <w:sz w:val="20"/>
          <w:szCs w:val="20"/>
          <w:color w:val="auto"/>
        </w:rPr>
      </w:pPr>
      <w:r>
        <w:rPr>
          <w:rFonts w:ascii="Arial" w:cs="Arial" w:eastAsia="Arial" w:hAnsi="Arial"/>
          <w:sz w:val="15"/>
          <w:szCs w:val="15"/>
          <w:color w:val="auto"/>
        </w:rPr>
        <w:t>On June 14, 2022, at the first closing under the Notes and Warrants Purchase Agreement, we issued and sold to the Investor (i) the Secured Convertible Note in the principal amount of $11.0 million and (ii) the five-year Investor Warrant to purchase 586,980 shares of our common stock at an exercise price of $12.00 per share, for total cash consideration to the Company of $10.0 million. The Senior Convertible Note is convertible at the option of the holder beginning at the earlier of (i) the date of effectiveness of the registration statement registering the resale of the underlying common stock, or (ii) the first anniversary of the</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issuance date of the Senior Convertible Note, at an initial conversion share price of $12.00 per share, subject to certain anti-dilution adjustments. See Note 10, "Senior Secured Convertible Notes” to our consolidated financial statements.</w:t>
      </w:r>
    </w:p>
    <w:p>
      <w:pPr>
        <w:spacing w:after="0" w:line="18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On June 14, 2022, we issued 1,310,000 shares of common stock pursuant to the PIPE Financing subscription agreements for aggregate consideration of $13.1 million, plus 31,356 shares paid to certain investors pursuant to the Convertible Notes with such investors.</w:t>
      </w:r>
    </w:p>
    <w:p>
      <w:pPr>
        <w:spacing w:after="0" w:line="185" w:lineRule="exact"/>
        <w:rPr>
          <w:sz w:val="20"/>
          <w:szCs w:val="20"/>
          <w:color w:val="auto"/>
        </w:rPr>
      </w:pPr>
    </w:p>
    <w:p>
      <w:pPr>
        <w:jc w:val="both"/>
        <w:ind w:firstLine="315"/>
        <w:spacing w:after="0" w:line="257" w:lineRule="auto"/>
        <w:rPr>
          <w:sz w:val="20"/>
          <w:szCs w:val="20"/>
          <w:color w:val="auto"/>
        </w:rPr>
      </w:pPr>
      <w:r>
        <w:rPr>
          <w:rFonts w:ascii="Arial" w:cs="Arial" w:eastAsia="Arial" w:hAnsi="Arial"/>
          <w:sz w:val="17"/>
          <w:szCs w:val="17"/>
          <w:color w:val="auto"/>
        </w:rPr>
        <w:t xml:space="preserve">The issuance of the securities in this transaction was made in reliance on exemptions from registration under </w:t>
      </w:r>
      <w:r>
        <w:rPr>
          <w:rFonts w:ascii="Arial" w:cs="Arial" w:eastAsia="Arial" w:hAnsi="Arial"/>
          <w:sz w:val="17"/>
          <w:szCs w:val="17"/>
          <w:color w:val="333333"/>
        </w:rPr>
        <w:t>Section 5 of the Securities Act of 1933, as</w:t>
      </w:r>
      <w:r>
        <w:rPr>
          <w:rFonts w:ascii="Arial" w:cs="Arial" w:eastAsia="Arial" w:hAnsi="Arial"/>
          <w:sz w:val="17"/>
          <w:szCs w:val="17"/>
          <w:color w:val="auto"/>
        </w:rPr>
        <w:t xml:space="preserve"> </w:t>
      </w:r>
      <w:r>
        <w:rPr>
          <w:rFonts w:ascii="Arial" w:cs="Arial" w:eastAsia="Arial" w:hAnsi="Arial"/>
          <w:sz w:val="17"/>
          <w:szCs w:val="17"/>
          <w:color w:val="333333"/>
        </w:rPr>
        <w:t xml:space="preserve">amended, in reliance on the exemption afforded by Section 4(a)(2) thereof and/or Rule 506 promulgated thereunder. </w:t>
      </w:r>
      <w:r>
        <w:rPr>
          <w:rFonts w:ascii="Arial" w:cs="Arial" w:eastAsia="Arial" w:hAnsi="Arial"/>
          <w:sz w:val="17"/>
          <w:szCs w:val="17"/>
          <w:color w:val="000000"/>
        </w:rPr>
        <w:t>The proceeds from such issuances will be</w:t>
      </w:r>
      <w:r>
        <w:rPr>
          <w:rFonts w:ascii="Arial" w:cs="Arial" w:eastAsia="Arial" w:hAnsi="Arial"/>
          <w:sz w:val="17"/>
          <w:szCs w:val="17"/>
          <w:color w:val="333333"/>
        </w:rPr>
        <w:t xml:space="preserve"> </w:t>
      </w:r>
      <w:r>
        <w:rPr>
          <w:rFonts w:ascii="Arial" w:cs="Arial" w:eastAsia="Arial" w:hAnsi="Arial"/>
          <w:sz w:val="17"/>
          <w:szCs w:val="17"/>
          <w:color w:val="000000"/>
        </w:rPr>
        <w:t>used for general working capital purposes.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861"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as part of, or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139"/>
          </w:cols>
          <w:pgMar w:left="320" w:top="921" w:right="1440" w:bottom="1440" w:gutter="0" w:footer="0" w:header="0"/>
        </w:sectPr>
      </w:pPr>
    </w:p>
    <w:bookmarkStart w:id="71" w:name="page72"/>
    <w:bookmarkEnd w:id="71"/>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580390</wp:posOffset>
            </wp:positionV>
            <wp:extent cx="7127875" cy="241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24130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61"/>
        </w:trPr>
        <w:tc>
          <w:tcPr>
            <w:tcW w:w="740" w:type="dxa"/>
            <w:vAlign w:val="bottom"/>
          </w:tcPr>
          <w:p>
            <w:pPr>
              <w:jc w:val="center"/>
              <w:ind w:right="170"/>
              <w:spacing w:after="0"/>
              <w:rPr>
                <w:sz w:val="20"/>
                <w:szCs w:val="20"/>
                <w:color w:val="auto"/>
              </w:rPr>
            </w:pPr>
            <w:r>
              <w:rPr>
                <w:rFonts w:ascii="Arial" w:cs="Arial" w:eastAsia="Arial" w:hAnsi="Arial"/>
                <w:sz w:val="14"/>
                <w:szCs w:val="14"/>
                <w:b w:val="1"/>
                <w:bCs w:val="1"/>
                <w:color w:val="auto"/>
                <w:w w:val="98"/>
              </w:rPr>
              <w:t>Exhibit</w:t>
            </w: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21"/>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12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3"/>
        </w:trPr>
        <w:tc>
          <w:tcPr>
            <w:tcW w:w="740" w:type="dxa"/>
            <w:vAlign w:val="bottom"/>
          </w:tcPr>
          <w:p>
            <w:pPr>
              <w:jc w:val="center"/>
              <w:ind w:right="170"/>
              <w:spacing w:after="0"/>
              <w:rPr>
                <w:sz w:val="20"/>
                <w:szCs w:val="20"/>
                <w:color w:val="auto"/>
              </w:rPr>
            </w:pPr>
            <w:r>
              <w:rPr>
                <w:rFonts w:ascii="Arial" w:cs="Arial" w:eastAsia="Arial" w:hAnsi="Arial"/>
                <w:sz w:val="14"/>
                <w:szCs w:val="14"/>
                <w:b w:val="1"/>
                <w:bCs w:val="1"/>
                <w:color w:val="auto"/>
                <w:w w:val="94"/>
              </w:rPr>
              <w:t>Number</w:t>
            </w: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21"/>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92"/>
              </w:rPr>
              <w:t>2.1</w:t>
            </w:r>
          </w:p>
        </w:tc>
        <w:tc>
          <w:tcPr>
            <w:tcW w:w="3800" w:type="dxa"/>
            <w:vAlign w:val="bottom"/>
            <w:gridSpan w:val="13"/>
            <w:vMerge w:val="restart"/>
          </w:tcPr>
          <w:p>
            <w:pPr>
              <w:spacing w:after="0"/>
              <w:rPr>
                <w:sz w:val="20"/>
                <w:szCs w:val="20"/>
                <w:color w:val="auto"/>
              </w:rPr>
            </w:pPr>
            <w:r>
              <w:rPr>
                <w:rFonts w:ascii="Arial" w:cs="Arial" w:eastAsia="Arial" w:hAnsi="Arial"/>
                <w:sz w:val="14"/>
                <w:szCs w:val="14"/>
                <w:color w:val="0000FF"/>
                <w:w w:val="90"/>
              </w:rPr>
              <w:t>Amended and Restated Merger Agreement with Amendment No. 1.</w:t>
            </w:r>
          </w:p>
        </w:tc>
        <w:tc>
          <w:tcPr>
            <w:tcW w:w="1160" w:type="dxa"/>
            <w:vAlign w:val="bottom"/>
            <w:gridSpan w:val="11"/>
            <w:vMerge w:val="restart"/>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Proxy Statement /</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Annex A</w:t>
            </w:r>
          </w:p>
        </w:tc>
        <w:tc>
          <w:tcPr>
            <w:tcW w:w="112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May 17, 2022</w:t>
            </w:r>
          </w:p>
        </w:tc>
        <w:tc>
          <w:tcPr>
            <w:tcW w:w="0" w:type="dxa"/>
            <w:vAlign w:val="bottom"/>
          </w:tcPr>
          <w:p>
            <w:pPr>
              <w:spacing w:after="0"/>
              <w:rPr>
                <w:sz w:val="1"/>
                <w:szCs w:val="1"/>
                <w:color w:val="auto"/>
              </w:rPr>
            </w:pPr>
          </w:p>
        </w:tc>
      </w:tr>
      <w:tr>
        <w:trPr>
          <w:trHeight w:val="149"/>
        </w:trPr>
        <w:tc>
          <w:tcPr>
            <w:tcW w:w="740" w:type="dxa"/>
            <w:vAlign w:val="bottom"/>
            <w:vMerge w:val="continue"/>
          </w:tcPr>
          <w:p>
            <w:pPr>
              <w:spacing w:after="0"/>
              <w:rPr>
                <w:sz w:val="12"/>
                <w:szCs w:val="12"/>
                <w:color w:val="auto"/>
              </w:rPr>
            </w:pPr>
          </w:p>
        </w:tc>
        <w:tc>
          <w:tcPr>
            <w:tcW w:w="3800" w:type="dxa"/>
            <w:vAlign w:val="bottom"/>
            <w:tcBorders>
              <w:bottom w:val="single" w:sz="8" w:color="0000FF"/>
            </w:tcBorders>
            <w:gridSpan w:val="13"/>
            <w:vMerge w:val="continue"/>
          </w:tcPr>
          <w:p>
            <w:pPr>
              <w:spacing w:after="0"/>
              <w:rPr>
                <w:sz w:val="12"/>
                <w:szCs w:val="12"/>
                <w:color w:val="auto"/>
              </w:rPr>
            </w:pPr>
          </w:p>
        </w:tc>
        <w:tc>
          <w:tcPr>
            <w:tcW w:w="1160" w:type="dxa"/>
            <w:vAlign w:val="bottom"/>
            <w:gridSpan w:val="11"/>
            <w:vMerge w:val="continue"/>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Prospectus</w:t>
            </w:r>
          </w:p>
        </w:tc>
        <w:tc>
          <w:tcPr>
            <w:tcW w:w="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92"/>
              </w:rPr>
              <w:t>3.1</w:t>
            </w:r>
          </w:p>
        </w:tc>
        <w:tc>
          <w:tcPr>
            <w:tcW w:w="4960" w:type="dxa"/>
            <w:vAlign w:val="bottom"/>
            <w:gridSpan w:val="24"/>
            <w:vMerge w:val="restart"/>
          </w:tcPr>
          <w:p>
            <w:pPr>
              <w:spacing w:after="0"/>
              <w:rPr>
                <w:sz w:val="20"/>
                <w:szCs w:val="20"/>
                <w:color w:val="auto"/>
              </w:rPr>
            </w:pPr>
            <w:r>
              <w:rPr>
                <w:rFonts w:ascii="Arial" w:cs="Arial" w:eastAsia="Arial" w:hAnsi="Arial"/>
                <w:sz w:val="14"/>
                <w:szCs w:val="14"/>
                <w:color w:val="0000FF"/>
              </w:rPr>
              <w:t>Form of Certificate of Incorporation of SpringBig Holdings, Inc.</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Proxy Statement /</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Annex B</w:t>
            </w:r>
          </w:p>
        </w:tc>
        <w:tc>
          <w:tcPr>
            <w:tcW w:w="112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May 17, 2022</w:t>
            </w:r>
          </w:p>
        </w:tc>
        <w:tc>
          <w:tcPr>
            <w:tcW w:w="0" w:type="dxa"/>
            <w:vAlign w:val="bottom"/>
          </w:tcPr>
          <w:p>
            <w:pPr>
              <w:spacing w:after="0"/>
              <w:rPr>
                <w:sz w:val="1"/>
                <w:szCs w:val="1"/>
                <w:color w:val="auto"/>
              </w:rPr>
            </w:pPr>
          </w:p>
        </w:tc>
      </w:tr>
      <w:tr>
        <w:trPr>
          <w:trHeight w:val="144"/>
        </w:trPr>
        <w:tc>
          <w:tcPr>
            <w:tcW w:w="740" w:type="dxa"/>
            <w:vAlign w:val="bottom"/>
            <w:vMerge w:val="continue"/>
          </w:tcPr>
          <w:p>
            <w:pPr>
              <w:spacing w:after="0"/>
              <w:rPr>
                <w:sz w:val="12"/>
                <w:szCs w:val="12"/>
                <w:color w:val="auto"/>
              </w:rPr>
            </w:pPr>
          </w:p>
        </w:tc>
        <w:tc>
          <w:tcPr>
            <w:tcW w:w="4960" w:type="dxa"/>
            <w:vAlign w:val="bottom"/>
            <w:gridSpan w:val="24"/>
            <w:vMerge w:val="continue"/>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Prospectus</w:t>
            </w:r>
          </w:p>
        </w:tc>
        <w:tc>
          <w:tcPr>
            <w:tcW w:w="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92"/>
              </w:rPr>
              <w:t>3.2</w:t>
            </w:r>
          </w:p>
        </w:tc>
        <w:tc>
          <w:tcPr>
            <w:tcW w:w="2600" w:type="dxa"/>
            <w:vAlign w:val="bottom"/>
            <w:tcBorders>
              <w:top w:val="single" w:sz="8" w:color="0000FF"/>
            </w:tcBorders>
            <w:gridSpan w:val="6"/>
            <w:vMerge w:val="restart"/>
          </w:tcPr>
          <w:p>
            <w:pPr>
              <w:spacing w:after="0"/>
              <w:rPr>
                <w:sz w:val="20"/>
                <w:szCs w:val="20"/>
                <w:color w:val="auto"/>
              </w:rPr>
            </w:pPr>
            <w:r>
              <w:rPr>
                <w:rFonts w:ascii="Arial" w:cs="Arial" w:eastAsia="Arial" w:hAnsi="Arial"/>
                <w:sz w:val="14"/>
                <w:szCs w:val="14"/>
                <w:color w:val="0000FF"/>
                <w:w w:val="93"/>
              </w:rPr>
              <w:t>Form of By-Laws of SpringBig Holdings, Inc.</w:t>
            </w:r>
          </w:p>
        </w:tc>
        <w:tc>
          <w:tcPr>
            <w:tcW w:w="1020" w:type="dxa"/>
            <w:vAlign w:val="bottom"/>
            <w:tcBorders>
              <w:top w:val="single" w:sz="8" w:color="0000FF"/>
            </w:tcBorders>
            <w:gridSpan w:val="6"/>
            <w:vMerge w:val="restart"/>
          </w:tcPr>
          <w:p>
            <w:pPr>
              <w:spacing w:after="0"/>
              <w:rPr>
                <w:sz w:val="14"/>
                <w:szCs w:val="14"/>
                <w:color w:val="auto"/>
              </w:rPr>
            </w:pPr>
          </w:p>
        </w:tc>
        <w:tc>
          <w:tcPr>
            <w:tcW w:w="1340" w:type="dxa"/>
            <w:vAlign w:val="bottom"/>
            <w:gridSpan w:val="12"/>
            <w:vMerge w:val="restart"/>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Proxy Statement /</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Annex C</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May 17, 2022</w:t>
            </w:r>
          </w:p>
        </w:tc>
        <w:tc>
          <w:tcPr>
            <w:tcW w:w="0" w:type="dxa"/>
            <w:vAlign w:val="bottom"/>
          </w:tcPr>
          <w:p>
            <w:pPr>
              <w:spacing w:after="0"/>
              <w:rPr>
                <w:sz w:val="1"/>
                <w:szCs w:val="1"/>
                <w:color w:val="auto"/>
              </w:rPr>
            </w:pPr>
          </w:p>
        </w:tc>
      </w:tr>
      <w:tr>
        <w:trPr>
          <w:trHeight w:val="149"/>
        </w:trPr>
        <w:tc>
          <w:tcPr>
            <w:tcW w:w="740" w:type="dxa"/>
            <w:vAlign w:val="bottom"/>
            <w:vMerge w:val="continue"/>
          </w:tcPr>
          <w:p>
            <w:pPr>
              <w:spacing w:after="0"/>
              <w:rPr>
                <w:sz w:val="12"/>
                <w:szCs w:val="12"/>
                <w:color w:val="auto"/>
              </w:rPr>
            </w:pPr>
          </w:p>
        </w:tc>
        <w:tc>
          <w:tcPr>
            <w:tcW w:w="2600" w:type="dxa"/>
            <w:vAlign w:val="bottom"/>
            <w:tcBorders>
              <w:bottom w:val="single" w:sz="8" w:color="0000FF"/>
            </w:tcBorders>
            <w:gridSpan w:val="6"/>
            <w:vMerge w:val="continue"/>
          </w:tcPr>
          <w:p>
            <w:pPr>
              <w:spacing w:after="0"/>
              <w:rPr>
                <w:sz w:val="12"/>
                <w:szCs w:val="12"/>
                <w:color w:val="auto"/>
              </w:rPr>
            </w:pPr>
          </w:p>
        </w:tc>
        <w:tc>
          <w:tcPr>
            <w:tcW w:w="1020" w:type="dxa"/>
            <w:vAlign w:val="bottom"/>
            <w:gridSpan w:val="6"/>
            <w:vMerge w:val="continue"/>
          </w:tcPr>
          <w:p>
            <w:pPr>
              <w:spacing w:after="0"/>
              <w:rPr>
                <w:sz w:val="12"/>
                <w:szCs w:val="12"/>
                <w:color w:val="auto"/>
              </w:rPr>
            </w:pPr>
          </w:p>
        </w:tc>
        <w:tc>
          <w:tcPr>
            <w:tcW w:w="1340" w:type="dxa"/>
            <w:vAlign w:val="bottom"/>
            <w:gridSpan w:val="12"/>
            <w:vMerge w:val="continue"/>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Prospectus</w:t>
            </w:r>
          </w:p>
        </w:tc>
        <w:tc>
          <w:tcPr>
            <w:tcW w:w="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92"/>
              </w:rPr>
              <w:t>4.1</w:t>
            </w:r>
          </w:p>
        </w:tc>
        <w:tc>
          <w:tcPr>
            <w:tcW w:w="4960" w:type="dxa"/>
            <w:vAlign w:val="bottom"/>
            <w:gridSpan w:val="24"/>
          </w:tcPr>
          <w:p>
            <w:pPr>
              <w:spacing w:after="0"/>
              <w:rPr>
                <w:sz w:val="20"/>
                <w:szCs w:val="20"/>
                <w:color w:val="auto"/>
              </w:rPr>
            </w:pPr>
            <w:r>
              <w:rPr>
                <w:rFonts w:ascii="Arial" w:cs="Arial" w:eastAsia="Arial" w:hAnsi="Arial"/>
                <w:sz w:val="14"/>
                <w:szCs w:val="14"/>
                <w:color w:val="0000FF"/>
                <w:w w:val="94"/>
              </w:rPr>
              <w:t>Senior Secured Original Issue Discount Convertible Promissory Note dated June 14,</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4.1</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21, 2022</w:t>
            </w:r>
          </w:p>
        </w:tc>
        <w:tc>
          <w:tcPr>
            <w:tcW w:w="0" w:type="dxa"/>
            <w:vAlign w:val="bottom"/>
          </w:tcPr>
          <w:p>
            <w:pPr>
              <w:spacing w:after="0"/>
              <w:rPr>
                <w:sz w:val="1"/>
                <w:szCs w:val="1"/>
                <w:color w:val="auto"/>
              </w:rPr>
            </w:pPr>
          </w:p>
        </w:tc>
      </w:tr>
      <w:tr>
        <w:trPr>
          <w:trHeight w:val="137"/>
        </w:trPr>
        <w:tc>
          <w:tcPr>
            <w:tcW w:w="740" w:type="dxa"/>
            <w:vAlign w:val="bottom"/>
            <w:vMerge w:val="continue"/>
          </w:tcPr>
          <w:p>
            <w:pPr>
              <w:spacing w:after="0"/>
              <w:rPr>
                <w:sz w:val="11"/>
                <w:szCs w:val="11"/>
                <w:color w:val="auto"/>
              </w:rPr>
            </w:pPr>
          </w:p>
        </w:tc>
        <w:tc>
          <w:tcPr>
            <w:tcW w:w="4720" w:type="dxa"/>
            <w:vAlign w:val="bottom"/>
            <w:tcBorders>
              <w:top w:val="single" w:sz="8" w:color="0000FF"/>
            </w:tcBorders>
            <w:gridSpan w:val="22"/>
          </w:tcPr>
          <w:p>
            <w:pPr>
              <w:spacing w:after="0" w:line="137" w:lineRule="exact"/>
              <w:rPr>
                <w:sz w:val="20"/>
                <w:szCs w:val="20"/>
                <w:color w:val="auto"/>
              </w:rPr>
            </w:pPr>
            <w:r>
              <w:rPr>
                <w:rFonts w:ascii="Arial" w:cs="Arial" w:eastAsia="Arial" w:hAnsi="Arial"/>
                <w:sz w:val="14"/>
                <w:szCs w:val="14"/>
                <w:color w:val="0000FF"/>
              </w:rPr>
              <w:t>2022 between SpringBig Holdings, Inc. and the holder party thereto.</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40" w:type="dxa"/>
            <w:vAlign w:val="bottom"/>
          </w:tcPr>
          <w:p>
            <w:pPr>
              <w:jc w:val="center"/>
              <w:ind w:right="170"/>
              <w:spacing w:after="0"/>
              <w:rPr>
                <w:sz w:val="20"/>
                <w:szCs w:val="20"/>
                <w:color w:val="auto"/>
              </w:rPr>
            </w:pPr>
            <w:r>
              <w:rPr>
                <w:rFonts w:ascii="Arial" w:cs="Arial" w:eastAsia="Arial" w:hAnsi="Arial"/>
                <w:sz w:val="14"/>
                <w:szCs w:val="14"/>
                <w:b w:val="1"/>
                <w:bCs w:val="1"/>
                <w:color w:val="auto"/>
                <w:w w:val="92"/>
              </w:rPr>
              <w:t>4.2</w:t>
            </w:r>
          </w:p>
        </w:tc>
        <w:tc>
          <w:tcPr>
            <w:tcW w:w="3840" w:type="dxa"/>
            <w:vAlign w:val="bottom"/>
            <w:tcBorders>
              <w:top w:val="single" w:sz="8" w:color="0000FF"/>
            </w:tcBorders>
            <w:gridSpan w:val="15"/>
          </w:tcPr>
          <w:p>
            <w:pPr>
              <w:spacing w:after="0"/>
              <w:rPr>
                <w:sz w:val="20"/>
                <w:szCs w:val="20"/>
                <w:color w:val="auto"/>
              </w:rPr>
            </w:pPr>
            <w:r>
              <w:rPr>
                <w:rFonts w:ascii="Arial" w:cs="Arial" w:eastAsia="Arial" w:hAnsi="Arial"/>
                <w:sz w:val="14"/>
                <w:szCs w:val="14"/>
                <w:color w:val="0000FF"/>
              </w:rPr>
              <w:t>Common Stock Purchase Warrant SpringBig Holdings Inc.</w:t>
            </w:r>
          </w:p>
        </w:tc>
        <w:tc>
          <w:tcPr>
            <w:tcW w:w="1120" w:type="dxa"/>
            <w:vAlign w:val="bottom"/>
            <w:gridSpan w:val="9"/>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4.2</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21, 2022</w:t>
            </w:r>
          </w:p>
        </w:tc>
        <w:tc>
          <w:tcPr>
            <w:tcW w:w="0" w:type="dxa"/>
            <w:vAlign w:val="bottom"/>
          </w:tcPr>
          <w:p>
            <w:pPr>
              <w:spacing w:after="0"/>
              <w:rPr>
                <w:sz w:val="1"/>
                <w:szCs w:val="1"/>
                <w:color w:val="auto"/>
              </w:rPr>
            </w:pPr>
          </w:p>
        </w:tc>
      </w:tr>
      <w:tr>
        <w:trPr>
          <w:trHeight w:val="190"/>
        </w:trPr>
        <w:tc>
          <w:tcPr>
            <w:tcW w:w="740" w:type="dxa"/>
            <w:vAlign w:val="bottom"/>
          </w:tcPr>
          <w:p>
            <w:pPr>
              <w:jc w:val="center"/>
              <w:ind w:right="170"/>
              <w:spacing w:after="0"/>
              <w:rPr>
                <w:sz w:val="20"/>
                <w:szCs w:val="20"/>
                <w:color w:val="auto"/>
              </w:rPr>
            </w:pPr>
            <w:r>
              <w:rPr>
                <w:rFonts w:ascii="Arial" w:cs="Arial" w:eastAsia="Arial" w:hAnsi="Arial"/>
                <w:sz w:val="14"/>
                <w:szCs w:val="14"/>
                <w:b w:val="1"/>
                <w:bCs w:val="1"/>
                <w:color w:val="auto"/>
                <w:w w:val="95"/>
              </w:rPr>
              <w:t>10.1</w:t>
            </w:r>
          </w:p>
        </w:tc>
        <w:tc>
          <w:tcPr>
            <w:tcW w:w="21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4"/>
                <w:szCs w:val="14"/>
                <w:color w:val="0000FF"/>
                <w:w w:val="90"/>
              </w:rPr>
              <w:t>Form of Sponsor Escrow Agreement.</w:t>
            </w:r>
          </w:p>
        </w:tc>
        <w:tc>
          <w:tcPr>
            <w:tcW w:w="1200" w:type="dxa"/>
            <w:vAlign w:val="bottom"/>
            <w:tcBorders>
              <w:top w:val="single" w:sz="8" w:color="0000FF"/>
            </w:tcBorders>
            <w:gridSpan w:val="4"/>
          </w:tcPr>
          <w:p>
            <w:pPr>
              <w:spacing w:after="0"/>
              <w:rPr>
                <w:sz w:val="16"/>
                <w:szCs w:val="16"/>
                <w:color w:val="auto"/>
              </w:rPr>
            </w:pPr>
          </w:p>
        </w:tc>
        <w:tc>
          <w:tcPr>
            <w:tcW w:w="1660" w:type="dxa"/>
            <w:vAlign w:val="bottom"/>
            <w:gridSpan w:val="15"/>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10.1</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21, 2022</w:t>
            </w:r>
          </w:p>
        </w:tc>
        <w:tc>
          <w:tcPr>
            <w:tcW w:w="0" w:type="dxa"/>
            <w:vAlign w:val="bottom"/>
          </w:tcPr>
          <w:p>
            <w:pPr>
              <w:spacing w:after="0"/>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95"/>
              </w:rPr>
              <w:t>10.2</w:t>
            </w:r>
          </w:p>
        </w:tc>
        <w:tc>
          <w:tcPr>
            <w:tcW w:w="4960" w:type="dxa"/>
            <w:vAlign w:val="bottom"/>
            <w:gridSpan w:val="24"/>
          </w:tcPr>
          <w:p>
            <w:pPr>
              <w:spacing w:after="0"/>
              <w:rPr>
                <w:sz w:val="20"/>
                <w:szCs w:val="20"/>
                <w:color w:val="auto"/>
              </w:rPr>
            </w:pPr>
            <w:r>
              <w:rPr>
                <w:rFonts w:ascii="Arial" w:cs="Arial" w:eastAsia="Arial" w:hAnsi="Arial"/>
                <w:sz w:val="14"/>
                <w:szCs w:val="14"/>
                <w:color w:val="0000FF"/>
                <w:w w:val="93"/>
              </w:rPr>
              <w:t>Amended and Restated Registration Rights Agreement, dated June 14, 2022, by and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10.2</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21, 2022</w:t>
            </w:r>
          </w:p>
        </w:tc>
        <w:tc>
          <w:tcPr>
            <w:tcW w:w="0" w:type="dxa"/>
            <w:vAlign w:val="bottom"/>
          </w:tcPr>
          <w:p>
            <w:pPr>
              <w:spacing w:after="0"/>
              <w:rPr>
                <w:sz w:val="1"/>
                <w:szCs w:val="1"/>
                <w:color w:val="auto"/>
              </w:rPr>
            </w:pPr>
          </w:p>
        </w:tc>
      </w:tr>
      <w:tr>
        <w:trPr>
          <w:trHeight w:val="137"/>
        </w:trPr>
        <w:tc>
          <w:tcPr>
            <w:tcW w:w="740" w:type="dxa"/>
            <w:vAlign w:val="bottom"/>
            <w:vMerge w:val="continue"/>
          </w:tcPr>
          <w:p>
            <w:pPr>
              <w:spacing w:after="0"/>
              <w:rPr>
                <w:sz w:val="11"/>
                <w:szCs w:val="11"/>
                <w:color w:val="auto"/>
              </w:rPr>
            </w:pPr>
          </w:p>
        </w:tc>
        <w:tc>
          <w:tcPr>
            <w:tcW w:w="3820" w:type="dxa"/>
            <w:vAlign w:val="bottom"/>
            <w:tcBorders>
              <w:top w:val="single" w:sz="8" w:color="0000FF"/>
              <w:bottom w:val="single" w:sz="8" w:color="0000FF"/>
            </w:tcBorders>
            <w:gridSpan w:val="14"/>
          </w:tcPr>
          <w:p>
            <w:pPr>
              <w:spacing w:after="0" w:line="137" w:lineRule="exact"/>
              <w:rPr>
                <w:sz w:val="20"/>
                <w:szCs w:val="20"/>
                <w:color w:val="auto"/>
              </w:rPr>
            </w:pPr>
            <w:r>
              <w:rPr>
                <w:rFonts w:ascii="Arial" w:cs="Arial" w:eastAsia="Arial" w:hAnsi="Arial"/>
                <w:sz w:val="14"/>
                <w:szCs w:val="14"/>
                <w:color w:val="0000FF"/>
                <w:w w:val="90"/>
              </w:rPr>
              <w:t>among New SpringBig, the Sponsor and other holders party thereto.</w:t>
            </w:r>
          </w:p>
        </w:tc>
        <w:tc>
          <w:tcPr>
            <w:tcW w:w="880" w:type="dxa"/>
            <w:vAlign w:val="bottom"/>
            <w:tcBorders>
              <w:top w:val="single" w:sz="8" w:color="0000FF"/>
            </w:tcBorders>
            <w:gridSpan w:val="7"/>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95"/>
              </w:rPr>
              <w:t>10.3</w:t>
            </w:r>
          </w:p>
        </w:tc>
        <w:tc>
          <w:tcPr>
            <w:tcW w:w="1900" w:type="dxa"/>
            <w:vAlign w:val="bottom"/>
            <w:gridSpan w:val="4"/>
            <w:vMerge w:val="restart"/>
          </w:tcPr>
          <w:p>
            <w:pPr>
              <w:spacing w:after="0"/>
              <w:rPr>
                <w:sz w:val="20"/>
                <w:szCs w:val="20"/>
                <w:color w:val="auto"/>
              </w:rPr>
            </w:pPr>
            <w:r>
              <w:rPr>
                <w:rFonts w:ascii="Arial" w:cs="Arial" w:eastAsia="Arial" w:hAnsi="Arial"/>
                <w:sz w:val="14"/>
                <w:szCs w:val="14"/>
                <w:color w:val="0000FF"/>
                <w:w w:val="91"/>
              </w:rPr>
              <w:t>Form of Subscription Agreement.</w:t>
            </w:r>
          </w:p>
        </w:tc>
        <w:tc>
          <w:tcPr>
            <w:tcW w:w="3060" w:type="dxa"/>
            <w:vAlign w:val="bottom"/>
            <w:gridSpan w:val="20"/>
            <w:vMerge w:val="restart"/>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10.2</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November 09,</w:t>
            </w:r>
          </w:p>
        </w:tc>
        <w:tc>
          <w:tcPr>
            <w:tcW w:w="0" w:type="dxa"/>
            <w:vAlign w:val="bottom"/>
          </w:tcPr>
          <w:p>
            <w:pPr>
              <w:spacing w:after="0"/>
              <w:rPr>
                <w:sz w:val="1"/>
                <w:szCs w:val="1"/>
                <w:color w:val="auto"/>
              </w:rPr>
            </w:pPr>
          </w:p>
        </w:tc>
      </w:tr>
      <w:tr>
        <w:trPr>
          <w:trHeight w:val="149"/>
        </w:trPr>
        <w:tc>
          <w:tcPr>
            <w:tcW w:w="740" w:type="dxa"/>
            <w:vAlign w:val="bottom"/>
            <w:vMerge w:val="continue"/>
          </w:tcPr>
          <w:p>
            <w:pPr>
              <w:spacing w:after="0"/>
              <w:rPr>
                <w:sz w:val="12"/>
                <w:szCs w:val="12"/>
                <w:color w:val="auto"/>
              </w:rPr>
            </w:pPr>
          </w:p>
        </w:tc>
        <w:tc>
          <w:tcPr>
            <w:tcW w:w="1900" w:type="dxa"/>
            <w:vAlign w:val="bottom"/>
            <w:tcBorders>
              <w:bottom w:val="single" w:sz="8" w:color="0000FF"/>
            </w:tcBorders>
            <w:gridSpan w:val="4"/>
            <w:vMerge w:val="continue"/>
          </w:tcPr>
          <w:p>
            <w:pPr>
              <w:spacing w:after="0"/>
              <w:rPr>
                <w:sz w:val="12"/>
                <w:szCs w:val="12"/>
                <w:color w:val="auto"/>
              </w:rPr>
            </w:pPr>
          </w:p>
        </w:tc>
        <w:tc>
          <w:tcPr>
            <w:tcW w:w="3060" w:type="dxa"/>
            <w:vAlign w:val="bottom"/>
            <w:gridSpan w:val="20"/>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2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95"/>
              </w:rPr>
              <w:t>10.4</w:t>
            </w:r>
          </w:p>
        </w:tc>
        <w:tc>
          <w:tcPr>
            <w:tcW w:w="4960" w:type="dxa"/>
            <w:vAlign w:val="bottom"/>
            <w:gridSpan w:val="24"/>
          </w:tcPr>
          <w:p>
            <w:pPr>
              <w:spacing w:after="0"/>
              <w:rPr>
                <w:sz w:val="20"/>
                <w:szCs w:val="20"/>
                <w:color w:val="auto"/>
              </w:rPr>
            </w:pPr>
            <w:r>
              <w:rPr>
                <w:rFonts w:ascii="Arial" w:cs="Arial" w:eastAsia="Arial" w:hAnsi="Arial"/>
                <w:sz w:val="14"/>
                <w:szCs w:val="14"/>
                <w:color w:val="0000FF"/>
              </w:rPr>
              <w:t>Securities Purchase Agreement, dated April 29, 2022, among Tuatara Capital</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10.3</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May 02, 2022</w:t>
            </w:r>
          </w:p>
        </w:tc>
        <w:tc>
          <w:tcPr>
            <w:tcW w:w="0" w:type="dxa"/>
            <w:vAlign w:val="bottom"/>
          </w:tcPr>
          <w:p>
            <w:pPr>
              <w:spacing w:after="0"/>
              <w:rPr>
                <w:sz w:val="1"/>
                <w:szCs w:val="1"/>
                <w:color w:val="auto"/>
              </w:rPr>
            </w:pPr>
          </w:p>
        </w:tc>
      </w:tr>
      <w:tr>
        <w:trPr>
          <w:trHeight w:val="137"/>
        </w:trPr>
        <w:tc>
          <w:tcPr>
            <w:tcW w:w="740" w:type="dxa"/>
            <w:vAlign w:val="bottom"/>
            <w:vMerge w:val="continue"/>
          </w:tcPr>
          <w:p>
            <w:pPr>
              <w:spacing w:after="0"/>
              <w:rPr>
                <w:sz w:val="11"/>
                <w:szCs w:val="11"/>
                <w:color w:val="auto"/>
              </w:rPr>
            </w:pPr>
          </w:p>
        </w:tc>
        <w:tc>
          <w:tcPr>
            <w:tcW w:w="3260" w:type="dxa"/>
            <w:vAlign w:val="bottom"/>
            <w:tcBorders>
              <w:top w:val="single" w:sz="8" w:color="0000FF"/>
              <w:bottom w:val="single" w:sz="8" w:color="0000FF"/>
            </w:tcBorders>
            <w:gridSpan w:val="8"/>
          </w:tcPr>
          <w:p>
            <w:pPr>
              <w:spacing w:after="0" w:line="137" w:lineRule="exact"/>
              <w:rPr>
                <w:sz w:val="20"/>
                <w:szCs w:val="20"/>
                <w:color w:val="auto"/>
              </w:rPr>
            </w:pPr>
            <w:r>
              <w:rPr>
                <w:rFonts w:ascii="Arial" w:cs="Arial" w:eastAsia="Arial" w:hAnsi="Arial"/>
                <w:sz w:val="14"/>
                <w:szCs w:val="14"/>
                <w:color w:val="0000FF"/>
                <w:w w:val="90"/>
              </w:rPr>
              <w:t>Acquisition Corporation, and the purchasers party thereto.</w:t>
            </w:r>
          </w:p>
        </w:tc>
        <w:tc>
          <w:tcPr>
            <w:tcW w:w="106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95"/>
              </w:rPr>
              <w:t>10.5</w:t>
            </w:r>
          </w:p>
        </w:tc>
        <w:tc>
          <w:tcPr>
            <w:tcW w:w="4960" w:type="dxa"/>
            <w:vAlign w:val="bottom"/>
            <w:gridSpan w:val="24"/>
          </w:tcPr>
          <w:p>
            <w:pPr>
              <w:spacing w:after="0"/>
              <w:rPr>
                <w:sz w:val="20"/>
                <w:szCs w:val="20"/>
                <w:color w:val="auto"/>
              </w:rPr>
            </w:pPr>
            <w:r>
              <w:rPr>
                <w:rFonts w:ascii="Arial" w:cs="Arial" w:eastAsia="Arial" w:hAnsi="Arial"/>
                <w:sz w:val="14"/>
                <w:szCs w:val="14"/>
                <w:color w:val="0000FF"/>
                <w:w w:val="93"/>
              </w:rPr>
              <w:t>Registration Rights Agreement, dated June 14, 2022, among SpringBig Holdings, Inc.</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10.5</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21, 2022</w:t>
            </w:r>
          </w:p>
        </w:tc>
        <w:tc>
          <w:tcPr>
            <w:tcW w:w="0" w:type="dxa"/>
            <w:vAlign w:val="bottom"/>
          </w:tcPr>
          <w:p>
            <w:pPr>
              <w:spacing w:after="0"/>
              <w:rPr>
                <w:sz w:val="1"/>
                <w:szCs w:val="1"/>
                <w:color w:val="auto"/>
              </w:rPr>
            </w:pPr>
          </w:p>
        </w:tc>
      </w:tr>
      <w:tr>
        <w:trPr>
          <w:trHeight w:val="137"/>
        </w:trPr>
        <w:tc>
          <w:tcPr>
            <w:tcW w:w="740" w:type="dxa"/>
            <w:vAlign w:val="bottom"/>
            <w:vMerge w:val="continue"/>
          </w:tcPr>
          <w:p>
            <w:pPr>
              <w:spacing w:after="0"/>
              <w:rPr>
                <w:sz w:val="11"/>
                <w:szCs w:val="11"/>
                <w:color w:val="auto"/>
              </w:rPr>
            </w:pPr>
          </w:p>
        </w:tc>
        <w:tc>
          <w:tcPr>
            <w:tcW w:w="1740" w:type="dxa"/>
            <w:vAlign w:val="bottom"/>
            <w:tcBorders>
              <w:top w:val="single" w:sz="8" w:color="0000FF"/>
              <w:bottom w:val="single" w:sz="8" w:color="0000FF"/>
            </w:tcBorders>
            <w:gridSpan w:val="3"/>
          </w:tcPr>
          <w:p>
            <w:pPr>
              <w:spacing w:after="0" w:line="137" w:lineRule="exact"/>
              <w:rPr>
                <w:sz w:val="20"/>
                <w:szCs w:val="20"/>
                <w:color w:val="auto"/>
              </w:rPr>
            </w:pPr>
            <w:r>
              <w:rPr>
                <w:rFonts w:ascii="Arial" w:cs="Arial" w:eastAsia="Arial" w:hAnsi="Arial"/>
                <w:sz w:val="14"/>
                <w:szCs w:val="14"/>
                <w:color w:val="0000FF"/>
                <w:w w:val="89"/>
              </w:rPr>
              <w:t>and the investors party thereto.</w:t>
            </w:r>
          </w:p>
        </w:tc>
        <w:tc>
          <w:tcPr>
            <w:tcW w:w="3080" w:type="dxa"/>
            <w:vAlign w:val="bottom"/>
            <w:tcBorders>
              <w:top w:val="single" w:sz="8" w:color="0000FF"/>
            </w:tcBorders>
            <w:gridSpan w:val="20"/>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40" w:type="dxa"/>
            <w:vAlign w:val="bottom"/>
          </w:tcPr>
          <w:p>
            <w:pPr>
              <w:jc w:val="center"/>
              <w:ind w:right="170"/>
              <w:spacing w:after="0"/>
              <w:rPr>
                <w:sz w:val="20"/>
                <w:szCs w:val="20"/>
                <w:color w:val="auto"/>
              </w:rPr>
            </w:pPr>
            <w:r>
              <w:rPr>
                <w:rFonts w:ascii="Arial" w:cs="Arial" w:eastAsia="Arial" w:hAnsi="Arial"/>
                <w:sz w:val="14"/>
                <w:szCs w:val="14"/>
                <w:b w:val="1"/>
                <w:bCs w:val="1"/>
                <w:color w:val="auto"/>
                <w:w w:val="85"/>
              </w:rPr>
              <w:t>10.6#</w:t>
            </w:r>
          </w:p>
        </w:tc>
        <w:tc>
          <w:tcPr>
            <w:tcW w:w="4960" w:type="dxa"/>
            <w:vAlign w:val="bottom"/>
            <w:gridSpan w:val="24"/>
          </w:tcPr>
          <w:p>
            <w:pPr>
              <w:spacing w:after="0"/>
              <w:rPr>
                <w:sz w:val="20"/>
                <w:szCs w:val="20"/>
                <w:color w:val="auto"/>
              </w:rPr>
            </w:pPr>
            <w:r>
              <w:rPr>
                <w:rFonts w:ascii="Arial" w:cs="Arial" w:eastAsia="Arial" w:hAnsi="Arial"/>
                <w:sz w:val="14"/>
                <w:szCs w:val="14"/>
                <w:color w:val="0000FF"/>
              </w:rPr>
              <w:t>SpringBig Holdings, Inc. 2022 Long-Term Incentive Plan.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10.6</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21, 2022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85"/>
              </w:rPr>
              <w:t>10.7#</w:t>
            </w:r>
          </w:p>
        </w:tc>
        <w:tc>
          <w:tcPr>
            <w:tcW w:w="4960" w:type="dxa"/>
            <w:vAlign w:val="bottom"/>
            <w:gridSpan w:val="24"/>
          </w:tcPr>
          <w:p>
            <w:pPr>
              <w:spacing w:after="0"/>
              <w:rPr>
                <w:sz w:val="20"/>
                <w:szCs w:val="20"/>
                <w:color w:val="auto"/>
              </w:rPr>
            </w:pPr>
            <w:r>
              <w:rPr>
                <w:rFonts w:ascii="Arial" w:cs="Arial" w:eastAsia="Arial" w:hAnsi="Arial"/>
                <w:sz w:val="14"/>
                <w:szCs w:val="14"/>
                <w:color w:val="0000FF"/>
              </w:rPr>
              <w:t>Executive Employment Agreement, dated November 8, 2021 by and between</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10.7</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21, 2022</w:t>
            </w:r>
          </w:p>
        </w:tc>
        <w:tc>
          <w:tcPr>
            <w:tcW w:w="0" w:type="dxa"/>
            <w:vAlign w:val="bottom"/>
          </w:tcPr>
          <w:p>
            <w:pPr>
              <w:spacing w:after="0"/>
              <w:rPr>
                <w:sz w:val="1"/>
                <w:szCs w:val="1"/>
                <w:color w:val="auto"/>
              </w:rPr>
            </w:pPr>
          </w:p>
        </w:tc>
      </w:tr>
      <w:tr>
        <w:trPr>
          <w:trHeight w:val="137"/>
        </w:trPr>
        <w:tc>
          <w:tcPr>
            <w:tcW w:w="740" w:type="dxa"/>
            <w:vAlign w:val="bottom"/>
            <w:vMerge w:val="continue"/>
          </w:tcPr>
          <w:p>
            <w:pPr>
              <w:spacing w:after="0"/>
              <w:rPr>
                <w:sz w:val="11"/>
                <w:szCs w:val="11"/>
                <w:color w:val="auto"/>
              </w:rPr>
            </w:pPr>
          </w:p>
        </w:tc>
        <w:tc>
          <w:tcPr>
            <w:tcW w:w="1660" w:type="dxa"/>
            <w:vAlign w:val="bottom"/>
            <w:tcBorders>
              <w:top w:val="single" w:sz="8" w:color="0000FF"/>
              <w:bottom w:val="single" w:sz="8" w:color="0000FF"/>
            </w:tcBorders>
            <w:gridSpan w:val="2"/>
          </w:tcPr>
          <w:p>
            <w:pPr>
              <w:spacing w:after="0" w:line="137" w:lineRule="exact"/>
              <w:rPr>
                <w:sz w:val="20"/>
                <w:szCs w:val="20"/>
                <w:color w:val="auto"/>
              </w:rPr>
            </w:pPr>
            <w:r>
              <w:rPr>
                <w:rFonts w:ascii="Arial" w:cs="Arial" w:eastAsia="Arial" w:hAnsi="Arial"/>
                <w:sz w:val="14"/>
                <w:szCs w:val="14"/>
                <w:color w:val="0000FF"/>
                <w:w w:val="91"/>
              </w:rPr>
              <w:t>SpringBig and Jeffrey Harris.</w:t>
            </w:r>
          </w:p>
        </w:tc>
        <w:tc>
          <w:tcPr>
            <w:tcW w:w="2680" w:type="dxa"/>
            <w:vAlign w:val="bottom"/>
            <w:tcBorders>
              <w:top w:val="single" w:sz="8" w:color="0000FF"/>
            </w:tcBorders>
            <w:gridSpan w:val="15"/>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gridSpan w:val="4"/>
          </w:tcPr>
          <w:p>
            <w:pPr>
              <w:spacing w:after="0"/>
              <w:rPr>
                <w:sz w:val="11"/>
                <w:szCs w:val="11"/>
                <w:color w:val="auto"/>
              </w:rPr>
            </w:pPr>
          </w:p>
        </w:tc>
        <w:tc>
          <w:tcPr>
            <w:tcW w:w="13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85"/>
              </w:rPr>
              <w:t>10.8#</w:t>
            </w:r>
          </w:p>
        </w:tc>
        <w:tc>
          <w:tcPr>
            <w:tcW w:w="4960" w:type="dxa"/>
            <w:vAlign w:val="bottom"/>
            <w:gridSpan w:val="24"/>
          </w:tcPr>
          <w:p>
            <w:pPr>
              <w:spacing w:after="0"/>
              <w:rPr>
                <w:sz w:val="20"/>
                <w:szCs w:val="20"/>
                <w:color w:val="auto"/>
              </w:rPr>
            </w:pPr>
            <w:r>
              <w:rPr>
                <w:rFonts w:ascii="Arial" w:cs="Arial" w:eastAsia="Arial" w:hAnsi="Arial"/>
                <w:sz w:val="14"/>
                <w:szCs w:val="14"/>
                <w:color w:val="0000FF"/>
              </w:rPr>
              <w:t>Executive Employment Agreement, dated November 8, 2021 by and between</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10.7</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21, 2022</w:t>
            </w:r>
          </w:p>
        </w:tc>
        <w:tc>
          <w:tcPr>
            <w:tcW w:w="0" w:type="dxa"/>
            <w:vAlign w:val="bottom"/>
          </w:tcPr>
          <w:p>
            <w:pPr>
              <w:spacing w:after="0"/>
              <w:rPr>
                <w:sz w:val="1"/>
                <w:szCs w:val="1"/>
                <w:color w:val="auto"/>
              </w:rPr>
            </w:pPr>
          </w:p>
        </w:tc>
      </w:tr>
      <w:tr>
        <w:trPr>
          <w:trHeight w:val="137"/>
        </w:trPr>
        <w:tc>
          <w:tcPr>
            <w:tcW w:w="740" w:type="dxa"/>
            <w:vAlign w:val="bottom"/>
            <w:vMerge w:val="continue"/>
          </w:tcPr>
          <w:p>
            <w:pPr>
              <w:spacing w:after="0"/>
              <w:rPr>
                <w:sz w:val="11"/>
                <w:szCs w:val="11"/>
                <w:color w:val="auto"/>
              </w:rPr>
            </w:pPr>
          </w:p>
        </w:tc>
        <w:tc>
          <w:tcPr>
            <w:tcW w:w="4340" w:type="dxa"/>
            <w:vAlign w:val="bottom"/>
            <w:tcBorders>
              <w:top w:val="single" w:sz="8" w:color="0000FF"/>
            </w:tcBorders>
            <w:gridSpan w:val="17"/>
          </w:tcPr>
          <w:p>
            <w:pPr>
              <w:spacing w:after="0" w:line="137" w:lineRule="exact"/>
              <w:rPr>
                <w:sz w:val="20"/>
                <w:szCs w:val="20"/>
                <w:color w:val="auto"/>
              </w:rPr>
            </w:pPr>
            <w:r>
              <w:rPr>
                <w:rFonts w:ascii="Arial" w:cs="Arial" w:eastAsia="Arial" w:hAnsi="Arial"/>
                <w:sz w:val="14"/>
                <w:szCs w:val="14"/>
                <w:color w:val="0000FF"/>
              </w:rPr>
              <w:t>SpringBig and Paul Sykes.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gridSpan w:val="4"/>
          </w:tcPr>
          <w:p>
            <w:pPr>
              <w:spacing w:after="0"/>
              <w:rPr>
                <w:sz w:val="11"/>
                <w:szCs w:val="11"/>
                <w:color w:val="auto"/>
              </w:rPr>
            </w:pPr>
          </w:p>
        </w:tc>
        <w:tc>
          <w:tcPr>
            <w:tcW w:w="13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85"/>
              </w:rPr>
              <w:t>10.9†</w:t>
            </w:r>
          </w:p>
        </w:tc>
        <w:tc>
          <w:tcPr>
            <w:tcW w:w="4960" w:type="dxa"/>
            <w:vAlign w:val="bottom"/>
            <w:gridSpan w:val="24"/>
          </w:tcPr>
          <w:p>
            <w:pPr>
              <w:spacing w:after="0"/>
              <w:rPr>
                <w:sz w:val="20"/>
                <w:szCs w:val="20"/>
                <w:color w:val="auto"/>
              </w:rPr>
            </w:pPr>
            <w:r>
              <w:rPr>
                <w:rFonts w:ascii="Arial" w:cs="Arial" w:eastAsia="Arial" w:hAnsi="Arial"/>
                <w:sz w:val="14"/>
                <w:szCs w:val="14"/>
                <w:color w:val="0000FF"/>
                <w:w w:val="99"/>
              </w:rPr>
              <w:t>Purchase Agreement, dated April 29, 2022, between Tuatara Capital Acquisition</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10.2</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May 02, 2022</w:t>
            </w:r>
          </w:p>
        </w:tc>
        <w:tc>
          <w:tcPr>
            <w:tcW w:w="0" w:type="dxa"/>
            <w:vAlign w:val="bottom"/>
          </w:tcPr>
          <w:p>
            <w:pPr>
              <w:spacing w:after="0"/>
              <w:rPr>
                <w:sz w:val="1"/>
                <w:szCs w:val="1"/>
                <w:color w:val="auto"/>
              </w:rPr>
            </w:pPr>
          </w:p>
        </w:tc>
      </w:tr>
      <w:tr>
        <w:trPr>
          <w:trHeight w:val="137"/>
        </w:trPr>
        <w:tc>
          <w:tcPr>
            <w:tcW w:w="740" w:type="dxa"/>
            <w:vAlign w:val="bottom"/>
            <w:vMerge w:val="continue"/>
          </w:tcPr>
          <w:p>
            <w:pPr>
              <w:spacing w:after="0"/>
              <w:rPr>
                <w:sz w:val="11"/>
                <w:szCs w:val="11"/>
                <w:color w:val="auto"/>
              </w:rPr>
            </w:pPr>
          </w:p>
        </w:tc>
        <w:tc>
          <w:tcPr>
            <w:tcW w:w="4520" w:type="dxa"/>
            <w:vAlign w:val="bottom"/>
            <w:tcBorders>
              <w:top w:val="single" w:sz="8" w:color="0000FF"/>
            </w:tcBorders>
            <w:gridSpan w:val="20"/>
          </w:tcPr>
          <w:p>
            <w:pPr>
              <w:spacing w:after="0" w:line="137" w:lineRule="exact"/>
              <w:rPr>
                <w:sz w:val="20"/>
                <w:szCs w:val="20"/>
                <w:color w:val="auto"/>
              </w:rPr>
            </w:pPr>
            <w:r>
              <w:rPr>
                <w:rFonts w:ascii="Arial" w:cs="Arial" w:eastAsia="Arial" w:hAnsi="Arial"/>
                <w:sz w:val="14"/>
                <w:szCs w:val="14"/>
                <w:color w:val="0000FF"/>
              </w:rPr>
              <w:t>Corporation and CF Principal Investments LLC.</w:t>
            </w:r>
          </w:p>
        </w:tc>
        <w:tc>
          <w:tcPr>
            <w:tcW w:w="440" w:type="dxa"/>
            <w:vAlign w:val="bottom"/>
            <w:gridSpan w:val="4"/>
          </w:tcPr>
          <w:p>
            <w:pPr>
              <w:spacing w:after="0"/>
              <w:rPr>
                <w:sz w:val="11"/>
                <w:szCs w:val="11"/>
                <w:color w:val="auto"/>
              </w:rPr>
            </w:pPr>
          </w:p>
        </w:tc>
        <w:tc>
          <w:tcPr>
            <w:tcW w:w="13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85"/>
              </w:rPr>
              <w:t>10.10</w:t>
            </w:r>
          </w:p>
        </w:tc>
        <w:tc>
          <w:tcPr>
            <w:tcW w:w="4960" w:type="dxa"/>
            <w:vAlign w:val="bottom"/>
            <w:gridSpan w:val="24"/>
          </w:tcPr>
          <w:p>
            <w:pPr>
              <w:spacing w:after="0"/>
              <w:rPr>
                <w:sz w:val="20"/>
                <w:szCs w:val="20"/>
                <w:color w:val="auto"/>
              </w:rPr>
            </w:pPr>
            <w:r>
              <w:rPr>
                <w:rFonts w:ascii="Arial" w:cs="Arial" w:eastAsia="Arial" w:hAnsi="Arial"/>
                <w:sz w:val="14"/>
                <w:szCs w:val="14"/>
                <w:color w:val="0000FF"/>
              </w:rPr>
              <w:t>Registration Rights Agreement, dated April 29, 2022, between Tuatara Capital</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8-K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10.3</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May 02, 2022</w:t>
            </w:r>
          </w:p>
        </w:tc>
        <w:tc>
          <w:tcPr>
            <w:tcW w:w="0" w:type="dxa"/>
            <w:vAlign w:val="bottom"/>
          </w:tcPr>
          <w:p>
            <w:pPr>
              <w:spacing w:after="0"/>
              <w:rPr>
                <w:sz w:val="1"/>
                <w:szCs w:val="1"/>
                <w:color w:val="auto"/>
              </w:rPr>
            </w:pPr>
          </w:p>
        </w:tc>
      </w:tr>
      <w:tr>
        <w:trPr>
          <w:trHeight w:val="137"/>
        </w:trPr>
        <w:tc>
          <w:tcPr>
            <w:tcW w:w="740" w:type="dxa"/>
            <w:vAlign w:val="bottom"/>
            <w:vMerge w:val="continue"/>
          </w:tcPr>
          <w:p>
            <w:pPr>
              <w:spacing w:after="0"/>
              <w:rPr>
                <w:sz w:val="11"/>
                <w:szCs w:val="11"/>
                <w:color w:val="auto"/>
              </w:rPr>
            </w:pPr>
          </w:p>
        </w:tc>
        <w:tc>
          <w:tcPr>
            <w:tcW w:w="3400" w:type="dxa"/>
            <w:vAlign w:val="bottom"/>
            <w:tcBorders>
              <w:top w:val="single" w:sz="8" w:color="0000FF"/>
              <w:bottom w:val="single" w:sz="8" w:color="0000FF"/>
            </w:tcBorders>
            <w:gridSpan w:val="10"/>
          </w:tcPr>
          <w:p>
            <w:pPr>
              <w:spacing w:after="0" w:line="137" w:lineRule="exact"/>
              <w:rPr>
                <w:sz w:val="20"/>
                <w:szCs w:val="20"/>
                <w:color w:val="auto"/>
              </w:rPr>
            </w:pPr>
            <w:r>
              <w:rPr>
                <w:rFonts w:ascii="Arial" w:cs="Arial" w:eastAsia="Arial" w:hAnsi="Arial"/>
                <w:sz w:val="14"/>
                <w:szCs w:val="14"/>
                <w:color w:val="0000FF"/>
                <w:w w:val="92"/>
              </w:rPr>
              <w:t>Acquisition Corporation and CF Principal Investments LLC.</w:t>
            </w:r>
          </w:p>
        </w:tc>
        <w:tc>
          <w:tcPr>
            <w:tcW w:w="1000" w:type="dxa"/>
            <w:vAlign w:val="bottom"/>
            <w:tcBorders>
              <w:top w:val="single" w:sz="8" w:color="0000FF"/>
            </w:tcBorders>
            <w:gridSpan w:val="8"/>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5"/>
          </w:tcPr>
          <w:p>
            <w:pPr>
              <w:spacing w:after="0"/>
              <w:rPr>
                <w:sz w:val="11"/>
                <w:szCs w:val="11"/>
                <w:color w:val="auto"/>
              </w:rPr>
            </w:pPr>
          </w:p>
        </w:tc>
        <w:tc>
          <w:tcPr>
            <w:tcW w:w="13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4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88"/>
              </w:rPr>
              <w:t>10.11†</w:t>
            </w:r>
          </w:p>
        </w:tc>
        <w:tc>
          <w:tcPr>
            <w:tcW w:w="4960" w:type="dxa"/>
            <w:vAlign w:val="bottom"/>
            <w:gridSpan w:val="24"/>
          </w:tcPr>
          <w:p>
            <w:pPr>
              <w:spacing w:after="0"/>
              <w:rPr>
                <w:sz w:val="20"/>
                <w:szCs w:val="20"/>
                <w:color w:val="auto"/>
              </w:rPr>
            </w:pPr>
            <w:r>
              <w:rPr>
                <w:rFonts w:ascii="Arial" w:cs="Arial" w:eastAsia="Arial" w:hAnsi="Arial"/>
                <w:sz w:val="14"/>
                <w:szCs w:val="14"/>
                <w:color w:val="0000FF"/>
                <w:w w:val="98"/>
              </w:rPr>
              <w:t>Amendment No. 1 to Purchase Agreement, dated July 20, 2022, by and between</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S-1</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10.11</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July 22, 2022</w:t>
            </w:r>
          </w:p>
        </w:tc>
        <w:tc>
          <w:tcPr>
            <w:tcW w:w="0" w:type="dxa"/>
            <w:vAlign w:val="bottom"/>
          </w:tcPr>
          <w:p>
            <w:pPr>
              <w:spacing w:after="0"/>
              <w:rPr>
                <w:sz w:val="1"/>
                <w:szCs w:val="1"/>
                <w:color w:val="auto"/>
              </w:rPr>
            </w:pPr>
          </w:p>
        </w:tc>
      </w:tr>
      <w:tr>
        <w:trPr>
          <w:trHeight w:val="137"/>
        </w:trPr>
        <w:tc>
          <w:tcPr>
            <w:tcW w:w="740" w:type="dxa"/>
            <w:vAlign w:val="bottom"/>
            <w:vMerge w:val="continue"/>
          </w:tcPr>
          <w:p>
            <w:pPr>
              <w:spacing w:after="0"/>
              <w:rPr>
                <w:sz w:val="11"/>
                <w:szCs w:val="11"/>
                <w:color w:val="auto"/>
              </w:rPr>
            </w:pPr>
          </w:p>
        </w:tc>
        <w:tc>
          <w:tcPr>
            <w:tcW w:w="3440" w:type="dxa"/>
            <w:vAlign w:val="bottom"/>
            <w:tcBorders>
              <w:top w:val="single" w:sz="8" w:color="0000FF"/>
              <w:bottom w:val="single" w:sz="8" w:color="0000FF"/>
            </w:tcBorders>
            <w:gridSpan w:val="11"/>
          </w:tcPr>
          <w:p>
            <w:pPr>
              <w:spacing w:after="0" w:line="137" w:lineRule="exact"/>
              <w:rPr>
                <w:sz w:val="20"/>
                <w:szCs w:val="20"/>
                <w:color w:val="auto"/>
              </w:rPr>
            </w:pPr>
            <w:r>
              <w:rPr>
                <w:rFonts w:ascii="Arial" w:cs="Arial" w:eastAsia="Arial" w:hAnsi="Arial"/>
                <w:sz w:val="14"/>
                <w:szCs w:val="14"/>
                <w:color w:val="0000FF"/>
                <w:w w:val="92"/>
              </w:rPr>
              <w:t>SpringBig Holdings, Inc. and CF Principal Investments LLC.</w:t>
            </w:r>
          </w:p>
        </w:tc>
        <w:tc>
          <w:tcPr>
            <w:tcW w:w="1060" w:type="dxa"/>
            <w:vAlign w:val="bottom"/>
            <w:tcBorders>
              <w:top w:val="single" w:sz="8" w:color="0000FF"/>
            </w:tcBorders>
            <w:gridSpan w:val="8"/>
          </w:tcPr>
          <w:p>
            <w:pPr>
              <w:spacing w:after="0"/>
              <w:rPr>
                <w:sz w:val="11"/>
                <w:szCs w:val="11"/>
                <w:color w:val="auto"/>
              </w:rPr>
            </w:pPr>
          </w:p>
        </w:tc>
        <w:tc>
          <w:tcPr>
            <w:tcW w:w="460" w:type="dxa"/>
            <w:vAlign w:val="bottom"/>
            <w:gridSpan w:val="5"/>
          </w:tcPr>
          <w:p>
            <w:pPr>
              <w:spacing w:after="0"/>
              <w:rPr>
                <w:sz w:val="11"/>
                <w:szCs w:val="11"/>
                <w:color w:val="auto"/>
              </w:rPr>
            </w:pPr>
          </w:p>
        </w:tc>
        <w:tc>
          <w:tcPr>
            <w:tcW w:w="13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-3096895</wp:posOffset>
            </wp:positionV>
            <wp:extent cx="7127875" cy="208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20828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-2680970</wp:posOffset>
            </wp:positionV>
            <wp:extent cx="7127875" cy="233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2330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-2314575</wp:posOffset>
            </wp:positionV>
            <wp:extent cx="7127875" cy="133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1333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-1948180</wp:posOffset>
            </wp:positionV>
            <wp:extent cx="7127875" cy="208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20828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-1506855</wp:posOffset>
            </wp:positionV>
            <wp:extent cx="7127875" cy="233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2330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-1140460</wp:posOffset>
            </wp:positionV>
            <wp:extent cx="7127875" cy="233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2330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-673735</wp:posOffset>
            </wp:positionV>
            <wp:extent cx="7127875" cy="233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2330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-207645</wp:posOffset>
            </wp:positionV>
            <wp:extent cx="7127875" cy="233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233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line="351" w:lineRule="auto"/>
        <w:rPr>
          <w:sz w:val="20"/>
          <w:szCs w:val="20"/>
          <w:color w:val="auto"/>
        </w:rPr>
      </w:pPr>
      <w:r>
        <w:rPr>
          <w:rFonts w:ascii="Arial" w:cs="Arial" w:eastAsia="Arial" w:hAnsi="Arial"/>
          <w:sz w:val="12"/>
          <w:szCs w:val="12"/>
          <w:b w:val="1"/>
          <w:bCs w:val="1"/>
          <w:color w:val="auto"/>
        </w:rPr>
        <w:t>Filed/Furnished Herewith</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SEC File #</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333-262628</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333-262628</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333-262628</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333-266293</w:t>
      </w:r>
    </w:p>
    <w:p>
      <w:pPr>
        <w:spacing w:after="0" w:line="41" w:lineRule="exact"/>
        <w:rPr>
          <w:sz w:val="20"/>
          <w:szCs w:val="20"/>
          <w:color w:val="auto"/>
        </w:rPr>
      </w:pPr>
    </w:p>
    <w:p>
      <w:pPr>
        <w:sectPr>
          <w:pgSz w:w="11900" w:h="16838" w:orient="portrait"/>
          <w:cols w:equalWidth="0" w:num="3">
            <w:col w:w="9260" w:space="40"/>
            <w:col w:w="940" w:space="40"/>
            <w:col w:w="960"/>
          </w:cols>
          <w:pgMar w:left="320" w:top="917" w:right="339" w:bottom="1440" w:gutter="0" w:footer="0" w:header="0"/>
        </w:sectPr>
      </w:pPr>
    </w:p>
    <w:tbl>
      <w:tblPr>
        <w:tblLayout w:type="fixed"/>
        <w:tblInd w:w="20" w:type="dxa"/>
        <w:tblCellMar>
          <w:top w:w="0" w:type="dxa"/>
          <w:left w:w="0" w:type="dxa"/>
          <w:bottom w:w="0" w:type="dxa"/>
          <w:right w:w="0" w:type="dxa"/>
        </w:tblCellMar>
      </w:tblPr>
      <w:tr>
        <w:trPr>
          <w:trHeight w:val="161"/>
        </w:trPr>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31.1</w:t>
            </w:r>
          </w:p>
        </w:tc>
        <w:tc>
          <w:tcPr>
            <w:tcW w:w="6620" w:type="dxa"/>
            <w:vAlign w:val="bottom"/>
            <w:gridSpan w:val="5"/>
          </w:tcPr>
          <w:p>
            <w:pPr>
              <w:spacing w:after="0"/>
              <w:rPr>
                <w:sz w:val="20"/>
                <w:szCs w:val="20"/>
                <w:color w:val="auto"/>
              </w:rPr>
            </w:pPr>
            <w:r>
              <w:rPr>
                <w:rFonts w:ascii="Arial" w:cs="Arial" w:eastAsia="Arial" w:hAnsi="Arial"/>
                <w:sz w:val="14"/>
                <w:szCs w:val="14"/>
                <w:color w:val="0000FF"/>
              </w:rPr>
              <w:t>Certification of Chief Executive Officer pursuant to Section 302 of the Sarbanes-</w:t>
            </w:r>
          </w:p>
        </w:tc>
        <w:tc>
          <w:tcPr>
            <w:tcW w:w="3640" w:type="dxa"/>
            <w:vAlign w:val="bottom"/>
            <w:vMerge w:val="restart"/>
          </w:tcPr>
          <w:p>
            <w:pPr>
              <w:jc w:val="center"/>
              <w:ind w:left="6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7"/>
        </w:trPr>
        <w:tc>
          <w:tcPr>
            <w:tcW w:w="960" w:type="dxa"/>
            <w:vAlign w:val="bottom"/>
            <w:vMerge w:val="continue"/>
          </w:tcPr>
          <w:p>
            <w:pPr>
              <w:spacing w:after="0"/>
              <w:rPr>
                <w:sz w:val="11"/>
                <w:szCs w:val="11"/>
                <w:color w:val="auto"/>
              </w:rPr>
            </w:pPr>
          </w:p>
        </w:tc>
        <w:tc>
          <w:tcPr>
            <w:tcW w:w="4540" w:type="dxa"/>
            <w:vAlign w:val="bottom"/>
            <w:tcBorders>
              <w:top w:val="single" w:sz="8" w:color="0000FF"/>
            </w:tcBorders>
            <w:gridSpan w:val="3"/>
          </w:tcPr>
          <w:p>
            <w:pPr>
              <w:spacing w:after="0" w:line="137" w:lineRule="exact"/>
              <w:rPr>
                <w:sz w:val="20"/>
                <w:szCs w:val="20"/>
                <w:color w:val="auto"/>
              </w:rPr>
            </w:pPr>
            <w:r>
              <w:rPr>
                <w:rFonts w:ascii="Arial" w:cs="Arial" w:eastAsia="Arial" w:hAnsi="Arial"/>
                <w:sz w:val="14"/>
                <w:szCs w:val="14"/>
                <w:color w:val="0000FF"/>
              </w:rPr>
              <w:t>Oxley Act of 2002.</w:t>
            </w:r>
          </w:p>
        </w:tc>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31.2</w:t>
            </w:r>
          </w:p>
        </w:tc>
        <w:tc>
          <w:tcPr>
            <w:tcW w:w="6620" w:type="dxa"/>
            <w:vAlign w:val="bottom"/>
            <w:gridSpan w:val="5"/>
            <w:shd w:val="clear" w:color="auto" w:fill="CCEEFF"/>
          </w:tcPr>
          <w:p>
            <w:pPr>
              <w:spacing w:after="0" w:line="157" w:lineRule="exact"/>
              <w:rPr>
                <w:sz w:val="20"/>
                <w:szCs w:val="20"/>
                <w:color w:val="auto"/>
              </w:rPr>
            </w:pPr>
            <w:r>
              <w:rPr>
                <w:rFonts w:ascii="Arial" w:cs="Arial" w:eastAsia="Arial" w:hAnsi="Arial"/>
                <w:sz w:val="14"/>
                <w:szCs w:val="14"/>
                <w:color w:val="0000FF"/>
              </w:rPr>
              <w:t>Certification of Chief Financial Officer pursuant to Section 302 of the Sarbanes-</w:t>
            </w:r>
          </w:p>
        </w:tc>
        <w:tc>
          <w:tcPr>
            <w:tcW w:w="3640" w:type="dxa"/>
            <w:vAlign w:val="bottom"/>
            <w:vMerge w:val="restart"/>
            <w:shd w:val="clear" w:color="auto" w:fill="CCEEFF"/>
          </w:tcPr>
          <w:p>
            <w:pPr>
              <w:jc w:val="center"/>
              <w:ind w:left="6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tcBorders>
            <w:vMerge w:val="continue"/>
            <w:shd w:val="clear" w:color="auto" w:fill="CCEEFF"/>
          </w:tcPr>
          <w:p>
            <w:pPr>
              <w:spacing w:after="0"/>
              <w:rPr>
                <w:sz w:val="11"/>
                <w:szCs w:val="11"/>
                <w:color w:val="auto"/>
              </w:rPr>
            </w:pPr>
          </w:p>
        </w:tc>
        <w:tc>
          <w:tcPr>
            <w:tcW w:w="4500" w:type="dxa"/>
            <w:vAlign w:val="bottom"/>
            <w:tcBorders>
              <w:top w:val="single" w:sz="8" w:color="0000FF"/>
            </w:tcBorders>
            <w:gridSpan w:val="2"/>
            <w:shd w:val="clear" w:color="auto" w:fill="CCEEFF"/>
          </w:tcPr>
          <w:p>
            <w:pPr>
              <w:spacing w:after="0" w:line="137" w:lineRule="exact"/>
              <w:rPr>
                <w:sz w:val="20"/>
                <w:szCs w:val="20"/>
                <w:color w:val="auto"/>
              </w:rPr>
            </w:pPr>
            <w:r>
              <w:rPr>
                <w:rFonts w:ascii="Arial" w:cs="Arial" w:eastAsia="Arial" w:hAnsi="Arial"/>
                <w:sz w:val="14"/>
                <w:szCs w:val="14"/>
                <w:color w:val="0000FF"/>
              </w:rPr>
              <w:t>Oxley Act of 2002.</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2060" w:type="dxa"/>
            <w:vAlign w:val="bottom"/>
            <w:tcBorders>
              <w:top w:val="single" w:sz="8" w:color="CCEEFF"/>
            </w:tcBorders>
            <w:shd w:val="clear" w:color="auto" w:fill="CCEEFF"/>
          </w:tcPr>
          <w:p>
            <w:pPr>
              <w:spacing w:after="0"/>
              <w:rPr>
                <w:sz w:val="11"/>
                <w:szCs w:val="11"/>
                <w:color w:val="auto"/>
              </w:rPr>
            </w:pPr>
          </w:p>
        </w:tc>
        <w:tc>
          <w:tcPr>
            <w:tcW w:w="364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9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3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32.1</w:t>
            </w:r>
          </w:p>
        </w:tc>
        <w:tc>
          <w:tcPr>
            <w:tcW w:w="6620" w:type="dxa"/>
            <w:vAlign w:val="bottom"/>
            <w:gridSpan w:val="5"/>
          </w:tcPr>
          <w:p>
            <w:pPr>
              <w:spacing w:after="0" w:line="157" w:lineRule="exact"/>
              <w:rPr>
                <w:sz w:val="20"/>
                <w:szCs w:val="20"/>
                <w:color w:val="auto"/>
              </w:rPr>
            </w:pPr>
            <w:r>
              <w:rPr>
                <w:rFonts w:ascii="Arial" w:cs="Arial" w:eastAsia="Arial" w:hAnsi="Arial"/>
                <w:sz w:val="14"/>
                <w:szCs w:val="14"/>
                <w:color w:val="0000FF"/>
              </w:rPr>
              <w:t>Certification of Chief Executive Officer pursuant to Section 906 of the Sarbanes-</w:t>
            </w:r>
          </w:p>
        </w:tc>
        <w:tc>
          <w:tcPr>
            <w:tcW w:w="3640" w:type="dxa"/>
            <w:vAlign w:val="bottom"/>
            <w:vMerge w:val="restart"/>
          </w:tcPr>
          <w:p>
            <w:pPr>
              <w:jc w:val="center"/>
              <w:ind w:left="6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7"/>
        </w:trPr>
        <w:tc>
          <w:tcPr>
            <w:tcW w:w="960" w:type="dxa"/>
            <w:vAlign w:val="bottom"/>
            <w:vMerge w:val="continue"/>
          </w:tcPr>
          <w:p>
            <w:pPr>
              <w:spacing w:after="0"/>
              <w:rPr>
                <w:sz w:val="11"/>
                <w:szCs w:val="11"/>
                <w:color w:val="auto"/>
              </w:rPr>
            </w:pPr>
          </w:p>
        </w:tc>
        <w:tc>
          <w:tcPr>
            <w:tcW w:w="4560" w:type="dxa"/>
            <w:vAlign w:val="bottom"/>
            <w:tcBorders>
              <w:top w:val="single" w:sz="8" w:color="0000FF"/>
            </w:tcBorders>
            <w:gridSpan w:val="4"/>
          </w:tcPr>
          <w:p>
            <w:pPr>
              <w:spacing w:after="0" w:line="137" w:lineRule="exact"/>
              <w:rPr>
                <w:sz w:val="20"/>
                <w:szCs w:val="20"/>
                <w:color w:val="auto"/>
              </w:rPr>
            </w:pPr>
            <w:r>
              <w:rPr>
                <w:rFonts w:ascii="Arial" w:cs="Arial" w:eastAsia="Arial" w:hAnsi="Arial"/>
                <w:sz w:val="14"/>
                <w:szCs w:val="14"/>
                <w:color w:val="0000FF"/>
              </w:rPr>
              <w:t>Oxley Act of 2002.</w:t>
            </w:r>
          </w:p>
        </w:tc>
        <w:tc>
          <w:tcPr>
            <w:tcW w:w="2060" w:type="dxa"/>
            <w:vAlign w:val="bottom"/>
          </w:tcPr>
          <w:p>
            <w:pPr>
              <w:spacing w:after="0"/>
              <w:rPr>
                <w:sz w:val="11"/>
                <w:szCs w:val="11"/>
                <w:color w:val="auto"/>
              </w:rPr>
            </w:pPr>
          </w:p>
        </w:tc>
        <w:tc>
          <w:tcPr>
            <w:tcW w:w="3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32.2</w:t>
            </w:r>
          </w:p>
        </w:tc>
        <w:tc>
          <w:tcPr>
            <w:tcW w:w="6620" w:type="dxa"/>
            <w:vAlign w:val="bottom"/>
            <w:gridSpan w:val="5"/>
            <w:shd w:val="clear" w:color="auto" w:fill="CCEEFF"/>
          </w:tcPr>
          <w:p>
            <w:pPr>
              <w:spacing w:after="0" w:line="145" w:lineRule="exact"/>
              <w:rPr>
                <w:sz w:val="20"/>
                <w:szCs w:val="20"/>
                <w:color w:val="auto"/>
              </w:rPr>
            </w:pPr>
            <w:r>
              <w:rPr>
                <w:rFonts w:ascii="Arial" w:cs="Arial" w:eastAsia="Arial" w:hAnsi="Arial"/>
                <w:sz w:val="14"/>
                <w:szCs w:val="14"/>
                <w:color w:val="0000FF"/>
              </w:rPr>
              <w:t>Certification of Chief Financial Officer pursuant to Section 906 of the Sarbanes-</w:t>
            </w:r>
          </w:p>
        </w:tc>
        <w:tc>
          <w:tcPr>
            <w:tcW w:w="3640" w:type="dxa"/>
            <w:vAlign w:val="bottom"/>
            <w:vMerge w:val="restart"/>
            <w:shd w:val="clear" w:color="auto" w:fill="CCEEFF"/>
          </w:tcPr>
          <w:p>
            <w:pPr>
              <w:jc w:val="center"/>
              <w:ind w:left="6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8"/>
        </w:trPr>
        <w:tc>
          <w:tcPr>
            <w:tcW w:w="960" w:type="dxa"/>
            <w:vAlign w:val="bottom"/>
            <w:tcBorders>
              <w:top w:val="single" w:sz="8" w:color="CCEEFF"/>
            </w:tcBorders>
            <w:vMerge w:val="continue"/>
            <w:shd w:val="clear" w:color="auto" w:fill="CCEEFF"/>
          </w:tcPr>
          <w:p>
            <w:pPr>
              <w:spacing w:after="0"/>
              <w:rPr>
                <w:sz w:val="8"/>
                <w:szCs w:val="8"/>
                <w:color w:val="auto"/>
              </w:rPr>
            </w:pPr>
          </w:p>
        </w:tc>
        <w:tc>
          <w:tcPr>
            <w:tcW w:w="4500" w:type="dxa"/>
            <w:vAlign w:val="bottom"/>
            <w:tcBorders>
              <w:top w:val="single" w:sz="8" w:color="0000FF"/>
            </w:tcBorders>
            <w:gridSpan w:val="2"/>
            <w:shd w:val="clear" w:color="auto" w:fill="CCEEFF"/>
          </w:tcPr>
          <w:p>
            <w:pPr>
              <w:spacing w:after="0" w:line="98" w:lineRule="exact"/>
              <w:rPr>
                <w:sz w:val="20"/>
                <w:szCs w:val="20"/>
                <w:color w:val="auto"/>
              </w:rPr>
            </w:pPr>
            <w:r>
              <w:rPr>
                <w:rFonts w:ascii="Arial" w:cs="Arial" w:eastAsia="Arial" w:hAnsi="Arial"/>
                <w:sz w:val="10"/>
                <w:szCs w:val="10"/>
                <w:color w:val="0000FF"/>
              </w:rPr>
              <w:t>Oxley Act of 2002.</w:t>
            </w:r>
          </w:p>
        </w:tc>
        <w:tc>
          <w:tcPr>
            <w:tcW w:w="2120" w:type="dxa"/>
            <w:vAlign w:val="bottom"/>
            <w:tcBorders>
              <w:top w:val="single" w:sz="8" w:color="CCEEFF"/>
            </w:tcBorders>
            <w:gridSpan w:val="3"/>
            <w:shd w:val="clear" w:color="auto" w:fill="CCEEFF"/>
          </w:tcPr>
          <w:p>
            <w:pPr>
              <w:spacing w:after="0"/>
              <w:rPr>
                <w:sz w:val="8"/>
                <w:szCs w:val="8"/>
                <w:color w:val="auto"/>
              </w:rPr>
            </w:pPr>
          </w:p>
        </w:tc>
        <w:tc>
          <w:tcPr>
            <w:tcW w:w="3640" w:type="dxa"/>
            <w:vAlign w:val="bottom"/>
            <w:tcBorders>
              <w:top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CCEEFF"/>
          </w:tcPr>
          <w:p>
            <w:pPr>
              <w:spacing w:after="0"/>
              <w:rPr>
                <w:sz w:val="3"/>
                <w:szCs w:val="3"/>
                <w:color w:val="auto"/>
              </w:rPr>
            </w:pPr>
          </w:p>
        </w:tc>
        <w:tc>
          <w:tcPr>
            <w:tcW w:w="1080" w:type="dxa"/>
            <w:vAlign w:val="bottom"/>
            <w:shd w:val="clear" w:color="auto" w:fill="0000FF"/>
          </w:tcPr>
          <w:p>
            <w:pPr>
              <w:spacing w:after="0"/>
              <w:rPr>
                <w:sz w:val="3"/>
                <w:szCs w:val="3"/>
                <w:color w:val="auto"/>
              </w:rPr>
            </w:pPr>
          </w:p>
        </w:tc>
        <w:tc>
          <w:tcPr>
            <w:tcW w:w="3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3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60" w:type="dxa"/>
            <w:vAlign w:val="bottom"/>
          </w:tcPr>
          <w:p>
            <w:pPr>
              <w:jc w:val="center"/>
              <w:spacing w:after="0"/>
              <w:rPr>
                <w:sz w:val="20"/>
                <w:szCs w:val="20"/>
                <w:color w:val="auto"/>
              </w:rPr>
            </w:pPr>
            <w:r>
              <w:rPr>
                <w:rFonts w:ascii="Arial" w:cs="Arial" w:eastAsia="Arial" w:hAnsi="Arial"/>
                <w:sz w:val="14"/>
                <w:szCs w:val="14"/>
                <w:color w:val="auto"/>
                <w:w w:val="96"/>
              </w:rPr>
              <w:t>101.INS*</w:t>
            </w:r>
          </w:p>
        </w:tc>
        <w:tc>
          <w:tcPr>
            <w:tcW w:w="6620" w:type="dxa"/>
            <w:vAlign w:val="bottom"/>
            <w:gridSpan w:val="5"/>
          </w:tcPr>
          <w:p>
            <w:pPr>
              <w:spacing w:after="0"/>
              <w:rPr>
                <w:sz w:val="20"/>
                <w:szCs w:val="20"/>
                <w:color w:val="auto"/>
              </w:rPr>
            </w:pPr>
            <w:r>
              <w:rPr>
                <w:rFonts w:ascii="Arial" w:cs="Arial" w:eastAsia="Arial" w:hAnsi="Arial"/>
                <w:sz w:val="14"/>
                <w:szCs w:val="14"/>
                <w:color w:val="auto"/>
              </w:rPr>
              <w:t>XBRL Instance Document</w:t>
            </w:r>
          </w:p>
        </w:tc>
        <w:tc>
          <w:tcPr>
            <w:tcW w:w="3640" w:type="dxa"/>
            <w:vAlign w:val="bottom"/>
          </w:tcPr>
          <w:p>
            <w:pPr>
              <w:jc w:val="center"/>
              <w:ind w:left="6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101.SCH*</w:t>
            </w:r>
          </w:p>
        </w:tc>
        <w:tc>
          <w:tcPr>
            <w:tcW w:w="6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Taxonomy Extension Schema Document</w:t>
            </w:r>
          </w:p>
        </w:tc>
        <w:tc>
          <w:tcPr>
            <w:tcW w:w="3640" w:type="dxa"/>
            <w:vAlign w:val="bottom"/>
            <w:shd w:val="clear" w:color="auto" w:fill="CCEEFF"/>
          </w:tcPr>
          <w:p>
            <w:pPr>
              <w:jc w:val="center"/>
              <w:ind w:left="6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960" w:type="dxa"/>
            <w:vAlign w:val="bottom"/>
          </w:tcPr>
          <w:p>
            <w:pPr>
              <w:jc w:val="center"/>
              <w:spacing w:after="0"/>
              <w:rPr>
                <w:sz w:val="20"/>
                <w:szCs w:val="20"/>
                <w:color w:val="auto"/>
              </w:rPr>
            </w:pPr>
            <w:r>
              <w:rPr>
                <w:rFonts w:ascii="Arial" w:cs="Arial" w:eastAsia="Arial" w:hAnsi="Arial"/>
                <w:sz w:val="14"/>
                <w:szCs w:val="14"/>
                <w:color w:val="auto"/>
                <w:w w:val="96"/>
              </w:rPr>
              <w:t>101.CAL*</w:t>
            </w:r>
          </w:p>
        </w:tc>
        <w:tc>
          <w:tcPr>
            <w:tcW w:w="6620" w:type="dxa"/>
            <w:vAlign w:val="bottom"/>
            <w:gridSpan w:val="5"/>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3640" w:type="dxa"/>
            <w:vAlign w:val="bottom"/>
          </w:tcPr>
          <w:p>
            <w:pPr>
              <w:jc w:val="center"/>
              <w:ind w:left="6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101.DEF*</w:t>
            </w:r>
          </w:p>
        </w:tc>
        <w:tc>
          <w:tcPr>
            <w:tcW w:w="6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3640" w:type="dxa"/>
            <w:vAlign w:val="bottom"/>
            <w:shd w:val="clear" w:color="auto" w:fill="CCEEFF"/>
          </w:tcPr>
          <w:p>
            <w:pPr>
              <w:jc w:val="center"/>
              <w:ind w:left="6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960" w:type="dxa"/>
            <w:vAlign w:val="bottom"/>
          </w:tcPr>
          <w:p>
            <w:pPr>
              <w:jc w:val="center"/>
              <w:spacing w:after="0"/>
              <w:rPr>
                <w:sz w:val="20"/>
                <w:szCs w:val="20"/>
                <w:color w:val="auto"/>
              </w:rPr>
            </w:pPr>
            <w:r>
              <w:rPr>
                <w:rFonts w:ascii="Arial" w:cs="Arial" w:eastAsia="Arial" w:hAnsi="Arial"/>
                <w:sz w:val="14"/>
                <w:szCs w:val="14"/>
                <w:color w:val="auto"/>
                <w:w w:val="97"/>
              </w:rPr>
              <w:t>101.LAB*</w:t>
            </w:r>
          </w:p>
        </w:tc>
        <w:tc>
          <w:tcPr>
            <w:tcW w:w="6620" w:type="dxa"/>
            <w:vAlign w:val="bottom"/>
            <w:gridSpan w:val="5"/>
          </w:tcPr>
          <w:p>
            <w:pPr>
              <w:spacing w:after="0"/>
              <w:rPr>
                <w:sz w:val="20"/>
                <w:szCs w:val="20"/>
                <w:color w:val="auto"/>
              </w:rPr>
            </w:pPr>
            <w:r>
              <w:rPr>
                <w:rFonts w:ascii="Arial" w:cs="Arial" w:eastAsia="Arial" w:hAnsi="Arial"/>
                <w:sz w:val="14"/>
                <w:szCs w:val="14"/>
                <w:color w:val="auto"/>
              </w:rPr>
              <w:t>XBRL Taxonomy Extension Labels Linkbase Document</w:t>
            </w:r>
          </w:p>
        </w:tc>
        <w:tc>
          <w:tcPr>
            <w:tcW w:w="3640" w:type="dxa"/>
            <w:vAlign w:val="bottom"/>
          </w:tcPr>
          <w:p>
            <w:pPr>
              <w:jc w:val="center"/>
              <w:ind w:left="6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101.PRE*</w:t>
            </w:r>
          </w:p>
        </w:tc>
        <w:tc>
          <w:tcPr>
            <w:tcW w:w="6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3640" w:type="dxa"/>
            <w:vAlign w:val="bottom"/>
            <w:shd w:val="clear" w:color="auto" w:fill="CCEEFF"/>
          </w:tcPr>
          <w:p>
            <w:pPr>
              <w:jc w:val="center"/>
              <w:ind w:left="6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40"/>
          </w:cols>
          <w:pgMar w:left="320" w:top="917" w:right="339" w:bottom="1440" w:gutter="0" w:footer="0" w:header="0"/>
          <w:type w:val="continuous"/>
        </w:sectPr>
      </w:pPr>
    </w:p>
    <w:bookmarkStart w:id="72" w:name="page73"/>
    <w:bookmarkEnd w:id="72"/>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433"/>
        <w:spacing w:after="0" w:line="24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SpringBig Holdings, Inc</w:t>
      </w:r>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By:</w:t>
            </w:r>
          </w:p>
        </w:tc>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Jeffrey Harris</w:t>
            </w:r>
          </w:p>
        </w:tc>
      </w:tr>
      <w:tr>
        <w:trPr>
          <w:trHeight w:val="216"/>
        </w:trPr>
        <w:tc>
          <w:tcPr>
            <w:tcW w:w="960" w:type="dxa"/>
            <w:vAlign w:val="bottom"/>
          </w:tcPr>
          <w:p>
            <w:pPr>
              <w:spacing w:after="0"/>
              <w:rPr>
                <w:sz w:val="20"/>
                <w:szCs w:val="20"/>
                <w:color w:val="auto"/>
              </w:rPr>
            </w:pPr>
            <w:r>
              <w:rPr>
                <w:rFonts w:ascii="Arial" w:cs="Arial" w:eastAsia="Arial" w:hAnsi="Arial"/>
                <w:sz w:val="17"/>
                <w:szCs w:val="17"/>
                <w:color w:val="auto"/>
              </w:rPr>
              <w:t>Name:</w:t>
            </w:r>
          </w:p>
        </w:tc>
        <w:tc>
          <w:tcPr>
            <w:tcW w:w="7180" w:type="dxa"/>
            <w:vAlign w:val="bottom"/>
          </w:tcPr>
          <w:p>
            <w:pPr>
              <w:ind w:left="20"/>
              <w:spacing w:after="0"/>
              <w:rPr>
                <w:sz w:val="20"/>
                <w:szCs w:val="20"/>
                <w:color w:val="auto"/>
              </w:rPr>
            </w:pPr>
            <w:r>
              <w:rPr>
                <w:rFonts w:ascii="Arial" w:cs="Arial" w:eastAsia="Arial" w:hAnsi="Arial"/>
                <w:sz w:val="17"/>
                <w:szCs w:val="17"/>
                <w:color w:val="auto"/>
              </w:rPr>
              <w:t>Jeffrey Harris</w:t>
            </w:r>
          </w:p>
        </w:tc>
      </w:tr>
      <w:tr>
        <w:trPr>
          <w:trHeight w:val="223"/>
        </w:trPr>
        <w:tc>
          <w:tcPr>
            <w:tcW w:w="960" w:type="dxa"/>
            <w:vAlign w:val="bottom"/>
          </w:tcPr>
          <w:p>
            <w:pPr>
              <w:spacing w:after="0"/>
              <w:rPr>
                <w:sz w:val="20"/>
                <w:szCs w:val="20"/>
                <w:color w:val="auto"/>
              </w:rPr>
            </w:pPr>
            <w:r>
              <w:rPr>
                <w:rFonts w:ascii="Arial" w:cs="Arial" w:eastAsia="Arial" w:hAnsi="Arial"/>
                <w:sz w:val="17"/>
                <w:szCs w:val="17"/>
                <w:color w:val="auto"/>
              </w:rPr>
              <w:t>Title:</w:t>
            </w:r>
          </w:p>
        </w:tc>
        <w:tc>
          <w:tcPr>
            <w:tcW w:w="718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49"/>
        </w:trPr>
        <w:tc>
          <w:tcPr>
            <w:tcW w:w="96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249"/>
        </w:trPr>
        <w:tc>
          <w:tcPr>
            <w:tcW w:w="960" w:type="dxa"/>
            <w:vAlign w:val="bottom"/>
          </w:tcPr>
          <w:p>
            <w:pPr>
              <w:spacing w:after="0"/>
              <w:rPr>
                <w:sz w:val="20"/>
                <w:szCs w:val="20"/>
                <w:color w:val="auto"/>
              </w:rPr>
            </w:pPr>
            <w:r>
              <w:rPr>
                <w:rFonts w:ascii="Arial" w:cs="Arial" w:eastAsia="Arial" w:hAnsi="Arial"/>
                <w:sz w:val="17"/>
                <w:szCs w:val="17"/>
                <w:color w:val="auto"/>
              </w:rPr>
              <w:t>Date:</w:t>
            </w:r>
          </w:p>
        </w:tc>
        <w:tc>
          <w:tcPr>
            <w:tcW w:w="7180" w:type="dxa"/>
            <w:vAlign w:val="bottom"/>
          </w:tcPr>
          <w:p>
            <w:pPr>
              <w:ind w:left="20"/>
              <w:spacing w:after="0"/>
              <w:rPr>
                <w:sz w:val="20"/>
                <w:szCs w:val="20"/>
                <w:color w:val="auto"/>
              </w:rPr>
            </w:pPr>
            <w:r>
              <w:rPr>
                <w:rFonts w:ascii="Arial" w:cs="Arial" w:eastAsia="Arial" w:hAnsi="Arial"/>
                <w:sz w:val="17"/>
                <w:szCs w:val="17"/>
                <w:color w:val="auto"/>
              </w:rPr>
              <w:t>August 15, 2022</w:t>
            </w:r>
          </w:p>
        </w:tc>
      </w:tr>
      <w:tr>
        <w:trPr>
          <w:trHeight w:val="747"/>
        </w:trPr>
        <w:tc>
          <w:tcPr>
            <w:tcW w:w="960" w:type="dxa"/>
            <w:vAlign w:val="bottom"/>
          </w:tcPr>
          <w:p>
            <w:pPr>
              <w:spacing w:after="0"/>
              <w:rPr>
                <w:sz w:val="20"/>
                <w:szCs w:val="20"/>
                <w:color w:val="auto"/>
              </w:rPr>
            </w:pPr>
            <w:r>
              <w:rPr>
                <w:rFonts w:ascii="Arial" w:cs="Arial" w:eastAsia="Arial" w:hAnsi="Arial"/>
                <w:sz w:val="17"/>
                <w:szCs w:val="17"/>
                <w:color w:val="auto"/>
              </w:rPr>
              <w:t>By:</w:t>
            </w:r>
          </w:p>
        </w:tc>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Paul Sykes</w:t>
            </w:r>
          </w:p>
        </w:tc>
      </w:tr>
      <w:tr>
        <w:trPr>
          <w:trHeight w:val="216"/>
        </w:trPr>
        <w:tc>
          <w:tcPr>
            <w:tcW w:w="960" w:type="dxa"/>
            <w:vAlign w:val="bottom"/>
          </w:tcPr>
          <w:p>
            <w:pPr>
              <w:spacing w:after="0"/>
              <w:rPr>
                <w:sz w:val="20"/>
                <w:szCs w:val="20"/>
                <w:color w:val="auto"/>
              </w:rPr>
            </w:pPr>
            <w:r>
              <w:rPr>
                <w:rFonts w:ascii="Arial" w:cs="Arial" w:eastAsia="Arial" w:hAnsi="Arial"/>
                <w:sz w:val="17"/>
                <w:szCs w:val="17"/>
                <w:color w:val="auto"/>
              </w:rPr>
              <w:t>Name:</w:t>
            </w:r>
          </w:p>
        </w:tc>
        <w:tc>
          <w:tcPr>
            <w:tcW w:w="7180" w:type="dxa"/>
            <w:vAlign w:val="bottom"/>
          </w:tcPr>
          <w:p>
            <w:pPr>
              <w:ind w:left="20"/>
              <w:spacing w:after="0"/>
              <w:rPr>
                <w:sz w:val="20"/>
                <w:szCs w:val="20"/>
                <w:color w:val="auto"/>
              </w:rPr>
            </w:pPr>
            <w:r>
              <w:rPr>
                <w:rFonts w:ascii="Arial" w:cs="Arial" w:eastAsia="Arial" w:hAnsi="Arial"/>
                <w:sz w:val="17"/>
                <w:szCs w:val="17"/>
                <w:color w:val="auto"/>
              </w:rPr>
              <w:t>Paul Sykes</w:t>
            </w:r>
          </w:p>
        </w:tc>
      </w:tr>
      <w:tr>
        <w:trPr>
          <w:trHeight w:val="223"/>
        </w:trPr>
        <w:tc>
          <w:tcPr>
            <w:tcW w:w="960" w:type="dxa"/>
            <w:vAlign w:val="bottom"/>
          </w:tcPr>
          <w:p>
            <w:pPr>
              <w:spacing w:after="0"/>
              <w:rPr>
                <w:sz w:val="20"/>
                <w:szCs w:val="20"/>
                <w:color w:val="auto"/>
              </w:rPr>
            </w:pPr>
            <w:r>
              <w:rPr>
                <w:rFonts w:ascii="Arial" w:cs="Arial" w:eastAsia="Arial" w:hAnsi="Arial"/>
                <w:sz w:val="17"/>
                <w:szCs w:val="17"/>
                <w:color w:val="auto"/>
              </w:rPr>
              <w:t>Title:</w:t>
            </w:r>
          </w:p>
        </w:tc>
        <w:tc>
          <w:tcPr>
            <w:tcW w:w="71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49"/>
        </w:trPr>
        <w:tc>
          <w:tcPr>
            <w:tcW w:w="96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223"/>
        </w:trPr>
        <w:tc>
          <w:tcPr>
            <w:tcW w:w="960" w:type="dxa"/>
            <w:vAlign w:val="bottom"/>
          </w:tcPr>
          <w:p>
            <w:pPr>
              <w:spacing w:after="0"/>
              <w:rPr>
                <w:sz w:val="20"/>
                <w:szCs w:val="20"/>
                <w:color w:val="auto"/>
              </w:rPr>
            </w:pPr>
            <w:r>
              <w:rPr>
                <w:rFonts w:ascii="Arial" w:cs="Arial" w:eastAsia="Arial" w:hAnsi="Arial"/>
                <w:sz w:val="17"/>
                <w:szCs w:val="17"/>
                <w:color w:val="auto"/>
              </w:rPr>
              <w:t>Date:</w:t>
            </w:r>
          </w:p>
        </w:tc>
        <w:tc>
          <w:tcPr>
            <w:tcW w:w="7180" w:type="dxa"/>
            <w:vAlign w:val="bottom"/>
          </w:tcPr>
          <w:p>
            <w:pPr>
              <w:ind w:left="20"/>
              <w:spacing w:after="0"/>
              <w:rPr>
                <w:sz w:val="20"/>
                <w:szCs w:val="20"/>
                <w:color w:val="auto"/>
              </w:rPr>
            </w:pPr>
            <w:r>
              <w:rPr>
                <w:rFonts w:ascii="Arial" w:cs="Arial" w:eastAsia="Arial" w:hAnsi="Arial"/>
                <w:sz w:val="17"/>
                <w:szCs w:val="17"/>
                <w:color w:val="auto"/>
              </w:rPr>
              <w:t>August 15,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040"/>
          </w:cols>
          <w:pgMar w:left="320" w:top="1440" w:right="5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CERTIFICATION UNDER SECTION 302 OF THE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 Jeffrey Harris, certify that:</w:t>
      </w:r>
    </w:p>
    <w:p>
      <w:pPr>
        <w:spacing w:after="0" w:line="236" w:lineRule="exact"/>
        <w:rPr>
          <w:sz w:val="20"/>
          <w:szCs w:val="20"/>
          <w:color w:val="auto"/>
        </w:rPr>
      </w:pPr>
    </w:p>
    <w:p>
      <w:pPr>
        <w:ind w:left="320" w:hanging="315"/>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SpringBig Holdings, Inc.;</w:t>
      </w:r>
    </w:p>
    <w:p>
      <w:pPr>
        <w:spacing w:after="0" w:line="248" w:lineRule="exact"/>
        <w:rPr>
          <w:rFonts w:ascii="Arial" w:cs="Arial" w:eastAsia="Arial" w:hAnsi="Arial"/>
          <w:sz w:val="16"/>
          <w:szCs w:val="16"/>
          <w:color w:val="auto"/>
        </w:rPr>
      </w:pPr>
    </w:p>
    <w:p>
      <w:pPr>
        <w:ind w:left="320" w:hanging="315"/>
        <w:spacing w:after="0" w:line="260"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 a material fact necessary to make the statements made, in light of the circumstances under which such statements were made, not misleading with respect to the period covered by this report;</w:t>
      </w:r>
    </w:p>
    <w:p>
      <w:pPr>
        <w:spacing w:after="0" w:line="217" w:lineRule="exact"/>
        <w:rPr>
          <w:rFonts w:ascii="Arial" w:cs="Arial" w:eastAsia="Arial" w:hAnsi="Arial"/>
          <w:sz w:val="16"/>
          <w:szCs w:val="16"/>
          <w:color w:val="auto"/>
        </w:rPr>
      </w:pPr>
    </w:p>
    <w:p>
      <w:pPr>
        <w:ind w:left="320" w:hanging="315"/>
        <w:spacing w:after="0" w:line="260"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Arial" w:cs="Arial" w:eastAsia="Arial" w:hAnsi="Arial"/>
          <w:sz w:val="16"/>
          <w:szCs w:val="16"/>
          <w:color w:val="auto"/>
        </w:rPr>
      </w:pPr>
    </w:p>
    <w:p>
      <w:pPr>
        <w:ind w:left="320" w:hanging="315"/>
        <w:spacing w:after="0" w:line="312" w:lineRule="auto"/>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5"/>
          <w:szCs w:val="15"/>
          <w:color w:val="auto"/>
        </w:rPr>
      </w:pPr>
    </w:p>
    <w:p>
      <w:pPr>
        <w:jc w:val="both"/>
        <w:ind w:left="880" w:hanging="403"/>
        <w:spacing w:after="0" w:line="258" w:lineRule="auto"/>
        <w:tabs>
          <w:tab w:leader="none" w:pos="871"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6"/>
          <w:szCs w:val="16"/>
          <w:color w:val="auto"/>
        </w:rPr>
      </w:pPr>
    </w:p>
    <w:p>
      <w:pPr>
        <w:jc w:val="both"/>
        <w:ind w:left="880" w:hanging="403"/>
        <w:spacing w:after="0" w:line="258" w:lineRule="auto"/>
        <w:tabs>
          <w:tab w:leader="none" w:pos="8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6"/>
          <w:szCs w:val="16"/>
          <w:color w:val="auto"/>
        </w:rPr>
      </w:pPr>
    </w:p>
    <w:p>
      <w:pPr>
        <w:ind w:left="880" w:hanging="403"/>
        <w:spacing w:after="0" w:line="277" w:lineRule="auto"/>
        <w:tabs>
          <w:tab w:leader="none" w:pos="87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880" w:hanging="403"/>
        <w:spacing w:after="0" w:line="277" w:lineRule="auto"/>
        <w:tabs>
          <w:tab w:leader="none" w:pos="8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1" w:lineRule="exact"/>
        <w:rPr>
          <w:rFonts w:ascii="Arial" w:cs="Arial" w:eastAsia="Arial" w:hAnsi="Arial"/>
          <w:sz w:val="16"/>
          <w:szCs w:val="16"/>
          <w:color w:val="auto"/>
        </w:rPr>
      </w:pPr>
    </w:p>
    <w:p>
      <w:pPr>
        <w:ind w:left="320" w:hanging="315"/>
        <w:spacing w:after="0" w:line="260"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7" w:lineRule="exact"/>
        <w:rPr>
          <w:rFonts w:ascii="Arial" w:cs="Arial" w:eastAsia="Arial" w:hAnsi="Arial"/>
          <w:sz w:val="16"/>
          <w:szCs w:val="16"/>
          <w:color w:val="auto"/>
        </w:rPr>
      </w:pPr>
    </w:p>
    <w:p>
      <w:pPr>
        <w:ind w:left="880" w:hanging="403"/>
        <w:spacing w:after="0" w:line="260" w:lineRule="auto"/>
        <w:tabs>
          <w:tab w:leader="none" w:pos="871"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Arial" w:cs="Arial" w:eastAsia="Arial" w:hAnsi="Arial"/>
          <w:sz w:val="16"/>
          <w:szCs w:val="16"/>
          <w:color w:val="auto"/>
        </w:rPr>
      </w:pPr>
    </w:p>
    <w:p>
      <w:pPr>
        <w:ind w:left="880" w:hanging="403"/>
        <w:spacing w:after="0" w:line="260" w:lineRule="auto"/>
        <w:tabs>
          <w:tab w:leader="none" w:pos="8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Jeffrey Harris</w:t>
            </w:r>
          </w:p>
        </w:tc>
      </w:tr>
      <w:tr>
        <w:trPr>
          <w:trHeight w:val="216"/>
        </w:trPr>
        <w:tc>
          <w:tcPr>
            <w:tcW w:w="960" w:type="dxa"/>
            <w:vAlign w:val="bottom"/>
          </w:tcPr>
          <w:p>
            <w:pPr>
              <w:spacing w:after="0"/>
              <w:rPr>
                <w:sz w:val="20"/>
                <w:szCs w:val="20"/>
                <w:color w:val="auto"/>
              </w:rPr>
            </w:pPr>
            <w:r>
              <w:rPr>
                <w:rFonts w:ascii="Arial" w:cs="Arial" w:eastAsia="Arial" w:hAnsi="Arial"/>
                <w:sz w:val="17"/>
                <w:szCs w:val="17"/>
                <w:color w:val="auto"/>
              </w:rPr>
              <w:t>Name:</w:t>
            </w:r>
          </w:p>
        </w:tc>
        <w:tc>
          <w:tcPr>
            <w:tcW w:w="3020" w:type="dxa"/>
            <w:vAlign w:val="bottom"/>
          </w:tcPr>
          <w:p>
            <w:pPr>
              <w:ind w:left="20"/>
              <w:spacing w:after="0"/>
              <w:rPr>
                <w:sz w:val="20"/>
                <w:szCs w:val="20"/>
                <w:color w:val="auto"/>
              </w:rPr>
            </w:pPr>
            <w:r>
              <w:rPr>
                <w:rFonts w:ascii="Arial" w:cs="Arial" w:eastAsia="Arial" w:hAnsi="Arial"/>
                <w:sz w:val="17"/>
                <w:szCs w:val="17"/>
                <w:color w:val="auto"/>
              </w:rPr>
              <w:t>Jeffrey Harris</w:t>
            </w:r>
          </w:p>
        </w:tc>
      </w:tr>
      <w:tr>
        <w:trPr>
          <w:trHeight w:val="223"/>
        </w:trPr>
        <w:tc>
          <w:tcPr>
            <w:tcW w:w="960" w:type="dxa"/>
            <w:vAlign w:val="bottom"/>
          </w:tcPr>
          <w:p>
            <w:pPr>
              <w:spacing w:after="0"/>
              <w:rPr>
                <w:sz w:val="20"/>
                <w:szCs w:val="20"/>
                <w:color w:val="auto"/>
              </w:rPr>
            </w:pPr>
            <w:r>
              <w:rPr>
                <w:rFonts w:ascii="Arial" w:cs="Arial" w:eastAsia="Arial" w:hAnsi="Arial"/>
                <w:sz w:val="17"/>
                <w:szCs w:val="17"/>
                <w:color w:val="auto"/>
              </w:rPr>
              <w:t>Title:</w:t>
            </w:r>
          </w:p>
        </w:tc>
        <w:tc>
          <w:tcPr>
            <w:tcW w:w="302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49"/>
        </w:trPr>
        <w:tc>
          <w:tcPr>
            <w:tcW w:w="96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249"/>
        </w:trPr>
        <w:tc>
          <w:tcPr>
            <w:tcW w:w="960" w:type="dxa"/>
            <w:vAlign w:val="bottom"/>
          </w:tcPr>
          <w:p>
            <w:pPr>
              <w:spacing w:after="0"/>
              <w:rPr>
                <w:sz w:val="20"/>
                <w:szCs w:val="20"/>
                <w:color w:val="auto"/>
              </w:rPr>
            </w:pPr>
            <w:r>
              <w:rPr>
                <w:rFonts w:ascii="Arial" w:cs="Arial" w:eastAsia="Arial" w:hAnsi="Arial"/>
                <w:sz w:val="17"/>
                <w:szCs w:val="17"/>
                <w:color w:val="auto"/>
              </w:rPr>
              <w:t>Date:</w:t>
            </w:r>
          </w:p>
        </w:tc>
        <w:tc>
          <w:tcPr>
            <w:tcW w:w="3020" w:type="dxa"/>
            <w:vAlign w:val="bottom"/>
          </w:tcPr>
          <w:p>
            <w:pPr>
              <w:ind w:left="20"/>
              <w:spacing w:after="0"/>
              <w:rPr>
                <w:sz w:val="20"/>
                <w:szCs w:val="20"/>
                <w:color w:val="auto"/>
              </w:rPr>
            </w:pPr>
            <w:r>
              <w:rPr>
                <w:rFonts w:ascii="Arial" w:cs="Arial" w:eastAsia="Arial" w:hAnsi="Arial"/>
                <w:sz w:val="17"/>
                <w:szCs w:val="17"/>
                <w:color w:val="auto"/>
              </w:rPr>
              <w:t>Date: August 15, 2022</w:t>
            </w:r>
          </w:p>
        </w:tc>
      </w:tr>
    </w:tbl>
    <w:p>
      <w:pPr>
        <w:sectPr>
          <w:pgSz w:w="11900" w:h="16838" w:orient="portrait"/>
          <w:cols w:equalWidth="0" w:num="1">
            <w:col w:w="11240"/>
          </w:cols>
          <w:pgMar w:left="320" w:top="1380"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CERTIFICATION UNDER SECTION 302 OF THE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 Paul Sykes, certify that:</w:t>
      </w:r>
    </w:p>
    <w:p>
      <w:pPr>
        <w:spacing w:after="0" w:line="236" w:lineRule="exact"/>
        <w:rPr>
          <w:sz w:val="20"/>
          <w:szCs w:val="20"/>
          <w:color w:val="auto"/>
        </w:rPr>
      </w:pPr>
    </w:p>
    <w:p>
      <w:pPr>
        <w:ind w:left="320" w:hanging="315"/>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Springbig Holdings, Inc.;</w:t>
      </w:r>
    </w:p>
    <w:p>
      <w:pPr>
        <w:spacing w:after="0" w:line="248" w:lineRule="exact"/>
        <w:rPr>
          <w:rFonts w:ascii="Arial" w:cs="Arial" w:eastAsia="Arial" w:hAnsi="Arial"/>
          <w:sz w:val="16"/>
          <w:szCs w:val="16"/>
          <w:color w:val="auto"/>
        </w:rPr>
      </w:pPr>
    </w:p>
    <w:p>
      <w:pPr>
        <w:ind w:left="320" w:hanging="315"/>
        <w:spacing w:after="0" w:line="260"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 a material fact necessary to make the statements made, in light of the circumstances under which such statements were made, not misleading with respect to the period covered by this report;</w:t>
      </w:r>
    </w:p>
    <w:p>
      <w:pPr>
        <w:spacing w:after="0" w:line="217" w:lineRule="exact"/>
        <w:rPr>
          <w:rFonts w:ascii="Arial" w:cs="Arial" w:eastAsia="Arial" w:hAnsi="Arial"/>
          <w:sz w:val="16"/>
          <w:szCs w:val="16"/>
          <w:color w:val="auto"/>
        </w:rPr>
      </w:pPr>
    </w:p>
    <w:p>
      <w:pPr>
        <w:ind w:left="320" w:hanging="315"/>
        <w:spacing w:after="0" w:line="260"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Arial" w:cs="Arial" w:eastAsia="Arial" w:hAnsi="Arial"/>
          <w:sz w:val="16"/>
          <w:szCs w:val="16"/>
          <w:color w:val="auto"/>
        </w:rPr>
      </w:pPr>
    </w:p>
    <w:p>
      <w:pPr>
        <w:ind w:left="320" w:hanging="315"/>
        <w:spacing w:after="0" w:line="312"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5"/>
          <w:szCs w:val="15"/>
          <w:color w:val="auto"/>
        </w:rPr>
      </w:pPr>
    </w:p>
    <w:p>
      <w:pPr>
        <w:jc w:val="both"/>
        <w:ind w:left="880" w:hanging="403"/>
        <w:spacing w:after="0" w:line="258" w:lineRule="auto"/>
        <w:tabs>
          <w:tab w:leader="none" w:pos="87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6"/>
          <w:szCs w:val="16"/>
          <w:color w:val="auto"/>
        </w:rPr>
      </w:pPr>
    </w:p>
    <w:p>
      <w:pPr>
        <w:jc w:val="both"/>
        <w:ind w:left="880" w:hanging="403"/>
        <w:spacing w:after="0" w:line="258" w:lineRule="auto"/>
        <w:tabs>
          <w:tab w:leader="none" w:pos="8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6"/>
          <w:szCs w:val="16"/>
          <w:color w:val="auto"/>
        </w:rPr>
      </w:pPr>
    </w:p>
    <w:p>
      <w:pPr>
        <w:ind w:left="880" w:hanging="403"/>
        <w:spacing w:after="0" w:line="277" w:lineRule="auto"/>
        <w:tabs>
          <w:tab w:leader="none" w:pos="87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880" w:hanging="403"/>
        <w:spacing w:after="0" w:line="277" w:lineRule="auto"/>
        <w:tabs>
          <w:tab w:leader="none" w:pos="8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1" w:lineRule="exact"/>
        <w:rPr>
          <w:rFonts w:ascii="Arial" w:cs="Arial" w:eastAsia="Arial" w:hAnsi="Arial"/>
          <w:sz w:val="16"/>
          <w:szCs w:val="16"/>
          <w:color w:val="auto"/>
        </w:rPr>
      </w:pPr>
    </w:p>
    <w:p>
      <w:pPr>
        <w:ind w:left="320" w:hanging="315"/>
        <w:spacing w:after="0" w:line="260"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7" w:lineRule="exact"/>
        <w:rPr>
          <w:rFonts w:ascii="Arial" w:cs="Arial" w:eastAsia="Arial" w:hAnsi="Arial"/>
          <w:sz w:val="16"/>
          <w:szCs w:val="16"/>
          <w:color w:val="auto"/>
        </w:rPr>
      </w:pPr>
    </w:p>
    <w:p>
      <w:pPr>
        <w:ind w:left="880" w:hanging="403"/>
        <w:spacing w:after="0" w:line="260" w:lineRule="auto"/>
        <w:tabs>
          <w:tab w:leader="none" w:pos="871"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Arial" w:cs="Arial" w:eastAsia="Arial" w:hAnsi="Arial"/>
          <w:sz w:val="16"/>
          <w:szCs w:val="16"/>
          <w:color w:val="auto"/>
        </w:rPr>
      </w:pPr>
    </w:p>
    <w:p>
      <w:pPr>
        <w:ind w:left="880" w:hanging="403"/>
        <w:spacing w:after="0" w:line="260" w:lineRule="auto"/>
        <w:tabs>
          <w:tab w:leader="none" w:pos="8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By:</w:t>
            </w:r>
          </w:p>
        </w:tc>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Paul Sykes</w:t>
            </w:r>
          </w:p>
        </w:tc>
      </w:tr>
      <w:tr>
        <w:trPr>
          <w:trHeight w:val="216"/>
        </w:trPr>
        <w:tc>
          <w:tcPr>
            <w:tcW w:w="960" w:type="dxa"/>
            <w:vAlign w:val="bottom"/>
          </w:tcPr>
          <w:p>
            <w:pPr>
              <w:spacing w:after="0"/>
              <w:rPr>
                <w:sz w:val="20"/>
                <w:szCs w:val="20"/>
                <w:color w:val="auto"/>
              </w:rPr>
            </w:pPr>
            <w:r>
              <w:rPr>
                <w:rFonts w:ascii="Arial" w:cs="Arial" w:eastAsia="Arial" w:hAnsi="Arial"/>
                <w:sz w:val="17"/>
                <w:szCs w:val="17"/>
                <w:color w:val="auto"/>
              </w:rPr>
              <w:t>Name:</w:t>
            </w:r>
          </w:p>
        </w:tc>
        <w:tc>
          <w:tcPr>
            <w:tcW w:w="7400" w:type="dxa"/>
            <w:vAlign w:val="bottom"/>
          </w:tcPr>
          <w:p>
            <w:pPr>
              <w:ind w:left="20"/>
              <w:spacing w:after="0"/>
              <w:rPr>
                <w:sz w:val="20"/>
                <w:szCs w:val="20"/>
                <w:color w:val="auto"/>
              </w:rPr>
            </w:pPr>
            <w:r>
              <w:rPr>
                <w:rFonts w:ascii="Arial" w:cs="Arial" w:eastAsia="Arial" w:hAnsi="Arial"/>
                <w:sz w:val="17"/>
                <w:szCs w:val="17"/>
                <w:color w:val="auto"/>
              </w:rPr>
              <w:t>Paul Sykes</w:t>
            </w:r>
          </w:p>
        </w:tc>
      </w:tr>
      <w:tr>
        <w:trPr>
          <w:trHeight w:val="223"/>
        </w:trPr>
        <w:tc>
          <w:tcPr>
            <w:tcW w:w="960" w:type="dxa"/>
            <w:vAlign w:val="bottom"/>
          </w:tcPr>
          <w:p>
            <w:pPr>
              <w:spacing w:after="0"/>
              <w:rPr>
                <w:sz w:val="20"/>
                <w:szCs w:val="20"/>
                <w:color w:val="auto"/>
              </w:rPr>
            </w:pPr>
            <w:r>
              <w:rPr>
                <w:rFonts w:ascii="Arial" w:cs="Arial" w:eastAsia="Arial" w:hAnsi="Arial"/>
                <w:sz w:val="17"/>
                <w:szCs w:val="17"/>
                <w:color w:val="auto"/>
              </w:rPr>
              <w:t>Title:</w:t>
            </w:r>
          </w:p>
        </w:tc>
        <w:tc>
          <w:tcPr>
            <w:tcW w:w="740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49"/>
        </w:trPr>
        <w:tc>
          <w:tcPr>
            <w:tcW w:w="96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223"/>
        </w:trPr>
        <w:tc>
          <w:tcPr>
            <w:tcW w:w="960" w:type="dxa"/>
            <w:vAlign w:val="bottom"/>
          </w:tcPr>
          <w:p>
            <w:pPr>
              <w:spacing w:after="0"/>
              <w:rPr>
                <w:sz w:val="20"/>
                <w:szCs w:val="20"/>
                <w:color w:val="auto"/>
              </w:rPr>
            </w:pPr>
            <w:r>
              <w:rPr>
                <w:rFonts w:ascii="Arial" w:cs="Arial" w:eastAsia="Arial" w:hAnsi="Arial"/>
                <w:sz w:val="17"/>
                <w:szCs w:val="17"/>
                <w:color w:val="auto"/>
              </w:rPr>
              <w:t>Date:</w:t>
            </w:r>
          </w:p>
        </w:tc>
        <w:tc>
          <w:tcPr>
            <w:tcW w:w="7400" w:type="dxa"/>
            <w:vAlign w:val="bottom"/>
          </w:tcPr>
          <w:p>
            <w:pPr>
              <w:ind w:left="20"/>
              <w:spacing w:after="0"/>
              <w:rPr>
                <w:sz w:val="20"/>
                <w:szCs w:val="20"/>
                <w:color w:val="auto"/>
              </w:rPr>
            </w:pPr>
            <w:r>
              <w:rPr>
                <w:rFonts w:ascii="Arial" w:cs="Arial" w:eastAsia="Arial" w:hAnsi="Arial"/>
                <w:sz w:val="17"/>
                <w:szCs w:val="17"/>
                <w:color w:val="auto"/>
              </w:rPr>
              <w:t>August 15, 2022</w:t>
            </w:r>
          </w:p>
        </w:tc>
      </w:tr>
    </w:tbl>
    <w:p>
      <w:pPr>
        <w:sectPr>
          <w:pgSz w:w="11900" w:h="16838" w:orient="portrait"/>
          <w:cols w:equalWidth="0" w:num="1">
            <w:col w:w="11240"/>
          </w:cols>
          <w:pgMar w:left="320" w:top="1380"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7"/>
          <w:szCs w:val="17"/>
          <w:b w:val="1"/>
          <w:bCs w:val="1"/>
          <w:color w:val="auto"/>
        </w:rPr>
        <w:t>CERTIFICATION UNDER SECTION 906 OF THE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SARBANES-OXLEY ACT OF 2002</w:t>
      </w:r>
    </w:p>
    <w:p>
      <w:pPr>
        <w:spacing w:after="0" w:line="200" w:lineRule="exact"/>
        <w:rPr>
          <w:sz w:val="20"/>
          <w:szCs w:val="20"/>
          <w:color w:val="auto"/>
        </w:rPr>
      </w:pPr>
    </w:p>
    <w:p>
      <w:pPr>
        <w:spacing w:after="0" w:line="27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 xml:space="preserve">I, Jeffrey Harris, Chief Executive Officer of </w:t>
      </w:r>
      <w:r>
        <w:rPr>
          <w:rFonts w:ascii="Arial" w:cs="Arial" w:eastAsia="Arial" w:hAnsi="Arial"/>
          <w:sz w:val="15"/>
          <w:szCs w:val="15"/>
          <w:color w:val="auto"/>
        </w:rPr>
        <w:t>Springbig Holdings, Inc</w:t>
      </w:r>
      <w:r>
        <w:rPr>
          <w:rFonts w:ascii="Arial" w:cs="Arial" w:eastAsia="Arial" w:hAnsi="Arial"/>
          <w:sz w:val="17"/>
          <w:szCs w:val="17"/>
          <w:color w:val="auto"/>
        </w:rPr>
        <w:t>. (the “Company”), do hereby certify, pursuant to 18 U.S.C. Section 1350, as adopted pursuant to Section 906 of the Sarbanes-Oxley Act of 2002, that to the best of my knowledge:</w:t>
      </w:r>
    </w:p>
    <w:p>
      <w:pPr>
        <w:spacing w:after="0" w:line="185" w:lineRule="exact"/>
        <w:rPr>
          <w:sz w:val="20"/>
          <w:szCs w:val="20"/>
          <w:color w:val="auto"/>
        </w:rPr>
      </w:pPr>
    </w:p>
    <w:p>
      <w:pPr>
        <w:ind w:left="640" w:right="40" w:hanging="320"/>
        <w:spacing w:after="0" w:line="289"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2022 (the “Report”) fully complies with the requirements of Section 13(a) or 15(d) of the Securities Exchange Act of 1934, as amended; and</w:t>
      </w:r>
    </w:p>
    <w:p>
      <w:pPr>
        <w:spacing w:after="0" w:line="184" w:lineRule="exact"/>
        <w:rPr>
          <w:rFonts w:ascii="Arial" w:cs="Arial" w:eastAsia="Arial" w:hAnsi="Arial"/>
          <w:sz w:val="17"/>
          <w:szCs w:val="17"/>
          <w:color w:val="auto"/>
        </w:rPr>
      </w:pPr>
    </w:p>
    <w:p>
      <w:pPr>
        <w:ind w:left="640" w:right="40" w:hanging="320"/>
        <w:spacing w:after="0" w:line="289"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Jeffrey Harris</w:t>
            </w:r>
          </w:p>
        </w:tc>
      </w:tr>
      <w:tr>
        <w:trPr>
          <w:trHeight w:val="216"/>
        </w:trPr>
        <w:tc>
          <w:tcPr>
            <w:tcW w:w="960" w:type="dxa"/>
            <w:vAlign w:val="bottom"/>
          </w:tcPr>
          <w:p>
            <w:pPr>
              <w:spacing w:after="0"/>
              <w:rPr>
                <w:sz w:val="20"/>
                <w:szCs w:val="20"/>
                <w:color w:val="auto"/>
              </w:rPr>
            </w:pPr>
            <w:r>
              <w:rPr>
                <w:rFonts w:ascii="Arial" w:cs="Arial" w:eastAsia="Arial" w:hAnsi="Arial"/>
                <w:sz w:val="17"/>
                <w:szCs w:val="17"/>
                <w:color w:val="auto"/>
              </w:rPr>
              <w:t>Name:</w:t>
            </w:r>
          </w:p>
        </w:tc>
        <w:tc>
          <w:tcPr>
            <w:tcW w:w="3020" w:type="dxa"/>
            <w:vAlign w:val="bottom"/>
          </w:tcPr>
          <w:p>
            <w:pPr>
              <w:ind w:left="20"/>
              <w:spacing w:after="0"/>
              <w:rPr>
                <w:sz w:val="20"/>
                <w:szCs w:val="20"/>
                <w:color w:val="auto"/>
              </w:rPr>
            </w:pPr>
            <w:r>
              <w:rPr>
                <w:rFonts w:ascii="Arial" w:cs="Arial" w:eastAsia="Arial" w:hAnsi="Arial"/>
                <w:sz w:val="17"/>
                <w:szCs w:val="17"/>
                <w:color w:val="auto"/>
              </w:rPr>
              <w:t>Jeffrey Harris</w:t>
            </w:r>
          </w:p>
        </w:tc>
      </w:tr>
      <w:tr>
        <w:trPr>
          <w:trHeight w:val="223"/>
        </w:trPr>
        <w:tc>
          <w:tcPr>
            <w:tcW w:w="960" w:type="dxa"/>
            <w:vAlign w:val="bottom"/>
          </w:tcPr>
          <w:p>
            <w:pPr>
              <w:spacing w:after="0"/>
              <w:rPr>
                <w:sz w:val="20"/>
                <w:szCs w:val="20"/>
                <w:color w:val="auto"/>
              </w:rPr>
            </w:pPr>
            <w:r>
              <w:rPr>
                <w:rFonts w:ascii="Arial" w:cs="Arial" w:eastAsia="Arial" w:hAnsi="Arial"/>
                <w:sz w:val="17"/>
                <w:szCs w:val="17"/>
                <w:color w:val="auto"/>
              </w:rPr>
              <w:t>Title:</w:t>
            </w:r>
          </w:p>
        </w:tc>
        <w:tc>
          <w:tcPr>
            <w:tcW w:w="302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49"/>
        </w:trPr>
        <w:tc>
          <w:tcPr>
            <w:tcW w:w="96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249"/>
        </w:trPr>
        <w:tc>
          <w:tcPr>
            <w:tcW w:w="960" w:type="dxa"/>
            <w:vAlign w:val="bottom"/>
          </w:tcPr>
          <w:p>
            <w:pPr>
              <w:spacing w:after="0"/>
              <w:rPr>
                <w:sz w:val="20"/>
                <w:szCs w:val="20"/>
                <w:color w:val="auto"/>
              </w:rPr>
            </w:pPr>
            <w:r>
              <w:rPr>
                <w:rFonts w:ascii="Arial" w:cs="Arial" w:eastAsia="Arial" w:hAnsi="Arial"/>
                <w:sz w:val="17"/>
                <w:szCs w:val="17"/>
                <w:color w:val="auto"/>
              </w:rPr>
              <w:t>Date:</w:t>
            </w:r>
          </w:p>
        </w:tc>
        <w:tc>
          <w:tcPr>
            <w:tcW w:w="3020" w:type="dxa"/>
            <w:vAlign w:val="bottom"/>
          </w:tcPr>
          <w:p>
            <w:pPr>
              <w:ind w:left="20"/>
              <w:spacing w:after="0"/>
              <w:rPr>
                <w:sz w:val="20"/>
                <w:szCs w:val="20"/>
                <w:color w:val="auto"/>
              </w:rPr>
            </w:pPr>
            <w:r>
              <w:rPr>
                <w:rFonts w:ascii="Arial" w:cs="Arial" w:eastAsia="Arial" w:hAnsi="Arial"/>
                <w:sz w:val="17"/>
                <w:szCs w:val="17"/>
                <w:color w:val="auto"/>
              </w:rPr>
              <w:t>August 15, 2022</w:t>
            </w:r>
          </w:p>
        </w:tc>
      </w:tr>
    </w:tbl>
    <w:p>
      <w:pPr>
        <w:sectPr>
          <w:pgSz w:w="11900" w:h="16838" w:orient="portrait"/>
          <w:cols w:equalWidth="0" w:num="1">
            <w:col w:w="11240"/>
          </w:cols>
          <w:pgMar w:left="320" w:top="1380"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7"/>
          <w:szCs w:val="17"/>
          <w:b w:val="1"/>
          <w:bCs w:val="1"/>
          <w:color w:val="auto"/>
        </w:rPr>
        <w:t>CERTIFICATION UNDER SECTION 906 OF THE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SARBANES-OXLEY ACT OF 2002</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 Paul Sykes, Chief Executive Officer of </w:t>
      </w:r>
      <w:r>
        <w:rPr>
          <w:rFonts w:ascii="Arial" w:cs="Arial" w:eastAsia="Arial" w:hAnsi="Arial"/>
          <w:sz w:val="14"/>
          <w:szCs w:val="14"/>
          <w:color w:val="auto"/>
        </w:rPr>
        <w:t>Springbig Holdings, Inc</w:t>
      </w:r>
      <w:r>
        <w:rPr>
          <w:rFonts w:ascii="Arial" w:cs="Arial" w:eastAsia="Arial" w:hAnsi="Arial"/>
          <w:sz w:val="16"/>
          <w:szCs w:val="16"/>
          <w:color w:val="auto"/>
        </w:rPr>
        <w:t>. (the “Company”), do hereby certify, pursuant to 18 U.S.C. Section 1350, as adopted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 that to the best of my knowledge:</w:t>
      </w:r>
    </w:p>
    <w:p>
      <w:pPr>
        <w:spacing w:after="0" w:line="238" w:lineRule="exact"/>
        <w:rPr>
          <w:sz w:val="20"/>
          <w:szCs w:val="20"/>
          <w:color w:val="auto"/>
        </w:rPr>
      </w:pPr>
    </w:p>
    <w:p>
      <w:pPr>
        <w:ind w:left="640" w:right="20" w:hanging="320"/>
        <w:spacing w:after="0" w:line="289"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2022 (the “Report”) fully complies with the requirements of Section 13(a) or 15(d) of the Securities Exchange Act of 1934, as amended; and</w:t>
      </w:r>
    </w:p>
    <w:p>
      <w:pPr>
        <w:spacing w:after="0" w:line="184" w:lineRule="exact"/>
        <w:rPr>
          <w:rFonts w:ascii="Arial" w:cs="Arial" w:eastAsia="Arial" w:hAnsi="Arial"/>
          <w:sz w:val="17"/>
          <w:szCs w:val="17"/>
          <w:color w:val="auto"/>
        </w:rPr>
      </w:pPr>
    </w:p>
    <w:p>
      <w:pPr>
        <w:ind w:left="640" w:right="20" w:hanging="320"/>
        <w:spacing w:after="0" w:line="289"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By:</w:t>
            </w:r>
          </w:p>
        </w:tc>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Paul Sykes</w:t>
            </w:r>
          </w:p>
        </w:tc>
      </w:tr>
      <w:tr>
        <w:trPr>
          <w:trHeight w:val="216"/>
        </w:trPr>
        <w:tc>
          <w:tcPr>
            <w:tcW w:w="980" w:type="dxa"/>
            <w:vAlign w:val="bottom"/>
          </w:tcPr>
          <w:p>
            <w:pPr>
              <w:spacing w:after="0"/>
              <w:rPr>
                <w:sz w:val="20"/>
                <w:szCs w:val="20"/>
                <w:color w:val="auto"/>
              </w:rPr>
            </w:pPr>
            <w:r>
              <w:rPr>
                <w:rFonts w:ascii="Arial" w:cs="Arial" w:eastAsia="Arial" w:hAnsi="Arial"/>
                <w:sz w:val="17"/>
                <w:szCs w:val="17"/>
                <w:color w:val="auto"/>
              </w:rPr>
              <w:t>Name:</w:t>
            </w:r>
          </w:p>
        </w:tc>
        <w:tc>
          <w:tcPr>
            <w:tcW w:w="7020" w:type="dxa"/>
            <w:vAlign w:val="bottom"/>
          </w:tcPr>
          <w:p>
            <w:pPr>
              <w:ind w:left="20"/>
              <w:spacing w:after="0"/>
              <w:rPr>
                <w:sz w:val="20"/>
                <w:szCs w:val="20"/>
                <w:color w:val="auto"/>
              </w:rPr>
            </w:pPr>
            <w:r>
              <w:rPr>
                <w:rFonts w:ascii="Arial" w:cs="Arial" w:eastAsia="Arial" w:hAnsi="Arial"/>
                <w:sz w:val="17"/>
                <w:szCs w:val="17"/>
                <w:color w:val="auto"/>
              </w:rPr>
              <w:t>Paul Sykes</w:t>
            </w:r>
          </w:p>
        </w:tc>
      </w:tr>
      <w:tr>
        <w:trPr>
          <w:trHeight w:val="223"/>
        </w:trPr>
        <w:tc>
          <w:tcPr>
            <w:tcW w:w="980" w:type="dxa"/>
            <w:vAlign w:val="bottom"/>
          </w:tcPr>
          <w:p>
            <w:pPr>
              <w:spacing w:after="0"/>
              <w:rPr>
                <w:sz w:val="20"/>
                <w:szCs w:val="20"/>
                <w:color w:val="auto"/>
              </w:rPr>
            </w:pPr>
            <w:r>
              <w:rPr>
                <w:rFonts w:ascii="Arial" w:cs="Arial" w:eastAsia="Arial" w:hAnsi="Arial"/>
                <w:sz w:val="17"/>
                <w:szCs w:val="17"/>
                <w:color w:val="auto"/>
              </w:rPr>
              <w:t>Title:</w:t>
            </w:r>
          </w:p>
        </w:tc>
        <w:tc>
          <w:tcPr>
            <w:tcW w:w="70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49"/>
        </w:trPr>
        <w:tc>
          <w:tcPr>
            <w:tcW w:w="98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223"/>
        </w:trPr>
        <w:tc>
          <w:tcPr>
            <w:tcW w:w="980" w:type="dxa"/>
            <w:vAlign w:val="bottom"/>
          </w:tcPr>
          <w:p>
            <w:pPr>
              <w:spacing w:after="0"/>
              <w:rPr>
                <w:sz w:val="20"/>
                <w:szCs w:val="20"/>
                <w:color w:val="auto"/>
              </w:rPr>
            </w:pPr>
            <w:r>
              <w:rPr>
                <w:rFonts w:ascii="Arial" w:cs="Arial" w:eastAsia="Arial" w:hAnsi="Arial"/>
                <w:sz w:val="17"/>
                <w:szCs w:val="17"/>
                <w:color w:val="auto"/>
              </w:rPr>
              <w:t>Date:</w:t>
            </w:r>
          </w:p>
        </w:tc>
        <w:tc>
          <w:tcPr>
            <w:tcW w:w="7020" w:type="dxa"/>
            <w:vAlign w:val="bottom"/>
          </w:tcPr>
          <w:p>
            <w:pPr>
              <w:ind w:left="20"/>
              <w:spacing w:after="0"/>
              <w:rPr>
                <w:sz w:val="20"/>
                <w:szCs w:val="20"/>
                <w:color w:val="auto"/>
              </w:rPr>
            </w:pPr>
            <w:r>
              <w:rPr>
                <w:rFonts w:ascii="Arial" w:cs="Arial" w:eastAsia="Arial" w:hAnsi="Arial"/>
                <w:sz w:val="17"/>
                <w:szCs w:val="17"/>
                <w:color w:val="auto"/>
              </w:rPr>
              <w:t>August 15, 2022</w:t>
            </w:r>
          </w:p>
        </w:tc>
      </w:tr>
    </w:tbl>
    <w:p>
      <w:pPr>
        <w:spacing w:after="0" w:line="1" w:lineRule="exact"/>
        <w:rPr>
          <w:sz w:val="20"/>
          <w:szCs w:val="20"/>
          <w:color w:val="auto"/>
        </w:rPr>
      </w:pPr>
    </w:p>
    <w:sectPr>
      <w:pgSz w:w="11900" w:h="16838" w:orient="portrait"/>
      <w:cols w:equalWidth="0" w:num="1">
        <w:col w:w="11220"/>
      </w:cols>
      <w:pgMar w:left="320" w:top="13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Roman"/>
      <w:start w:val="8"/>
    </w:lvl>
  </w:abstractNum>
  <w:abstractNum w:abstractNumId="6">
    <w:nsid w:val="4E6AFB66"/>
    <w:multiLevelType w:val="hybridMultilevel"/>
    <w:lvl w:ilvl="0">
      <w:lvlJc w:val="left"/>
      <w:lvlText w:val="(%1)"/>
      <w:numFmt w:val="upperLetter"/>
      <w:start w:val="2"/>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2022-08-16T05:35:50Z</dcterms:created>
  <dcterms:modified xsi:type="dcterms:W3CDTF">2022-08-16T05:35:50Z</dcterms:modified>
</cp:coreProperties>
</file>