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4020" w:right="940" w:hanging="3072"/>
        <w:spacing w:after="0" w:line="490" w:lineRule="auto"/>
        <w:tabs>
          <w:tab w:leader="none" w:pos="114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For the quarter ended </w:t>
      </w:r>
      <w:r>
        <w:rPr>
          <w:rFonts w:ascii="Times New Roman" w:cs="Times New Roman" w:eastAsia="Times New Roman" w:hAnsi="Times New Roman"/>
          <w:sz w:val="18"/>
          <w:szCs w:val="18"/>
          <w:color w:val="auto"/>
        </w:rPr>
        <w:t>September 30,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509" w:right="339" w:bottom="1440" w:gutter="0" w:footer="0" w:header="0"/>
        </w:sectPr>
      </w:pPr>
    </w:p>
    <w:p>
      <w:pPr>
        <w:spacing w:after="0" w:line="23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100" w:space="580"/>
            <w:col w:w="4560"/>
          </w:cols>
          <w:pgMar w:left="320" w:top="509" w:right="33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001-40049</w:t>
      </w:r>
    </w:p>
    <w:p>
      <w:pPr>
        <w:sectPr>
          <w:pgSz w:w="11900" w:h="16838" w:orient="portrait"/>
          <w:cols w:equalWidth="0" w:num="1">
            <w:col w:w="11240"/>
          </w:cols>
          <w:pgMar w:left="320" w:top="509" w:right="339" w:bottom="1440" w:gutter="0" w:footer="0" w:header="0"/>
          <w:type w:val="continuous"/>
        </w:sect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rPr>
              <w:t>of incorporation)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621 NW 53rd Street</w:t>
            </w:r>
          </w:p>
        </w:tc>
        <w:tc>
          <w:tcPr>
            <w:tcW w:w="3580" w:type="dxa"/>
            <w:vAlign w:val="bottom"/>
          </w:tcPr>
          <w:p>
            <w:pPr>
              <w:spacing w:after="0"/>
              <w:rPr>
                <w:sz w:val="24"/>
                <w:szCs w:val="24"/>
                <w:color w:val="auto"/>
              </w:rPr>
            </w:pPr>
          </w:p>
        </w:tc>
      </w:tr>
      <w:tr>
        <w:trPr>
          <w:trHeight w:val="216"/>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Ste. 500</w:t>
            </w:r>
          </w:p>
        </w:tc>
        <w:tc>
          <w:tcPr>
            <w:tcW w:w="3580" w:type="dxa"/>
            <w:vAlign w:val="bottom"/>
          </w:tcPr>
          <w:p>
            <w:pPr>
              <w:spacing w:after="0"/>
              <w:rPr>
                <w:sz w:val="18"/>
                <w:szCs w:val="18"/>
                <w:color w:val="auto"/>
              </w:rPr>
            </w:pPr>
          </w:p>
        </w:tc>
      </w:t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33487</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(800) 772-9172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6, 2025, there were 48,548,772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SPRINGBIG,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6"/>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354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3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and December 31,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93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2025, and 2024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3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for the three and nine months ended September 30,</w:t>
            </w:r>
          </w:p>
        </w:tc>
        <w:tc>
          <w:tcPr>
            <w:tcW w:w="1000" w:type="dxa"/>
            <w:vAlign w:val="bottom"/>
            <w:shd w:val="clear" w:color="auto" w:fill="CCEEFF"/>
          </w:tcPr>
          <w:p>
            <w:pPr>
              <w:spacing w:after="0"/>
              <w:rPr>
                <w:sz w:val="15"/>
                <w:szCs w:val="15"/>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820" w:type="dxa"/>
            <w:vAlign w:val="bottom"/>
            <w:tcBorders>
              <w:top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93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 and 2024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3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 About Market Risk</w:t>
            </w:r>
          </w:p>
        </w:tc>
        <w:tc>
          <w:tcPr>
            <w:tcW w:w="502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gridSpan w:val="11"/>
            <w:shd w:val="clear" w:color="auto" w:fill="CCEEFF"/>
          </w:tcPr>
          <w:p>
            <w:pPr>
              <w:jc w:val="center"/>
              <w:ind w:right="364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1000" w:type="dxa"/>
            <w:vAlign w:val="bottom"/>
            <w:shd w:val="clear" w:color="auto" w:fill="CCEEFF"/>
          </w:tcPr>
          <w:p>
            <w:pPr>
              <w:spacing w:after="0"/>
              <w:rPr>
                <w:sz w:val="17"/>
                <w:szCs w:val="17"/>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540" w:type="dxa"/>
            <w:vAlign w:val="bottom"/>
            <w:tcBorders>
              <w:top w:val="single" w:sz="8" w:color="CCEEFF"/>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140" w:type="dxa"/>
            <w:vAlign w:val="bottom"/>
            <w:tcBorders>
              <w:top w:val="single" w:sz="8" w:color="0000EE"/>
            </w:tcBorders>
            <w:gridSpan w:val="4"/>
          </w:tcPr>
          <w:p>
            <w:pPr>
              <w:spacing w:after="0"/>
              <w:rPr>
                <w:sz w:val="15"/>
                <w:szCs w:val="15"/>
                <w:color w:val="auto"/>
              </w:rPr>
            </w:pPr>
          </w:p>
        </w:tc>
        <w:tc>
          <w:tcPr>
            <w:tcW w:w="364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400" w:type="dxa"/>
            <w:vAlign w:val="bottom"/>
            <w:tcBorders>
              <w:bottom w:val="single" w:sz="8" w:color="CCEEFF"/>
            </w:tcBorders>
            <w:gridSpan w:val="1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00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3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Factors that could cause our actual results and our financial condition to differ materially from those indicated in our forward-looking statements include, but are not limited to, the following:</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regulated industries and SpringBig’s market size, including with respect to the potential total addressable market in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SpringBig’s growth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offerings SpringBig may introduce in the future;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and identify and realize additional opportunities;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from time to time in filings made with the Securities and Exchange Commission (the “SEC”).</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$143 and $426, respectively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5,163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3,157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Warant liabilities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shares, 300,000,000 authorized at September 30, 2025; 48,548,772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2025; 300,000,000 authorized at December 31, 2024; 46,348,351 issued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28,666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(40,114)</w:t>
            </w:r>
          </w:p>
        </w:tc>
        <w:tc>
          <w:tcPr>
            <w:tcW w:w="2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(38,441)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5,163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1,729</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4,434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5,150</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3,731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4,576</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1,634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5,889</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3,579</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14,196</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asset disposal</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1,573</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expense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(554</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(1,673</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(784</w:t>
            </w:r>
            <w:r>
              <w:rPr>
                <w:rFonts w:ascii="Times New Roman" w:cs="Times New Roman" w:eastAsia="Times New Roman" w:hAnsi="Times New Roman"/>
                <w:sz w:val="29"/>
                <w:szCs w:val="29"/>
                <w:color w:val="auto"/>
                <w:vertAlign w:val="superscript"/>
              </w:rPr>
              <w:t>)</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 (loss) per common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(0.01)  $</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(0.04)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95"/>
        </w:trPr>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47,788,486</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46,300,497</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47,006,630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45,819,887</w:t>
            </w:r>
          </w:p>
        </w:tc>
        <w:tc>
          <w:tcPr>
            <w:tcW w:w="60" w:type="dxa"/>
            <w:vAlign w:val="bottom"/>
          </w:tcPr>
          <w:p>
            <w:pPr>
              <w:spacing w:after="0"/>
              <w:rPr>
                <w:sz w:val="24"/>
                <w:szCs w:val="24"/>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-779145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-488315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346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46,859,495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(11,327)</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business acquisition</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1,191,563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497,714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3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70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48,548,772</w:t>
            </w: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29,139</w:t>
            </w: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(40,114)</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(10,971)</w:t>
            </w:r>
          </w:p>
        </w:tc>
        <w:tc>
          <w:tcPr>
            <w:tcW w:w="100" w:type="dxa"/>
            <w:vAlign w:val="bottom"/>
            <w:tcBorders>
              <w:top w:val="single" w:sz="8" w:color="CCEEFF"/>
            </w:tcBorders>
          </w:tcPr>
          <w:p>
            <w:pPr>
              <w:spacing w:after="0"/>
              <w:rPr>
                <w:sz w:val="19"/>
                <w:szCs w:val="19"/>
                <w:color w:val="auto"/>
              </w:rPr>
            </w:pPr>
          </w:p>
        </w:tc>
      </w:tr>
      <w:tr>
        <w:trPr>
          <w:trHeight w:val="410"/>
        </w:trPr>
        <w:tc>
          <w:tcPr>
            <w:tcW w:w="3920" w:type="dxa"/>
            <w:vAlign w:val="bottom"/>
          </w:tcPr>
          <w:p>
            <w:pPr>
              <w:spacing w:after="0"/>
              <w:rPr>
                <w:sz w:val="24"/>
                <w:szCs w:val="24"/>
                <w:color w:val="auto"/>
              </w:rPr>
            </w:pPr>
          </w:p>
        </w:tc>
        <w:tc>
          <w:tcPr>
            <w:tcW w:w="346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46,348,351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(9,771)</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business acquisition</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1,191,563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1,008,858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w:t>
            </w:r>
          </w:p>
        </w:tc>
      </w:tr>
      <w:tr>
        <w:trPr>
          <w:trHeight w:val="225"/>
        </w:trPr>
        <w:tc>
          <w:tcPr>
            <w:tcW w:w="3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70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48,548,772</w:t>
            </w: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29,139</w:t>
            </w: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(40,114)</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(10,971)</w:t>
            </w:r>
          </w:p>
        </w:tc>
        <w:tc>
          <w:tcPr>
            <w:tcW w:w="100" w:type="dxa"/>
            <w:vAlign w:val="bottom"/>
            <w:tcBorders>
              <w:top w:val="single" w:sz="8" w:color="CCEEFF"/>
            </w:tcBorders>
          </w:tcPr>
          <w:p>
            <w:pPr>
              <w:spacing w:after="0"/>
              <w:rPr>
                <w:sz w:val="19"/>
                <w:szCs w:val="19"/>
                <w:color w:val="auto"/>
              </w:rPr>
            </w:pPr>
          </w:p>
        </w:tc>
      </w:tr>
      <w:tr>
        <w:trPr>
          <w:trHeight w:val="410"/>
        </w:trPr>
        <w:tc>
          <w:tcPr>
            <w:tcW w:w="3920" w:type="dxa"/>
            <w:vAlign w:val="bottom"/>
          </w:tcPr>
          <w:p>
            <w:pPr>
              <w:spacing w:after="0"/>
              <w:rPr>
                <w:sz w:val="24"/>
                <w:szCs w:val="24"/>
                <w:color w:val="auto"/>
              </w:rPr>
            </w:pPr>
          </w:p>
        </w:tc>
        <w:tc>
          <w:tcPr>
            <w:tcW w:w="346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46,148,026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(36,795)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(8,472)</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166,992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7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46,315,018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(37,349)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920" w:type="dxa"/>
            <w:vAlign w:val="bottom"/>
          </w:tcPr>
          <w:p>
            <w:pPr>
              <w:spacing w:after="0"/>
              <w:rPr>
                <w:sz w:val="24"/>
                <w:szCs w:val="24"/>
                <w:color w:val="auto"/>
              </w:rPr>
            </w:pPr>
          </w:p>
        </w:tc>
        <w:tc>
          <w:tcPr>
            <w:tcW w:w="346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45,339,762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(36,565)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(8,674)</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720,154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255,102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r>
      <w:tr>
        <w:trPr>
          <w:trHeight w:val="225"/>
        </w:trPr>
        <w:tc>
          <w:tcPr>
            <w:tcW w:w="3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70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46,315,018</w:t>
            </w: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28,502</w:t>
            </w: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(37,349)</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(8,843)</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exchange for services rendered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asset disposal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term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short-term cash advances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convertible and term note issuance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disclosures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services rendered relating to debt financing</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connection with the acquisition of ViceCRM</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derecognized in connection with early lease termination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added to principal for non-cash interest on convertible notes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Holdings, Inc. and its wholly owned subsidiaries (the “Company,” “we,” “us,”, “our”, or “SpringBig”) developed a software platform that provides marketing and customer engagement services to retailers in regulated industries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direct wholly owned subsidiary, SpringBig, Inc.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June 15, 2022, the ticker symbols for the Company’s common stock and publicly traded warrants were changed to “SBIG” and “SBIGW,” respectively, and commenced trading on The Nasdaq Capital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common stock was quoted for trading on the OTCQX® Best Market from September 6, 2023, to March 31, 2025, and is now quoted for trading on the OTCQB® Venture Market and its public warrants are quoted for trading on the OTC Pink Market under their current trading symbols “SBIG” and “SBIGW,” respectively. The Company remains a reporting company under the Securities Exchange Act of 1934, as amended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 and 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and nine months ended September 30, 2025, are not necessarily indicative of the results that may be expected for future periods or for the year ending December 31, 2025.</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financial data presented herein should be read in conjunction with the audited consolidated financial statements and accompanying notes as of and for the year ended December 31, 2024, as reported in the 2024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Going Concern, Liquidity and Management’s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Company has incurred losses, which have resulted in an accumulated deficit of approximately $40.1 million as of September 30, 2025. Cash flows from operating activities were $381,000 for the nine months ended September 30, 2025. As of September 30, 2025, the Company had a working capital deficit of approximately $2.0 million, inclusive of $1.5 million in cash and cash equivalents to cover overhead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its ability to meet its liquidity needs through a combination of factors, including, but not limited to, cash and cash equivalents, increase in revenue through increased usage by customers and new customers and strategic capital raises. The ultimate success of these plans is not guaranteed.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management projections and cash on hand, we estimate that our liquidity and cash resources are sufficient for our current and projected financial needs for the next twelve months, at a minimum.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on a going concern basis and do not include any adjustments that might result from uncertainty about the Company’s ability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translates the condensed consolidated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Goodwill is not amortized, but is tested for impairment annually, or more frequently if events or changes in circumstances indicate that the carrying value may not be recoverable. The Company recorded approximately $17,000 of Goodwill in relation to the ViceCRM acquisition during the three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have used best estimates based on facts and circumstances available to it at the time, different acceptable assumptions would yield different results. Changes in the accounting estimates are reasonably likely to occur from period to period, which may have a material impact on the presentation of our financial condition and results of operations. The Company reviews these estimates and assumptions periodically and reflects on the effects of revisions in the period that are determined to be necessary. The Company believes that the assumptions and estimates associated with income taxes, equity-based compensation (including issuance of common stock for services rendered), warrants, imputed interest on operating lease liabilities, using the U.S. treasuries rate for a similar term prevailing at the lease commencement date as the benchmark rate and adding an appropriate risk margin, valuation of the 2024 Secured Term Notes and 2024 Secured Convertible Notes carrying value regarding debt modification or extinguishment, and allowance for credit losses have the greatest potential impact on our consolidated financial statements. Therefore, the Company consider the policies related to these financial areas to be critical accounting policies.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manages its business as a single operating segment. The chief operating decision maker (“CODM”) reviews financial information presented for the purposes of allocating resources and evaluating financial performance at an entity level. The Company’s Chief Executive Officer (“CEO”) is the CODM, and the Company has no segment managers who are held accountable by the CODM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assets, which include cash equivalents, current financial assets and our current financial liabilities have fair values that approximate their carrying value due to their short-term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Concentrations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principally of cash and cash equivalents and accounts receivable. The Company deposits cash and cash equivalents with high credit-quality financial institutions. Such deposits may be in excess of federally insured limits. To date, the Company has not experienced any losses on our cash and cash equivalents. The Company performs periodic evaluations of the relative credit standing of the financial institutions.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and require no collateral from customers. The Company maintains a credit loss reserve for expected credit losses based upon the expected collectability of accounts receivable balances.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one customer representing 17% of total revenues for the nine months ended September 30, 2025, and one customer represented more than 14% of total revenues for the nine months ended September 30,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one customer representing 23% of accounts receivable and two customers represented 40% of accounts receivable at December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one vendor representing 90% of cost of goods sold for the nine months ended September 30, 2025, and the same vendor represented 86% of cost of goods sold for the nine months ended September 30,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two vendors representing 67% of accounts payable as of September 30, 2025. At December 31, 2024, two vendors represented 59% of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Financing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23, 2024, the Company issued $6.4 million aggregate principal amount of 2024 Secured Convertible Notes and $1.6 million aggregate principal amount of 2024 Secured Term Notes. See Note 8. The expenses directly related to issuance of this debt, including investment bank advisory fees, legal fees and other advisory fees, have been deferred and will be expensed over the three-year term of the debt up to January 2027.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acquired, to be cash equivalents. There are no cash equivalents as of September 30, 2025, and December 31,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exceeded the federally insured limits of $250,000 for interest and non-interest-bearing deposits. The Company had cash balances with a single financial institution in excess of the FDIC insured limits by amounts of $1.3 million as of September 30, 2025. We monitor the financial condition of such institution and have not experienced any losses associated with these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 &amp; Allowance for Credit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include billed and unbilled receivables, net of allowance for credit losses. Accounts receivable are recorded at invoiced amounts and do not bear interest. Unbilled receivables relate to revenue earned in advance of invoicing per contractual terms with customers. The allowance for credit losses is based on the Company’s assessment of the collectability of accounts receivable considering various factors, including the age of each outstanding invoice, the collection history of each customer, historical write-off experience, current economic conditions, and reasonable and supportable forecasts of future economic conditions over the life of the receivable. The Company assesses collectability by reviewing accounts receivable on an aggregate basis when similar characteristics exist and on an individual basis when specific customers with collectability issues are identified. Accounts receivable deemed uncollectible are charged against the allowance for credit losses when identified.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loss expense was $150,000 and $125,000 for the three months ended September 30, 2025, and 2024, respectively. Credit loss expense was $370,000 and $292,000 for the nine months ended September 30, 2025, and 2024, respectively. The amounts are included in general and administrative expenses in the condensed consolidated statements of operations.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activity related to the Company’s allowance for credit losses for the nine months ended September 30, 2025 (in thousands).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Write-offs charged against the allowance, net of recoveries and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 September 30, 2025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Allowance for</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18" w:lineRule="exact"/>
        <w:rPr>
          <w:sz w:val="20"/>
          <w:szCs w:val="20"/>
          <w:color w:val="auto"/>
        </w:rPr>
      </w:pPr>
    </w:p>
    <w:p>
      <w:pPr>
        <w:ind w:left="840" w:hanging="835"/>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(653)</w:t>
      </w:r>
    </w:p>
    <w:p>
      <w:pPr>
        <w:spacing w:after="0" w:line="58" w:lineRule="exact"/>
        <w:rPr>
          <w:sz w:val="20"/>
          <w:szCs w:val="20"/>
          <w:color w:val="auto"/>
        </w:rPr>
      </w:pPr>
    </w:p>
    <w:p>
      <w:pPr>
        <w:ind w:left="840" w:hanging="835"/>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warehouse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useful life of computer equipment, furniture and fixtures, software and the data warehouse is three years. Intangible assets include data warehouse and software.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2025, was $27,000 and $88,000, respectively. Depreciation and amortization expense for the three and nine months ended September 30, 2024, was $42,000 and $143,000, respectively. The amounts are included in general and administrative expenses in the condensed consolidated statements of operations.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Company disposed of furniture and computer equipment associated with the office space that the Company vacated during the three months ended June 30, 2025. The result of the disposal was a loss of $131,000 and is recorded in the Other Income and Expenses section of the condensed consolidated statement of operations. There were no disposals in the three month period ending September 30, 2025.</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17, 2025, the Company announced the intent to acquire VICE CRM, an AI-enabled performance marketing platform designed to optimize return on investment for consumer marketing campaigns in highly regulated industries, and the appointment of Jaret Christopher, the founder of VICE CRM, as the Company’s CEO with effect from April 1, 2025. The acquisition was completed on July 31, 2025 and as a result approximately $49,000 of software was recorded in exchange for approximately $49,000 of stock. As of September 30, 2025, the company has recorded the transaction on the balance sheet as $17,000 of goodwill and $32,000 of software, under property and equipment. The transaction, included a second stock issuance, which will fully vest in July 2026, upon Jaret Christopher reaching twelve months of service as CEO following the closing of the acquisition. The second stock issuance is accounted for as compensation expense and reflected in the stock-based compensation which is included in general and administrative expenses in the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commission and bonus</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2024 Secured Convertible and Term Notes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financial advisory fees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Pr>
          <w:p>
            <w:pPr>
              <w:spacing w:after="0"/>
              <w:rPr>
                <w:sz w:val="21"/>
                <w:szCs w:val="21"/>
                <w:color w:val="auto"/>
              </w:rPr>
            </w:pP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0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00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Jeffrey Harris, the former CEO, and Paul Sykes, the former CFO, both participated in the debt financing transaction completed on January 23, 2024. Jeffrey Harris purchased $320,000 2024 Secured Convertible Notes, due 2027, and $80,000 2024 Secured Term Notes, due 2027. Paul Sykes purchased $25,000 2024 Secured Convertible Notes, due 2027, and $6,250 2024 Secured Term Notes, due 2027.</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17, 2025, Jeffrey Harris entered into an agreement to sell $160,000 2024 Secured Convertible Notes and $40,000 2024 Secured Term Notes to Mark Silver, a director of the Company, for total consideration of $200,000. The Notes were transferred inclusive of accrued interest and remain an outstanding obligation of the Company on the same terms.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7, 2025, Paul Sykes entered into an agreement to sell $25,000 2024 Secured Convertible Notes and $6,500 2024 Secured Term Notes to Mark Silver, a director of the Company, for total consideration of $31,500. The Notes were transferred inclusive of accrued interest and remain an outstanding obligation of the Company on the same terms.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two members of the board of directors at September 30, 2025, who are related parties to investors in the debt financing transaction completed on January 23, 2024. In aggregate these investors initially purchased $5.2 million 12% Secured Convertible Notes and $1.3 million 8% Secured Term Notes.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31, 2025, Mr. Harris stepped down as the Company’s CEO. Pursuant to agreements entered into between Mr. Harris and the Company, the Company is required to grant to Mr. Harris 250,000 restricted stock units pursuant to its 2022 Long-Term Incentive Plan subject to vesting on the earlier of the occurrence of a change of control and March 31, 2026. Furthermore, the Company is required to pay Mr. Harris 3% and 2% of all revenue from gaming customers for years ending December 31, 2025, and 2026 respectively. In addition, the Company and Mr. Harris entered into a consulting agreement, whereby Mr. Harris will provide services to the Company for a twelve-month period commencing on April 1, 2025, including being available to the Board and management to help with questions that may arise and to assist the Company with strategic planning. As consideration for his services, Mr. Harris will receive a consulting fee of $450,000 payable in eighteen equal monthly instalments. As of September 30, 2025, the Company has not paid Mr. Harris’ for any services, nor has the Company issued the restricted stock units. The Company and Mr. Harris are currently engaged in litigation brought forth by Mr. Harris. The Company has accrued for a settlement with Mr. Harris within the accrued expenses and other current liabilities section.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7, 2025 (the “Amendment Date”) the first amendment to the separation agreement with Mr. Sykes was executed, which revised the terms of the original agreement with Mr. Sykes. Per the amendment, the separation date for Mr. Sykes was accelerated to the Amendment Date, and Mr. Sykes is entitled to a revised bonus of $120,000, payable in twelve equal semimonthly installments. The Company will no longer accelerate the unvested restricted stock units previously granted to Mr. Sykes pursuant to its 2022 Long-Term Incentive Plan. All other terms of the original agreement will remain in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Notes - related parties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Term Notes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Convertible Notes -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5,987</w:t>
            </w:r>
          </w:p>
        </w:tc>
      </w:tr>
      <w:tr>
        <w:trPr>
          <w:trHeight w:val="23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Convertible Notes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deferred financing fees, net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400" w:type="dxa"/>
            <w:vAlign w:val="bottom"/>
            <w:shd w:val="clear" w:color="auto" w:fill="CCEEFF"/>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00" w:type="dxa"/>
            <w:vAlign w:val="bottom"/>
            <w:shd w:val="clear" w:color="auto" w:fill="CCEEFF"/>
          </w:tcPr>
          <w:p>
            <w:pPr>
              <w:spacing w:after="0"/>
              <w:rPr>
                <w:sz w:val="21"/>
                <w:szCs w:val="21"/>
                <w:color w:val="auto"/>
              </w:rPr>
            </w:pPr>
          </w:p>
        </w:tc>
        <w:tc>
          <w:tcPr>
            <w:tcW w:w="8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issued $1.6 million aggregate principal amount of 2024 Secured Term Notes and $6.4 million aggregate principal amount of 2024 Secured Convertible Notes to a group of investors.</w:t>
      </w:r>
    </w:p>
    <w:p>
      <w:pPr>
        <w:spacing w:after="0" w:line="162"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The 2024 Secured Term Notes were initially due in January 2026 and accrued interest payable in cash semi-annually at a rate of 12% per annum. The 2024 Secured Convertible Notes, were initially due in January 2026 and accrued interest which is added to the outstanding principal balance semi-annually at a rate of 8% per annum.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2025, subject to a maximum reduction to 14% and 10%, respectively. In addition, a sum of $64,000 is payable to the holders of the 2024 Secured Term Notes in January 2025, and the principal amount of the 2024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2024 Secured Term Notes, without penalty, at any time after February 1, 2025.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2024 Secured Convertible Notes are convertible into common stock at a conversion price of $0.15 per share at the holder’s option any time up to the day prior to maturity in January 2027.</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2024 Secured Term Notes and 2024 Secured Convertible Notes rank pari passu and are secured on substantially all the assets of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Secured Term Notes and 2024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At the time of the amendments, consistent with FASB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(“ASC 470”), the Company performed an analysis of the change associated with the amendments to determine whether the change was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consolidated statement of operations for the year ended December 31,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for the three and nine months ended September 30, 2025 of $337,000 and $977,000 respectively, in connection with the 2024 Secured Term Notes and 2024 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6% SENIOR SECURED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December 31, 2024 and September 30, 2025, was $0. The Company recorded a $1.6 million gain on repurchase of the note for the nine months ended September 30,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$0 and $14,000 of interest expense in connection with the Senior Secured Convertible Notes for the nine months ended September 30, 2025 and 2024, respectively. There was no interest expense in connection with the Senior Secured Convertible Notes for the three months ended September 30, 2025 and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10 – 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contained in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2025 and December 31, 2024, the estimated fair value of the warrants was $20,800 and $11,200, respectively.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change in fair value of $10,000 for the three and nine months ended September 30, 2025, and a fair value gain of approximately $41,000 for the three months ended September 30, 2024 and a fair value loss of $10,000 for the nine months ended September 30, 2024.</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fair value is determined in accordance with </w:t>
      </w:r>
      <w:r>
        <w:rPr>
          <w:rFonts w:ascii="Times New Roman" w:cs="Times New Roman" w:eastAsia="Times New Roman" w:hAnsi="Times New Roman"/>
          <w:sz w:val="18"/>
          <w:szCs w:val="18"/>
          <w:i w:val="1"/>
          <w:iCs w:val="1"/>
          <w:color w:val="auto"/>
        </w:rPr>
        <w:t>ASC 820, Fair Value Measurement</w:t>
      </w:r>
      <w:r>
        <w:rPr>
          <w:rFonts w:ascii="Times New Roman" w:cs="Times New Roman" w:eastAsia="Times New Roman" w:hAnsi="Times New Roman"/>
          <w:sz w:val="18"/>
          <w:szCs w:val="18"/>
          <w:color w:val="auto"/>
        </w:rPr>
        <w:t>. See Note 16, Fair Value Measurements, to the accompanying condensed consolidated financial statements for further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REVENUE RECOGNITION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type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Brand revenue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5,871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Geographic Information</w:t>
            </w:r>
          </w:p>
        </w:tc>
        <w:tc>
          <w:tcPr>
            <w:tcW w:w="4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1840" w:type="dxa"/>
            <w:vAlign w:val="bottom"/>
            <w:tcBorders>
              <w:bottom w:val="single" w:sz="8" w:color="auto"/>
            </w:tcBorders>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by geographical region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Retail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Brand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5,871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Revenues by geography are generally based on the country of the Company’s contracting entity. Total United States revenue was approximately 98% of total revenue for the three and nine months ended September 30, 2025, and approximately 96% and 97% of total revenue for the three and nine months ended September 30,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The Company has corrected the accounting for VIP subscriptions and wallet payments such that revenue on these products is now included on a net revenue basis. The impact of the revision was not considered material to the consolidated financial statements. Below is a summary of the impact of the revision for the three and nine months ended September 30,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As reported</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Revised</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6,425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9"/>
                <w:szCs w:val="19"/>
                <w:color w:val="auto"/>
              </w:rPr>
            </w:pPr>
          </w:p>
        </w:tc>
        <w:tc>
          <w:tcPr>
            <w:tcW w:w="12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(1,990)</w:t>
            </w:r>
          </w:p>
        </w:tc>
        <w:tc>
          <w:tcPr>
            <w:tcW w:w="5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(5,699)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(5,150)</w:t>
            </w: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4,435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CONTRACT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as of (in thousands):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movement in the contract assets during the nine months ended September 30, 2025, and the year ended December 31, 2024, comprised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at start of the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Expense deferred during the period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expensed during the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Contract assets at end of the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 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Tuatara shareholders approved the SpringBig Holdings, Inc. 2022 Long-Term Incentive Plan (the “2022 Incentive Plan”), which became effective upon the Closing.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ended December 31, 2023; provided that the annual increase with respect to the fiscal year ended December 31, 2023, which is 1,332,986 shares of common stock, took effect on the first business day following the annual shareholder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automatically added to the number of shares authorized for issuance on January 1, 2024, and 2025 was 2,266,988 and 2,317,417, respectively, being 5% of the number of the Company’s common stock issued and outstanding on December 31, 2023, and 2024, respectively. The total number of shares of common stock authorized for issuance under the 2022 Incentive Plan is 7,442,566 as of September 30,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as of September 30, 2025, under the Legacy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7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8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r>
      <w:tr>
        <w:trPr>
          <w:trHeight w:val="194"/>
        </w:trPr>
        <w:tc>
          <w:tcPr>
            <w:tcW w:w="46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46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2,257,073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(911,217)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0.69</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September 30,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1,345,856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1,345,856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$0 of compensation expense was recorded in connection with the Legacy Incentive Plan. During the three and nine months ended September 30, 2024, $0 and $35,000 of compensation expense was recorded in connection with the Legacy Incentive Plan, respectively. These charges are recorded in general and administrative expense on the condensed consolidated statements of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options were exercised during the three and nine months ended September 30, 2025. As of September 30, 2025, the intrinsic value of the 1,345,856 options outstanding and exercisable was $0. As of September 30, 2025, all options are vested and exercisable and the total compensation cost related to non-vested awards not yet recognized was $0.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Restricted Stock Units outstanding as of September 30, 2025, under the 2022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20" w:type="dxa"/>
            <w:vAlign w:val="bottom"/>
          </w:tcPr>
          <w:p>
            <w:pPr>
              <w:spacing w:after="0"/>
              <w:rPr>
                <w:sz w:val="21"/>
                <w:szCs w:val="21"/>
                <w:color w:val="auto"/>
              </w:rPr>
            </w:pPr>
          </w:p>
        </w:tc>
        <w:tc>
          <w:tcPr>
            <w:tcW w:w="322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 Units Outstanding</w:t>
            </w:r>
          </w:p>
        </w:tc>
      </w:tr>
      <w:tr>
        <w:trPr>
          <w:trHeight w:val="194"/>
        </w:trPr>
        <w:tc>
          <w:tcPr>
            <w:tcW w:w="80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8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Average Fair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0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45"/>
        </w:trPr>
        <w:tc>
          <w:tcPr>
            <w:tcW w:w="802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0" w:type="dxa"/>
            <w:vAlign w:val="bottom"/>
          </w:tcPr>
          <w:p>
            <w:pPr>
              <w:spacing w:after="0"/>
              <w:rPr>
                <w:sz w:val="21"/>
                <w:szCs w:val="21"/>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6"/>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2,211,509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1,382,500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(174,670)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(753,487)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0.45</w:t>
            </w:r>
          </w:p>
        </w:tc>
        <w:tc>
          <w:tcPr>
            <w:tcW w:w="8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15,992,103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(2,259,766)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(1,008,857)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September 30,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15,389,332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8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2025, compensation expense recorded in connection with the 2022 Incentive Plan was $88,000 and $424,000, respectively. During the three and nine months ended September 30, 2024, compensation expense recorded in connection with the 2022 Incentive Plan was $183,000 and $543,000, respectively. The expense is reported within general and administrative expenses. The remaining expense of approximately $824,000 will be recognized in future periods through October 2031. The number of RSU’s granted exceed the number of shares currently reserved for issuance under the 2022 Incentive Plan, as the Company anticipates the annual issuance under the 2022 Incentive Plan will adequately cover the shares currently granted as the units vest. As of September 30, 2025 no shares have been issued in excess of the authorized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in Boca Raton, Florida, Seattle, Washington and Ontario, Canada under non-cancelable operating lease agreements. The leases require monthly payments ranging from $4,000 to $10,000 and expire on various dates through April 2028. In addition to minimum rent, the Company is required to pay a proportionate share of operating expenses under these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new lease which became effective on January 1, 2024, after completion of leasehold improvements. The new lease term is for 98 months, and monthly rental payments range from $38,000 to $48,000 over the life of the lease. In June 2025, the Company was able to terminate the existing lease. The Company is treating the transaction as a lease extinguishment. The lease included a termination penalty of $550,000, payable in two installments of $275,000, paid June 10, 2025, and the second paid on August 31, 2025. The Company subsequently entered into a new lease, for new office space, which became effective on May 1, 2025. The new lease term is for 36 months, and monthly rental payments of approximately $10,000 over the life of the lease.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September 30, 2025, and December 31, 2024, the following amounts were presented on the Company’s condensed consolidated balance sheets in accordance with </w:t>
      </w:r>
      <w:r>
        <w:rPr>
          <w:rFonts w:ascii="Times New Roman" w:cs="Times New Roman" w:eastAsia="Times New Roman" w:hAnsi="Times New Roman"/>
          <w:sz w:val="18"/>
          <w:szCs w:val="18"/>
          <w:i w:val="1"/>
          <w:iCs w:val="1"/>
          <w:color w:val="auto"/>
        </w:rPr>
        <w:t>ASC 842 - Lease Accounting</w:t>
      </w:r>
      <w:r>
        <w:rPr>
          <w:rFonts w:ascii="Times New Roman" w:cs="Times New Roman" w:eastAsia="Times New Roman" w:hAnsi="Times New Roman"/>
          <w:sz w:val="18"/>
          <w:szCs w:val="18"/>
          <w:color w:val="auto"/>
        </w:rPr>
        <w:t xml:space="preser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Company’s operating lease cost was $64,000 and $160,000, respectively. For the nine months ended September 30, 2025, and 2024, the Company’s operating lease cost was $363,000 and $481,000, respectively. Other information pertaining to capitalized assets and liabilities under the leasing standard is as follows (in thousands):</w:t>
      </w:r>
    </w:p>
    <w:p>
      <w:pPr>
        <w:spacing w:after="0" w:line="172"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paid to operating leases</w:t>
            </w:r>
          </w:p>
        </w:tc>
        <w:tc>
          <w:tcPr>
            <w:tcW w:w="9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in exchange for new operating lease liabilities</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32"/>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2025, the Company’s lease liabilities mature as follows (in thousands):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0"/>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4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the possible resolution of any legal and other contingencies when losses are possible in accordance with </w:t>
      </w:r>
      <w:r>
        <w:rPr>
          <w:rFonts w:ascii="Times New Roman" w:cs="Times New Roman" w:eastAsia="Times New Roman" w:hAnsi="Times New Roman"/>
          <w:sz w:val="18"/>
          <w:szCs w:val="18"/>
          <w:i w:val="1"/>
          <w:iCs w:val="1"/>
          <w:color w:val="auto"/>
        </w:rPr>
        <w:t>ASC 450,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 (“ASC 450”)</w:t>
      </w:r>
      <w:r>
        <w:rPr>
          <w:rFonts w:ascii="Times New Roman" w:cs="Times New Roman" w:eastAsia="Times New Roman" w:hAnsi="Times New Roman"/>
          <w:sz w:val="18"/>
          <w:szCs w:val="18"/>
          <w:color w:val="auto"/>
        </w:rPr>
        <w:t>. Significant judgment is required in both the determination of the probability of an outcome as well as the determination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the amount of any potential loss.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a civil investigative demand from the United States Attorney’s Office with regard to its Paycheck Protection Program Loan (“PPP Loan”) originally received in 2020 and forgiven in 2021. The investigation is based on whether the Company was eligible for a PPP Loan if its software products are in fact used to support the use, growth, enhancement or development of marijuana. The amount of the PPP Loan was approximately $790,000. This creates the potential for a contingent loss of up to $1.6 million. The Company believes a loss is reasonably possible, but not probable, and can be reasonably estimated, therefore pursuant to ASC 450 the potential loss has been disclosed but not recorded.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Mr. Harris are currently engaged in litigation brought forth by Mr. Harris, former CEO and former Board Member. The litigation stems from the separation agreement as described in Note 7. The Company has accrued a settlement with Mr. Harris within the accrued expenses and other current liabilities section.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Employee Retention Payroll Tax Credits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year ended December 31, 2023, we received $2.0 million related to these credits, recognized $0.6 million as an offset related to operating expenses through accounts payable. During the three month period ending September 30, 2025 the Company received an additional $0.3 million in the form of a payroll tax refund. We have recognition remaining of $1.9 million, which is recorded in current liabilities on the accompanying condensed consolidated balance sheets.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May 2025, the Company entered into an agreement with their largest vendor. As part of the agreement the Company has committed to spending a specified minimum monthly spend with the vendor for the next 34 Months, with additional 1 year renewals. The minimum monthly spend is reflected in each month reported, based on the activity for each month.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the observable inputs and unobservable inputs used in order to value the assets and liabilities:</w:t>
      </w:r>
    </w:p>
    <w:p>
      <w:pPr>
        <w:spacing w:after="0" w:line="160"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unadjusted quoted prices in active markets for identical assets and liabilities that are accessible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valuations are based on quoted prices that are readily and regularly available in an active market, valuation of these products does not entail a significant degree of judgment.</w:t>
      </w:r>
    </w:p>
    <w:p>
      <w:pPr>
        <w:spacing w:after="0" w:line="173"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Valuation is determined from pricing inputs that are other than quoted prices in active markets that are either directly or indirectly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73"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Valuation is based on inputs that are both significant to the fair value measurement and unobservable. Level 3 inputs include situations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little, if any, market activity for the financial instrument. The inputs into the determination of fair value generally require significant management judgment or estimation.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i w:val="1"/>
          <w:iCs w:val="1"/>
          <w:color w:val="auto"/>
        </w:rPr>
        <w:t>Liabilities measured at fair value on a recurring basis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September 30, 2025,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December 31,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the limited trading volumes for the public warrants, there were certain transfers of financial liabilities between Level 1 and Level 2 during the year ended December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liabilities measured at fair value on a recurring basis and within the fair value hierarchy.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utilizes a fair value approach to account for its warrants based on the quoted price at September 30, 2025, the calculation is consistent with </w:t>
      </w:r>
      <w:r>
        <w:rPr>
          <w:rFonts w:ascii="Times New Roman" w:cs="Times New Roman" w:eastAsia="Times New Roman" w:hAnsi="Times New Roman"/>
          <w:sz w:val="18"/>
          <w:szCs w:val="18"/>
          <w:i w:val="1"/>
          <w:iCs w:val="1"/>
          <w:color w:val="auto"/>
        </w:rPr>
        <w:t>ASC 820, Fair Value Measurement</w:t>
      </w:r>
      <w:r>
        <w:rPr>
          <w:rFonts w:ascii="Times New Roman" w:cs="Times New Roman" w:eastAsia="Times New Roman" w:hAnsi="Times New Roman"/>
          <w:sz w:val="18"/>
          <w:szCs w:val="18"/>
          <w:color w:val="auto"/>
        </w:rPr>
        <w:t>, with changes in fair value recorded in current earnings.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2025, the value of the public warrants was approximately $20,800 using a closing price of $0.0013.</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Fair Value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provides a roll-forward in the changes in fair value in the public warrants for the nine months ended September 30,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 included in earnings for the period relating to liabilities held at September 30, 2025</w:t>
            </w: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Fair Value Considerations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accounts receivables, contract assets, prepaid expenses and other assets,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fair value due to their short-term maturities and/or low credit risk.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17 – STOCKHOLDERS’ DEFICIT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Sponsor Escrow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Contingent and Earnout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180"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2025, and 2024, there were 48,548,772 and 46,315,018 shares of common stock issued and outstanding, respectively.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there are losses during the period, the inclusion of all potential common shares outstanding would have been anti-dilutive.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actual basic and diluted earnings per share for the three and nine months ended September 30, 2025, and 2024, respectively (in thousands, except share and per share data).</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9" w:lineRule="exact"/>
        <w:rPr>
          <w:sz w:val="20"/>
          <w:szCs w:val="20"/>
          <w:color w:val="auto"/>
        </w:rPr>
      </w:pPr>
    </w:p>
    <w:p>
      <w:pPr>
        <w:ind w:left="180" w:right="174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common share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0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0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695"/>
        </w:trPr>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47,788,486</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46,300,497</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47,006,630</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45,819,887</w:t>
            </w:r>
          </w:p>
        </w:tc>
        <w:tc>
          <w:tcPr>
            <w:tcW w:w="40" w:type="dxa"/>
            <w:vAlign w:val="bottom"/>
          </w:tcPr>
          <w:p>
            <w:pPr>
              <w:spacing w:after="0"/>
              <w:rPr>
                <w:sz w:val="24"/>
                <w:szCs w:val="24"/>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-959485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-685165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-368300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7"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anti-dilutive securities excluded from the weighted-average shares used to calculate the diluted net loss per common share for the three months ended September 30, 2025, and the net income per common share for the three months ended September 30, 2024, were as follows: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2,257,073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convertible notes stock conversion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51,414,020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44,297,527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warrants stock conversion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contingent earn out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15,389,332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2,704,519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safe harbor 401(k) retirement plan for the benefit of its employees. The plan allows participants to make contributions subject to certain limitations. Company matching contributions were $80,000 and $245,000 for the three and nine months ended September 30, 2025, respectively. Company matching contributions were $90,000 and $280,000 for the three and nine months ended September 30,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 The Company’s effective tax rate for the three and nine months ended September 30, 2025 and September 30, 2024 is 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the One Big Beautiful Bill Act (the “Tax Act”) was enacted, introducing a series of corporate tax changes in the U.S., including 100% bonus depreciation on qualified property and full expensing for research and development expenditures. The impacts of the Tax Act are reflected in our results for the quarter ended September 30, 2025, and there was no material impact to our income tax expense or effective tax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21 – SEGMENT REPORTING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determined that it has a single operating segment.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CEO is the CODM. The CODM reviews financial information presented for the purposes of allocating resources and evaluating financial performance at an entity level and the Company have no segment managers who are held accountable by the CODM for operations and operating results. The products and services across the Company are similar in nature, distributed in a comparable manner and have customers with common characteristics. Refer to Note 2 – Summary of Significant Accounting Policies.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1,729</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4,434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Employee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7,583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Contractor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platform hosting (benefit)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all other operating expenses, including insurance, subscriptions for software used in the operations, stock-based compensation, depreciation and amortization and severance payments.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 of segment assets is reported on the condensed balance sheet as total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has considered subsequent events through November 13, 2025, the date this report was issued, and there were no events that required additional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regulated industries. Stringent, complex, and rapidly evolving regulations have resulted in restricted access to traditional marketing and advertising channels for regulated retailers and brands, preventing them from utilizing many traditional methods for effectively accessing and engaging with consumers. In addition, the lack of industry-specific data and market intelligence solutions limit regulated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serves approximately 800 clients across more than 2,100 distinct retail locations in North America. Our clients distribute approximately 600 million messages annually, via text, push or email, and in the last year more than $6.1 billion of gross merchandise value was accounted for by clients utilizing our platform.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14, 2022, SpringBig Holdings, Inc., a Delaware corporation (formerly known as Tuatara Capital Acquisition Corporation), consummated a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consequence of the business combination, Legacy SpringBig became the successor to an SEC-registered and Nasdaq-listed company, which required us to implement procedures and processes to address public company regulatory requirements and customary practices. On September 5, 2023, SpringBig Holdings, Inc. was delisted from the Nasdaq Capital Market and its common stock is now quoted for trading on the OTCQB® Venture Market.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is our analysis for the three and nine months ended September 30, 2025, and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8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5,871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retail clients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messages (million)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reconciliation of net loss to Adjusted EBITDA see “EBITDA” and “Adjusted EBITDA,” below.</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Key Operating Metrics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Retail Clients. </w:t>
      </w:r>
      <w:r>
        <w:rPr>
          <w:rFonts w:ascii="Times New Roman" w:cs="Times New Roman" w:eastAsia="Times New Roman" w:hAnsi="Times New Roman"/>
          <w:sz w:val="18"/>
          <w:szCs w:val="18"/>
          <w:color w:val="auto"/>
        </w:rPr>
        <w:t>We disclose in the table above the number of discrete SpringBig platforms used by clients of the business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w:t>
      </w:r>
      <w:r>
        <w:rPr>
          <w:rFonts w:ascii="Times New Roman" w:cs="Times New Roman" w:eastAsia="Times New Roman" w:hAnsi="Times New Roman"/>
          <w:sz w:val="18"/>
          <w:szCs w:val="18"/>
          <w:color w:val="auto"/>
        </w:rPr>
        <w:t>We believe that the growth in the use of our platform by our clients is an important metric in evaluating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 The net revenue retention is calculated based on subscription revenues only and does not include the impact of excess use revenue.</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Messages Sent. </w:t>
      </w:r>
      <w:r>
        <w:rPr>
          <w:rFonts w:ascii="Times New Roman" w:cs="Times New Roman" w:eastAsia="Times New Roman" w:hAnsi="Times New Roman"/>
          <w:sz w:val="18"/>
          <w:szCs w:val="18"/>
          <w:color w:val="auto"/>
        </w:rPr>
        <w:t>We believe that the volume of messages sent is important as it indicates the frequency of use and level of engagement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by our clients. Messages are distributed by text, email, and direct push notifications to mobile applications.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credit loss expense and stock-based compensation).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6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loss and our other GAAP results.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before taxes to non-GAAP EBITDA and Adjusted EBITDA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140" w:type="dxa"/>
            <w:vAlign w:val="bottom"/>
            <w:gridSpan w:val="4"/>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8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w:t>
            </w:r>
          </w:p>
        </w:tc>
        <w:tc>
          <w:tcPr>
            <w:tcW w:w="26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repurchase of convertible debt</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 fee</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related payments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889</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Growth and Retention of Customers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i w:val="1"/>
          <w:iCs w:val="1"/>
          <w:color w:val="auto"/>
        </w:rPr>
        <w:t>Regulation and Maturation of Cannabis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customers and to our ability to attract new customers.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the pre-contracted amount) and optional purchases of additional credits.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amounts payable to distributors of messages on behalf of the Company’s customers across cellular networks and integrations.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Servicing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Software Development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Technology and software development costs consist of salaries and benefits for employees, including engineering and technical teams who are responsible for building new products, as well as maintaining and improving existing products. We evaluate whether to capitalize certain costs associated with technology and software development in accordance with ASC 350-40, </w:t>
      </w:r>
      <w:r>
        <w:rPr>
          <w:rFonts w:ascii="Times New Roman" w:cs="Times New Roman" w:eastAsia="Times New Roman" w:hAnsi="Times New Roman"/>
          <w:sz w:val="18"/>
          <w:szCs w:val="18"/>
          <w:i w:val="1"/>
          <w:iCs w:val="1"/>
          <w:color w:val="auto"/>
        </w:rPr>
        <w:t>Intangibles – Goodwill and Other – Internal Use Software</w:t>
      </w:r>
      <w:r>
        <w:rPr>
          <w:rFonts w:ascii="Times New Roman" w:cs="Times New Roman" w:eastAsia="Times New Roman" w:hAnsi="Times New Roman"/>
          <w:sz w:val="18"/>
          <w:szCs w:val="18"/>
          <w:color w:val="auto"/>
        </w:rPr>
        <w:t>, but these are limited in quantum as we are constantly and regularly making enhancements to our technology platform and do not consider them appropriate to be capitalized. To the limited extent any costs are capitalized, the costs are generally amortized over a three-year period commencing on the date that the specific software product is placed in service. We believe that continued investment in our platform is important for our growth.</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2025, compared to Three Months Ended September 30,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5,871</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asset disposal</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after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were $5.9 million for the three months ended September 30, 2025, compared with $6.1 million for the comparable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a 4% decrease. The decline was primarily attributable to lower subscription revenue, which decreased 9% year over year to $4.6 million from $5.0 million, reflecting continued pressure on client budgets in the regulated sectors. Subscription revenue represented 78% of total revenue for the three months ended September 30, 2025, compared with 82% in the prior-year period. Excess-use revenue increased 8% year over year as customers exceeded the allotted message volumes on the subscriptions. Excess use revenue represented 10% of total revenue for the three months ended September 30, 2025, compared with 9% in the same period last year.</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revenue retention rate was 83% for the twelve months ended September 30, 2025, compared with 88% for the twelve months ended September 30, 2024, reflecting the continuing challenging macroeconomic conditions of the regulated markets, including the cannabis market and the financial stress of some of our retail clients leading to the Company having to suspend or cease some access to our platform.</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was $4.1 million for the three months ended September 30, 2025, compared with $4.4 million in 2024, a 7% decline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revenue reduction. Gross margin improved slightly to 74% from 73% in the prior-year quarter, driven by lower messaging distribution costs and ongoing infrastructure optimization initiatives.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Total operating expenses were $3.6 million for the three months ended September 30, 2025, compared with $4.5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20% decrease, reflecting lower spending across all major categories.</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22% to $0.8 million from $1.1 million in the prior-year period, primarily due to lower personnel-related costs and variable compensation expense.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Technology and software development expenses decreased 33% to $1.1 million from $1.6 million, reflecting reduced use of offshore development resources and headcount rationalization.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decreased 7% to $1.6 million from $1.8 million, primarily due to lower overhead and facilities costs following the lease agreement in June 2025, as well as other cost management initiatives.,</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$0.3 million for the quarter ended September 30, 2025, compared with $0.6 million for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with the reduction being due to the high interest-bearing cash advances outstanding during the prior year having been fully repaid during the second half of 2024.</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September 30, 2025, the market value of the public warrants, which are quoted for trading on the OTC Pink Market, was $0.0013 per warrant which was above the quoted price at December 31, 2024. Therefore, an estimate of approximately $10,000 was recorded to our income statement for the three months ended September 30, 2025.</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2025, compared to Nine Months Ended September 30,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17,221</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18,962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(1,741)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4,434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5,150</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4,576</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6,722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5,889</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13,377</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(1,969)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(1,573)</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asset disposal</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Revenues were $17.2 million for the nine months ended September 30, 2025, compared with $19.0 million for the same period in 2024, representing a 9% decrease. The reduction was driven primarily by a 14% decline in subscription revenue, which totaled $13.5 million in 2025 versus $15.7 million in 2024. Excess-use revenue also declined 6% with less subscription revenue to drive excess. Excess use revenue represented 10% of total revenue for the nine months ended September 30, 2025 and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was $12.8 million for the nine months ended September 30, 2025, compared with $13.8 million in 2024, a 7% decline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lower revenue base. Gross margin improved to 76% from 73%, reflecting continued efficiency gains in messaging costs and platform hosting.</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decreased by $0.8 million, or 6%, for the nine months ended September 30, 2025, compared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$0.7 million, or 18%, for the quarter ended September 30, 2025, compared to the same period in 2024, due to decreased variable compensation expense as a result of lower headcount throughout the period.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Technology and software development expenses decreased 21% to $3.6 million from $4.6 million with the decrease being attributable to lower expenses associated with the use of offshore contract developers and a reduction in technology related expense.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$.8 million, or 14%, for the nine months ended September 30, 2025, compared to the same period in 2024. The expenses in the nine months ended September 30, 2025, included $0.8 million relating to the separation agreement with the former CEO, CFO, and other personnel, and the lease termination fee of $0.6 million; excluding these expense the decrease was $0.6 million, or 12%, compared to the same period in 2024.</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$1.0 million for the nine months ended September 30, 2025, compared with $1.9 million for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with the reduction being due to the high interest-bearing cash advances outstanding during the prior year having been fully repaid during the second half of 2024.</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September 30, 2025, the market value of the public warrants, which are quoted for trading on the OTC Pink Market, was $0.0013 per warrant which was above the quoted price at December 31, 2024. Therefore, an estimate of approximately $10,000 was recorded to our income statement for the three months ended September 30, 2025.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 as we continue to grow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2023, SpringBig raised gross cash proceeds of approximately $3.0 million through a public equity offering and in addition $1.25 million of the outstanding principal of the 6% Senior Secured Convertible Note was converted into common shares. In aggregate, 14.0 million common shares were issued, of which, approximately 1.0 million related to conversion of a portion of the 6% Senior Secured Convertible Note to common shares on June 15, 2023. The cash proceeds from the public equity offering, after payment of transaction related fees, were $2.5 million and these funds were in part used to make further repayments of principal of the 6% Senior Secured Convertible Note and in part for general corporate purposes.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 September 30, 2024, the total outstanding amount payable to Cedar was $49,000. The outstanding amount was fully repaid during the year ended December 31, 2024.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September 30, 2024 the total outstanding amount payable to ACF was $0. The outstanding amount was fully repaid during the year ended December 31,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16, 2024, we entered into an agreement with the note holder to repurchase the entire outstanding principal of the 6% Senior Secured Notes and cancel the associated warrants. The outstanding principal and accrued interest was $5.2 million. SpringBig, using a portion of the proceeds from the 2024 Convertible Notes, purchased the entire outstanding obligation to the note holder for $2.9 million.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raised $6.4 million through the issuance of 2024 Convertible Notes and $1.6 million through the issuance of 2024 Term Notes. The net cash proceeds, after transaction expenses, were $7.2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2024 Convertible Notes accrue interest which is added to the outstanding principal balance semi-annually. The Notes are convertible into common stock at a conversion price of $0.15 per share at the holder’s option any time up to the day prior to maturity, initially in January 2026. The 2024 Term Notes, initially due at issuance in January 2026, accrue interest payable in cash semi-annually. The 2024 Convertible Notes and 2024 Term Notes rank pari passu and are secured by substantially all the assets of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2024 Secured Term Notes, without penalty, at any time after February 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summarizes our cash, accounts receivable, and working capital at September 30, 2025, and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2024 Convertible Notes and 2024 Term Notes also contain a number of restrictive covenants that may impose significant restrictions on obtaining future financings, including restrictions on SpringBig’s ability to do any of each following while the 2024 Convertible Notes and 2024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three months ended September 30, 2025, and 2024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8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2025, the net loss was $1.7 million, and the cash from operating activities was $0.4 million. The difference of $2.1 million is due to a $0.1 million decrease in working capital and $2.0 million of non-cash items (including depreciation, amortization and stock-based compensation).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2024, the net loss was $0.7 million, and the cash used in operating activities was $1.3 million. The difference of $0.6 million is due to the $1.6 million gain on the repurchase of the 6% Secured Convertible Note in January 2024, the cash benefit of which is reflected in financing activities, and a $1.0 million increase in working capital (primarily due to reduced payables) being offset by $2.0 million of non-cash items(including depreciation, amortization, stock-based compensation and change in the fair value of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SpringBig has low capital investment requirements, with our needs being comprised primarily of computer equipment and office furniture and related items. Cash used in investing activities was $28,000 for the nine months ended September 30, 2025, and $64,000 for the nine months ended September 30,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cash flows due to financing activities during the nine months ended September 30, 2025.</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net cash provided by financing activities was $1.9 million. The proceeds of $7.2 million, net of expenses, from the issuance of the $1.6 million aggregate principal amount of 12% Secured Term Notes, due 2026, and $6.4 million aggregate principal amount of 8% Secured Convertible Notes, due 2026, were in part used to repay the 6% Senior Secured Convertible and associated warrants for cash consideration of $2.9 million. The short-term cash advances were repaid by $1.9 million, and we repaid a related party loan of$0.5 million. The outstanding balance at September 30, 2024, on the short-term cash advances was $49,000 and this was fully repaid during October 2024.</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2025,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condensed consolidated financial statements. Therefore, we consider the policies related to these financial areas to be our critical accounting policies.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w:t>
      </w:r>
      <w:r>
        <w:rPr>
          <w:rFonts w:ascii="Times New Roman" w:cs="Times New Roman" w:eastAsia="Times New Roman" w:hAnsi="Times New Roman"/>
          <w:sz w:val="18"/>
          <w:szCs w:val="18"/>
          <w:i w:val="1"/>
          <w:iCs w:val="1"/>
          <w:color w:val="auto"/>
        </w:rPr>
        <w:t>ASU 2016-17,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guidance requires that all deferred tax assets and liabilities, along with any related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be classified as noncurrent on the balance sheet. As a result, each jurisdiction will only have one net noncurrent deferred tax asset or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September 30, 2025, and 2024, there are no uncertain tax positions taken, or expected to be taken, that would require recognition of a liability or disclosure in the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ASC 718, Compensation - Stock Compensation, </w:t>
      </w:r>
      <w:r>
        <w:rPr>
          <w:rFonts w:ascii="Times New Roman" w:cs="Times New Roman" w:eastAsia="Times New Roman" w:hAnsi="Times New Roman"/>
          <w:sz w:val="18"/>
          <w:szCs w:val="18"/>
          <w:color w:val="auto"/>
        </w:rPr>
        <w:t>addresses accounting for share-based awards, including stock options, restricted stock,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condensed consolidated statements of operations.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time-based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 Market-Based Vesting 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and April 2025, the Company granted market-based restricted stock units (“RSUs”) to certain executives. The awards vest in multiple tranches upon the Company’s common stock achieving specified volume-weighted average price (“VWAP”) targets for at least twenty consecutive trading days during the ten-year contractual term, subject to continued service. If the applicable target is not achieved prior to expiration, the corresponding tranche will be forfeited.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grant-date fair values of the awards were determined using a Monte Carlo simulation model incorporating assumptions regarding expected volatility, risk-free interest rates, and other factors. In accordance with ASC 718, the total grant-date fair value is recognized over the derived service periods for each tranche, regardless of whether the market conditions are ultimately satisfied.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introducing a practical expedient and an accounting policy election for certain entities in estimating expected credit losses for current accounts receivable and current contract assets arising from transactions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is currently evaluating the impact this ASU will have on its consolidated financial statements and related disclosures.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Chief Executive Officer (our principal executive officer) and Chief Financial Officer (our principal financial and accounting officer) evaluated the effectiveness of our “disclosure controls and procedures” (as defined in the Exchange Act Rules 13a-15(e) and 15d-15(e)) as of September 30, 2025,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2024, for a description of the Company’s material weaknesses in internal control over financial reporting.</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2025,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developments to legal proceedings during the nine months ended September 30, 2025, see “Litigation” under Note 15, “Commitments and Contingencies” to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involves a high degree of risk. You should carefully consider the risks described under the caption “Risk Factors” in Part I, Item 1A of our Annual Report on Form 10-K for the year ended December 31, 2024, as well as the risks, uncertainties and other information set forth in this Item 1A and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9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9040" w:type="dxa"/>
            <w:vAlign w:val="bottom"/>
            <w:gridSpan w:val="22"/>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860" w:type="dxa"/>
            <w:vAlign w:val="bottom"/>
          </w:tcPr>
          <w:p>
            <w:pPr>
              <w:spacing w:after="0"/>
              <w:rPr>
                <w:sz w:val="24"/>
                <w:szCs w:val="24"/>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gridSpan w:val="13"/>
          </w:tcPr>
          <w:p>
            <w:pPr>
              <w:ind w:left="16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SEC File #</w:t>
            </w:r>
          </w:p>
        </w:tc>
      </w:tr>
      <w:tr>
        <w:trPr>
          <w:trHeight w:val="175"/>
        </w:trPr>
        <w:tc>
          <w:tcPr>
            <w:tcW w:w="8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auto"/>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Incorporation of SpringBig Holdings, Inc.</w:t>
              </w:r>
            </w:hyperlink>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4"/>
              </w:rPr>
              <w:t>10-K</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5"/>
                <w:szCs w:val="15"/>
                <w:color w:val="auto"/>
              </w:rPr>
            </w:pPr>
          </w:p>
        </w:tc>
        <w:tc>
          <w:tcPr>
            <w:tcW w:w="4980" w:type="dxa"/>
            <w:vAlign w:val="bottom"/>
            <w:gridSpan w:val="14"/>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By-Laws of SpringBig Holdings, Inc.</w:t>
              </w:r>
            </w:hyperlink>
          </w:p>
        </w:tc>
        <w:tc>
          <w:tcPr>
            <w:tcW w:w="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4"/>
              </w:rPr>
              <w:t>10-K</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3.2</w:t>
            </w:r>
          </w:p>
        </w:tc>
        <w:tc>
          <w:tcPr>
            <w:tcW w:w="100" w:type="dxa"/>
            <w:vAlign w:val="bottom"/>
          </w:tcPr>
          <w:p>
            <w:pPr>
              <w:spacing w:after="0"/>
              <w:rPr>
                <w:sz w:val="15"/>
                <w:szCs w:val="15"/>
                <w:color w:val="auto"/>
              </w:rPr>
            </w:pPr>
          </w:p>
        </w:tc>
        <w:tc>
          <w:tcPr>
            <w:tcW w:w="11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5"/>
                <w:szCs w:val="15"/>
                <w:color w:val="auto"/>
              </w:rPr>
            </w:pPr>
          </w:p>
        </w:tc>
        <w:tc>
          <w:tcPr>
            <w:tcW w:w="49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Offer Letter between SpringBig Holdings, Inc. and James Cabral.</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13,</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5"/>
                <w:szCs w:val="15"/>
                <w:color w:val="auto"/>
              </w:rPr>
            </w:pPr>
          </w:p>
        </w:tc>
        <w:tc>
          <w:tcPr>
            <w:tcW w:w="4980" w:type="dxa"/>
            <w:vAlign w:val="bottom"/>
            <w:gridSpan w:val="14"/>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Offer Letter between SpringBig Holdings, Inc. and Jason Moos.</w:t>
              </w:r>
            </w:hyperlink>
          </w:p>
        </w:tc>
        <w:tc>
          <w:tcPr>
            <w:tcW w:w="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5"/>
                <w:szCs w:val="15"/>
                <w:color w:val="auto"/>
              </w:rPr>
            </w:pPr>
          </w:p>
        </w:tc>
        <w:tc>
          <w:tcPr>
            <w:tcW w:w="11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13,</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6"/>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486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Equity Purchase Agreement, dated as of July 31, 2025, by and</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August 6,</w:t>
            </w: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8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among  SpringBig  Holdings,  Inc.,  VICE  CRM,  LLC,  Jaret</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98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Christopher, David Schachter, and Luis Aristides Diaz Madrid.</w:t>
              </w:r>
            </w:hyperlink>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tcPr>
          <w:p>
            <w:pPr>
              <w:spacing w:after="0"/>
              <w:rPr>
                <w:sz w:val="15"/>
                <w:szCs w:val="15"/>
                <w:color w:val="auto"/>
              </w:rPr>
            </w:pPr>
          </w:p>
        </w:tc>
        <w:tc>
          <w:tcPr>
            <w:tcW w:w="49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w:t>
            </w:r>
          </w:p>
        </w:tc>
        <w:tc>
          <w:tcPr>
            <w:tcW w:w="200" w:type="dxa"/>
            <w:vAlign w:val="bottom"/>
            <w:tcBorders>
              <w:bottom w:val="single" w:sz="8" w:color="CCEEFF"/>
            </w:tcBorders>
            <w:gridSpan w:val="4"/>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98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Pr>
          <w:p>
            <w:pPr>
              <w:spacing w:after="0"/>
              <w:rPr>
                <w:sz w:val="15"/>
                <w:szCs w:val="15"/>
                <w:color w:val="auto"/>
              </w:rPr>
            </w:pPr>
          </w:p>
        </w:tc>
        <w:tc>
          <w:tcPr>
            <w:tcW w:w="49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w:t>
            </w:r>
          </w:p>
        </w:tc>
        <w:tc>
          <w:tcPr>
            <w:tcW w:w="200" w:type="dxa"/>
            <w:vAlign w:val="bottom"/>
            <w:tcBorders>
              <w:bottom w:val="single" w:sz="8" w:color="CCEEFF"/>
            </w:tcBorders>
            <w:gridSpan w:val="4"/>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98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5"/>
                <w:szCs w:val="15"/>
                <w:color w:val="auto"/>
              </w:rPr>
            </w:pPr>
          </w:p>
        </w:tc>
        <w:tc>
          <w:tcPr>
            <w:tcW w:w="4980" w:type="dxa"/>
            <w:vAlign w:val="bottom"/>
            <w:gridSpan w:val="14"/>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Email from Jeffrey Harris, dated July 29, 2025.</w:t>
              </w:r>
            </w:hyperlink>
          </w:p>
        </w:tc>
        <w:tc>
          <w:tcPr>
            <w:tcW w:w="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8-K/A</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15"/>
                <w:szCs w:val="15"/>
                <w:color w:val="auto"/>
              </w:rPr>
            </w:pPr>
          </w:p>
        </w:tc>
        <w:tc>
          <w:tcPr>
            <w:tcW w:w="11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August 13,</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6"/>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99.2</w:t>
            </w:r>
          </w:p>
        </w:tc>
        <w:tc>
          <w:tcPr>
            <w:tcW w:w="100" w:type="dxa"/>
            <w:vAlign w:val="bottom"/>
            <w:shd w:val="clear" w:color="auto" w:fill="CCEEFF"/>
          </w:tcPr>
          <w:p>
            <w:pPr>
              <w:spacing w:after="0"/>
              <w:rPr>
                <w:sz w:val="15"/>
                <w:szCs w:val="15"/>
                <w:color w:val="auto"/>
              </w:rPr>
            </w:pPr>
          </w:p>
        </w:tc>
        <w:tc>
          <w:tcPr>
            <w:tcW w:w="49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Letter from Jeffrey Harris, dated August 11, 2025.</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8-K/A</w:t>
            </w: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August 13,</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shd w:val="clear" w:color="auto" w:fill="CCEEFF"/>
          </w:tcPr>
          <w:p>
            <w:pPr>
              <w:spacing w:after="0"/>
              <w:rPr>
                <w:sz w:val="18"/>
                <w:szCs w:val="18"/>
                <w:color w:val="auto"/>
              </w:rPr>
            </w:pPr>
          </w:p>
        </w:tc>
        <w:tc>
          <w:tcPr>
            <w:tcW w:w="49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shd w:val="clear" w:color="auto" w:fill="CCEEFF"/>
          </w:tcPr>
          <w:p>
            <w:pPr>
              <w:spacing w:after="0"/>
              <w:rPr>
                <w:sz w:val="18"/>
                <w:szCs w:val="18"/>
                <w:color w:val="auto"/>
              </w:rPr>
            </w:pPr>
          </w:p>
        </w:tc>
        <w:tc>
          <w:tcPr>
            <w:tcW w:w="49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8"/>
                <w:szCs w:val="18"/>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18"/>
                <w:szCs w:val="18"/>
                <w:color w:val="auto"/>
              </w:rPr>
            </w:pPr>
          </w:p>
        </w:tc>
        <w:tc>
          <w:tcPr>
            <w:tcW w:w="49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4980" w:type="dxa"/>
            <w:vAlign w:val="bottom"/>
            <w:gridSpan w:val="14"/>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Jaret Christopher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Jaret Christopher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Moos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Jason Moos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Jaret Christopher, certify that:</w:t>
      </w:r>
    </w:p>
    <w:p>
      <w:pPr>
        <w:spacing w:after="0" w:line="225" w:lineRule="exact"/>
        <w:rPr>
          <w:sz w:val="20"/>
          <w:szCs w:val="20"/>
          <w:color w:val="auto"/>
        </w:rPr>
      </w:pPr>
    </w:p>
    <w:p>
      <w:pPr>
        <w:ind w:left="580" w:hanging="275"/>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2025, of SpringBig Holdings, Inc.;</w:t>
      </w:r>
    </w:p>
    <w:p>
      <w:pPr>
        <w:spacing w:after="0" w:line="225" w:lineRule="exact"/>
        <w:rPr>
          <w:rFonts w:ascii="Times New Roman" w:cs="Times New Roman" w:eastAsia="Times New Roman" w:hAnsi="Times New Roman"/>
          <w:sz w:val="18"/>
          <w:szCs w:val="18"/>
          <w:color w:val="auto"/>
        </w:rPr>
      </w:pPr>
    </w:p>
    <w:p>
      <w:pPr>
        <w:jc w:val="both"/>
        <w:ind w:left="580" w:hanging="275"/>
        <w:spacing w:after="0" w:line="266"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hanging="275"/>
        <w:spacing w:after="0" w:line="28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hanging="275"/>
        <w:spacing w:after="0" w:line="266"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80" w:hanging="292"/>
        <w:spacing w:after="0" w:line="266" w:lineRule="auto"/>
        <w:tabs>
          <w:tab w:leader="none" w:pos="8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80" w:hanging="292"/>
        <w:spacing w:after="0" w:line="266" w:lineRule="auto"/>
        <w:tabs>
          <w:tab w:leader="none" w:pos="8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80" w:hanging="292"/>
        <w:spacing w:after="0" w:line="282" w:lineRule="auto"/>
        <w:tabs>
          <w:tab w:leader="none" w:pos="8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80" w:hanging="292"/>
        <w:spacing w:after="0" w:line="266" w:lineRule="auto"/>
        <w:tabs>
          <w:tab w:leader="none" w:pos="8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580" w:hanging="275"/>
        <w:spacing w:after="0" w:line="28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880" w:right="20" w:hanging="292"/>
        <w:spacing w:after="0" w:line="282" w:lineRule="auto"/>
        <w:tabs>
          <w:tab w:leader="none" w:pos="8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hanging="292"/>
        <w:spacing w:after="0" w:line="282" w:lineRule="auto"/>
        <w:tabs>
          <w:tab w:leader="none" w:pos="8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Jaret Christopher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Moos, certify that:</w:t>
      </w:r>
    </w:p>
    <w:p>
      <w:pPr>
        <w:spacing w:after="0" w:line="225" w:lineRule="exact"/>
        <w:rPr>
          <w:sz w:val="20"/>
          <w:szCs w:val="20"/>
          <w:color w:val="auto"/>
        </w:rPr>
      </w:pPr>
    </w:p>
    <w:p>
      <w:pPr>
        <w:ind w:left="580" w:hanging="275"/>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2025, of SpringBig Holdings, Inc.;</w:t>
      </w:r>
    </w:p>
    <w:p>
      <w:pPr>
        <w:spacing w:after="0" w:line="225" w:lineRule="exact"/>
        <w:rPr>
          <w:rFonts w:ascii="Times New Roman" w:cs="Times New Roman" w:eastAsia="Times New Roman" w:hAnsi="Times New Roman"/>
          <w:sz w:val="18"/>
          <w:szCs w:val="18"/>
          <w:color w:val="auto"/>
        </w:rPr>
      </w:pPr>
    </w:p>
    <w:p>
      <w:pPr>
        <w:jc w:val="both"/>
        <w:ind w:left="580" w:hanging="275"/>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275"/>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hanging="275"/>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80" w:hanging="292"/>
        <w:spacing w:after="0" w:line="266"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80" w:hanging="292"/>
        <w:spacing w:after="0" w:line="266"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80" w:hanging="292"/>
        <w:spacing w:after="0" w:line="282"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80" w:hanging="292"/>
        <w:spacing w:after="0" w:line="266"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580" w:hanging="275"/>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880" w:right="20" w:hanging="292"/>
        <w:spacing w:after="0" w:line="282"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hanging="292"/>
        <w:spacing w:after="0" w:line="282"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Jason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Moos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 S. C. Section 1350, 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Jaret Christopher, hereby certify that, to the best of my knowledge, SpringBig Holdings, Inc’s Quarterly Report on Form 10-Q for the three months ended September 30, 2025 (the Report), as filed with the Securities and Exchange Commission on November 13, 2025,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Jaret Christopher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Jaret Christopher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18 U. S. C. Section 1350, 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Jason Moos, hereby certify that, to the best of my knowledge, SpringBig Holdings, Inc’s Quarterly Report on Form 10-Q for the three months ended September 30, 2025 (the Report), as filed with the Securities and Exchange Commission on November 13, 2025,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Jason Moos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13,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57" Type="http://schemas.openxmlformats.org/officeDocument/2006/relationships/hyperlink" Target="https://www.sec.gov/Archives/edgar/data/1801602/000162828024013998/exhibit31certificateofinco.htm" TargetMode="External"/><Relationship Id="rId58" Type="http://schemas.openxmlformats.org/officeDocument/2006/relationships/hyperlink" Target="https://www.sec.gov/Archives/edgar/data/1801602/000162828024013998/exhibit32bylaws1.htm" TargetMode="External"/><Relationship Id="rId59" Type="http://schemas.openxmlformats.org/officeDocument/2006/relationships/hyperlink" Target="https://www.sec.gov/Archives/edgar/data/1801602/000121390025042733/ea024190101ex10-1_spring.htm" TargetMode="External"/><Relationship Id="rId60" Type="http://schemas.openxmlformats.org/officeDocument/2006/relationships/hyperlink" Target="https://www.sec.gov/Archives/edgar/data/1801602/000121390025042733/ea024190101ex10-2_spring.htm" TargetMode="External"/><Relationship Id="rId61" Type="http://schemas.openxmlformats.org/officeDocument/2006/relationships/hyperlink" Target="https://www.sec.gov/Archives/edgar/data/1801602/000121390025072627/ea025206501ex10-1_spring.htm" TargetMode="External"/><Relationship Id="rId62" Type="http://schemas.openxmlformats.org/officeDocument/2006/relationships/hyperlink" Target="https://www.sec.gov/Archives/edgar/data/1801602/000121390025075833/ea025303601ex17-1_spring.htm" TargetMode="External"/><Relationship Id="rId63" Type="http://schemas.openxmlformats.org/officeDocument/2006/relationships/hyperlink" Target="https://www.sec.gov/Archives/edgar/data/1801602/000121390025075833/ea025303601ex17-2_spr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2025-11-14T05:25:37Z</dcterms:created>
  <dcterms:modified xsi:type="dcterms:W3CDTF">2025-11-14T05:25:37Z</dcterms:modified>
</cp:coreProperties>
</file>