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49652-10q_springbig.htm"/>
      <w:bookmarkStart w:id="1" w:name="ksea024965210q_springbig"/>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quarter ended </w:t>
      </w:r>
      <w:r>
        <w:rPr>
          <w:rFonts w:ascii="Times New Roman;Times;Serif" w:hAnsi="Times New Roman;Times;Serif"/>
          <w:b w:val="false"/>
          <w:i w:val="false"/>
          <w:caps w:val="false"/>
          <w:smallCaps w:val="false"/>
          <w:sz w:val="20"/>
        </w:rPr>
        <w:t>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001-40049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3925" w:type="dxa"/>
        <w:jc w:val="left"/>
        <w:tblInd w:w="0" w:type="dxa"/>
        <w:tblLayout w:type="fixed"/>
        <w:tblCellMar>
          <w:top w:w="0" w:type="dxa"/>
          <w:left w:w="0" w:type="dxa"/>
          <w:bottom w:w="28" w:type="dxa"/>
          <w:right w:w="0" w:type="dxa"/>
        </w:tblCellMar>
      </w:tblPr>
      <w:tblGrid>
        <w:gridCol w:w="2240"/>
        <w:gridCol w:w="90"/>
        <w:gridCol w:w="1595"/>
      </w:tblGrid>
      <w:tr>
        <w:trPr/>
        <w:tc>
          <w:tcPr>
            <w:tcW w:w="22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88-2789488</w:t>
            </w:r>
          </w:p>
        </w:tc>
      </w:tr>
      <w:tr>
        <w:trPr/>
        <w:tc>
          <w:tcPr>
            <w:tcW w:w="2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45"/>
        <w:gridCol w:w="90"/>
        <w:gridCol w:w="905"/>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621 NW 53rd Street</w:t>
            </w:r>
          </w:p>
        </w:tc>
        <w:tc>
          <w:tcPr>
            <w:tcW w:w="9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pPr>
            <w:r>
              <w:rPr/>
              <w:t> </w:t>
            </w:r>
          </w:p>
        </w:tc>
      </w:tr>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Ste. 500</w:t>
            </w:r>
          </w:p>
        </w:tc>
        <w:tc>
          <w:tcPr>
            <w:tcW w:w="9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Boca Raton, Florida</w:t>
            </w:r>
          </w:p>
        </w:tc>
        <w:tc>
          <w:tcPr>
            <w:tcW w:w="90" w:type="dxa"/>
            <w:tcBorders/>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33487</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(800) 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05"/>
        <w:gridCol w:w="1850"/>
        <w:gridCol w:w="260"/>
        <w:gridCol w:w="2255"/>
        <w:gridCol w:w="305"/>
      </w:tblGrid>
      <w:tr>
        <w:trPr/>
        <w:tc>
          <w:tcPr>
            <w:tcW w:w="10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both"/>
              <w:rPr/>
            </w:pPr>
            <w:r>
              <w:rPr/>
              <w:t>☐</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both"/>
              <w:rPr/>
            </w:pPr>
            <w:r>
              <w:rPr/>
              <w:t>☐</w:t>
            </w:r>
          </w:p>
        </w:tc>
      </w:tr>
      <w:tr>
        <w:trPr/>
        <w:tc>
          <w:tcPr>
            <w:tcW w:w="10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both"/>
              <w:rPr/>
            </w:pPr>
            <w:r>
              <w:rPr/>
              <w:t>☒</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both"/>
              <w:rPr/>
            </w:pPr>
            <w:r>
              <w:rPr/>
              <w:t>☒</w:t>
            </w:r>
          </w:p>
        </w:tc>
      </w:tr>
      <w:tr>
        <w:trPr/>
        <w:tc>
          <w:tcPr>
            <w:tcW w:w="10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there were 46,926,002 shares of common stock, $0.0001 par value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
        <w:gridCol w:w="90"/>
        <w:gridCol w:w="8825"/>
        <w:gridCol w:w="90"/>
        <w:gridCol w:w="516"/>
      </w:tblGrid>
      <w:tr>
        <w:trPr/>
        <w:tc>
          <w:tcPr>
            <w:tcW w:w="6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sz w:val="20"/>
                </w:rPr>
                <w:t>Part I – Financial Information</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pPr>
            <w:r>
              <w:rPr/>
              <w:t> </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02">
              <w:r>
                <w:rPr>
                  <w:rStyle w:val="InternetLink"/>
                  <w:rFonts w:ascii="Times New Roman;Times;Serif" w:hAnsi="Times New Roman;Times;Serif"/>
                  <w:sz w:val="20"/>
                </w:rPr>
                <w:t>Financial Statements (Unaudited)</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Condensed Consolidated Balance Sheets as of June 30, 2025, and December 31, 2024</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04">
              <w:r>
                <w:rPr>
                  <w:rStyle w:val="InternetLink"/>
                  <w:rFonts w:ascii="Times New Roman;Times;Serif" w:hAnsi="Times New Roman;Times;Serif"/>
                  <w:sz w:val="20"/>
                </w:rPr>
                <w:t>Condensed Consolidated Statements of Operations for the three and six months ended June 30, 2025, and 2024</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c>
          <w:tcPr>
            <w:tcW w:w="882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Condensed Consolidated Statements of Changes in Stockholder’s Deficit for the three and six months ended June 30, 2025, and 2024</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06">
              <w:r>
                <w:rPr>
                  <w:rStyle w:val="InternetLink"/>
                  <w:rFonts w:ascii="Times New Roman;Times;Serif" w:hAnsi="Times New Roman;Times;Serif"/>
                  <w:sz w:val="20"/>
                </w:rPr>
                <w:t>Condensed Consolidated Statements of Cash Flows for the six months ended June 30, 2025, and 2024</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sz w:val="20"/>
                </w:rPr>
                <w:t>Notes to the Condensed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sz w:val="20"/>
                </w:rPr>
                <w:t>Quantitative and Qualitative Disclosure About Market Risk</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10">
              <w:r>
                <w:rPr>
                  <w:rStyle w:val="InternetLink"/>
                  <w:rFonts w:ascii="Times New Roman;Times;Serif" w:hAnsi="Times New Roman;Times;Serif"/>
                  <w:sz w:val="20"/>
                </w:rPr>
                <w:t>Controls and Procedures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sz w:val="20"/>
                </w:rPr>
                <w:t>Part II – Other Information</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pPr>
            <w:r>
              <w:rPr/>
              <w:t> </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12">
              <w:r>
                <w:rPr>
                  <w:rStyle w:val="InternetLink"/>
                  <w:rFonts w:ascii="Times New Roman;Times;Serif" w:hAnsi="Times New Roman;Times;Serif"/>
                  <w:sz w:val="20"/>
                </w:rPr>
                <w:t>Legal Proceedings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sz w:val="20"/>
                </w:rPr>
                <w:t>Risk Factors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14">
              <w:r>
                <w:rPr>
                  <w:rStyle w:val="InternetLink"/>
                  <w:rFonts w:ascii="Times New Roman;Times;Serif" w:hAnsi="Times New Roman;Times;Serif"/>
                  <w:sz w:val="20"/>
                </w:rPr>
                <w:t>Unregistered Sales of Equity Securities and Use of Proceeds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sz w:val="20"/>
                </w:rPr>
                <w:t>Defaults Upon Senior Securities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16">
              <w:r>
                <w:rPr>
                  <w:rStyle w:val="InternetLink"/>
                  <w:rFonts w:ascii="Times New Roman;Times;Serif" w:hAnsi="Times New Roman;Times;Serif"/>
                  <w:sz w:val="20"/>
                </w:rPr>
                <w:t>Mine Safety Disclosures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sz w:val="20"/>
                </w:rPr>
                <w:t>Other Information</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9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both"/>
              <w:rPr/>
            </w:pPr>
            <w:hyperlink w:anchor="a_018">
              <w:r>
                <w:rPr>
                  <w:rStyle w:val="InternetLink"/>
                  <w:rFonts w:ascii="Times New Roman;Times;Serif" w:hAnsi="Times New Roman;Times;Serif"/>
                  <w:sz w:val="20"/>
                </w:rPr>
                <w:t>Exhibits</w:t>
              </w:r>
            </w:hyperlink>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8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sz w:val="20"/>
                </w:rPr>
                <w:t>Signatures</w:t>
              </w:r>
            </w:hyperlink>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and our financial condition to differ materially from those indicated in our forward-looking statements include, but are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trends in the regulated industries and SpringBig’s market size, including with respect to the potential total addressable market in the industry;</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05"/>
        <w:gridCol w:w="200"/>
        <w:gridCol w:w="2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SpringBig’s growth prospects;</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product and service offerings SpringBig may introduce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implement business plans, forecasts, and other expectations, and identify and realize additional opportunities;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indicated from time to time in filings made with the Securities and Exchange Commission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8"/>
        <w:gridCol w:w="90"/>
        <w:gridCol w:w="208"/>
        <w:gridCol w:w="967"/>
        <w:gridCol w:w="125"/>
        <w:gridCol w:w="90"/>
        <w:gridCol w:w="257"/>
        <w:gridCol w:w="1188"/>
        <w:gridCol w:w="172"/>
      </w:tblGrid>
      <w:tr>
        <w:trPr/>
        <w:tc>
          <w:tcPr>
            <w:tcW w:w="7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72" w:type="dxa"/>
            <w:tcBorders/>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1,383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1,179</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Accounts receivable, net of allowance of $209 and $426, respectively</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2,213</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188</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tcMar>
              <w:bottom w:w="28" w:type="dxa"/>
            </w:tcMar>
            <w:vAlign w:val="center"/>
          </w:tcPr>
          <w:p>
            <w:pPr>
              <w:pStyle w:val="TableContents"/>
              <w:bidi w:val="0"/>
              <w:spacing w:before="0" w:after="283"/>
              <w:jc w:val="right"/>
              <w:rPr/>
            </w:pPr>
            <w:r>
              <w:rPr/>
              <w:t>453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284</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4,134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3,864</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Right of use asset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470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2,757</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204</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67" w:type="dxa"/>
            <w:tcBorders>
              <w:bottom w:val="double" w:sz="10" w:space="0" w:color="000000"/>
            </w:tcBorders>
            <w:tcMar>
              <w:bottom w:w="28" w:type="dxa"/>
            </w:tcMar>
            <w:vAlign w:val="center"/>
          </w:tcPr>
          <w:p>
            <w:pPr>
              <w:pStyle w:val="TableContents"/>
              <w:bidi w:val="0"/>
              <w:spacing w:before="0" w:after="283"/>
              <w:jc w:val="right"/>
              <w:rPr>
                <w:b/>
              </w:rPr>
            </w:pPr>
            <w:r>
              <w:rPr>
                <w:b/>
              </w:rPr>
              <w:t>4,629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88" w:type="dxa"/>
            <w:tcBorders>
              <w:bottom w:val="double" w:sz="10" w:space="0" w:color="000000"/>
            </w:tcBorders>
            <w:tcMar>
              <w:bottom w:w="28" w:type="dxa"/>
            </w:tcMar>
            <w:vAlign w:val="center"/>
          </w:tcPr>
          <w:p>
            <w:pPr>
              <w:pStyle w:val="TableContents"/>
              <w:bidi w:val="0"/>
              <w:spacing w:before="0" w:after="283"/>
              <w:jc w:val="right"/>
              <w:rPr>
                <w:b/>
              </w:rPr>
            </w:pPr>
            <w:r>
              <w:rPr>
                <w:b/>
              </w:rPr>
              <w:t>6,825</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center"/>
              <w:rPr>
                <w:b/>
              </w:rPr>
            </w:pPr>
            <w:r>
              <w:rPr>
                <w:b/>
              </w:rPr>
              <w:t>LIABILITIES AND STOCKHOLDERS’ DEFICIT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67" w:type="dxa"/>
            <w:tcBorders/>
            <w:vAlign w:val="center"/>
          </w:tcPr>
          <w:p>
            <w:pPr>
              <w:pStyle w:val="TableContents"/>
              <w:bidi w:val="0"/>
              <w:spacing w:before="0" w:after="283"/>
              <w:jc w:val="right"/>
              <w:rPr/>
            </w:pPr>
            <w:r>
              <w:rPr/>
              <w:t>806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924</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2,630</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Deferred payroll tax credits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1,979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1,751</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Operating lease liability, current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365</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6,966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5,670</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Long-term debt, non-current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8,730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8,364</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Operating lease liability, non-current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2,551</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Warant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tcMar>
              <w:bottom w:w="28" w:type="dxa"/>
            </w:tcMar>
            <w:vAlign w:val="center"/>
          </w:tcPr>
          <w:p>
            <w:pPr>
              <w:pStyle w:val="TableContents"/>
              <w:bidi w:val="0"/>
              <w:spacing w:before="0" w:after="283"/>
              <w:jc w:val="right"/>
              <w:rPr/>
            </w:pPr>
            <w:r>
              <w:rPr/>
              <w:t>15,956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16,596</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Stockholders’ deficit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7108" w:type="dxa"/>
            <w:tcBorders/>
            <w:shd w:fill="CCEEFF" w:val="clear"/>
            <w:vAlign w:val="center"/>
          </w:tcPr>
          <w:p>
            <w:pPr>
              <w:pStyle w:val="TableContents"/>
              <w:bidi w:val="0"/>
              <w:spacing w:before="0" w:after="283"/>
              <w:jc w:val="left"/>
              <w:rPr/>
            </w:pPr>
            <w:r>
              <w:rPr/>
              <w:t>Common stock par value $0.0001 per shares, 300,000,000 authorized at June 30, 2025; 46,859,495 issued and outstanding as of June 30, 2025; 300,000,000 authorized at December 31, 2024; 46,348,351 issued and outstanding as of December 31, 2024</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right"/>
              <w:rPr/>
            </w:pPr>
            <w:r>
              <w:rPr/>
              <w:t>4</w:t>
            </w:r>
          </w:p>
        </w:tc>
        <w:tc>
          <w:tcPr>
            <w:tcW w:w="172" w:type="dxa"/>
            <w:tcBorders/>
            <w:shd w:fill="CCEEFF" w:val="clear"/>
            <w:vAlign w:val="center"/>
          </w:tcPr>
          <w:p>
            <w:pPr>
              <w:pStyle w:val="TableContents"/>
              <w:bidi w:val="0"/>
              <w:spacing w:before="0" w:after="283"/>
              <w:jc w:val="left"/>
              <w:rPr/>
            </w:pPr>
            <w:r>
              <w:rPr/>
              <w:t> </w:t>
            </w:r>
          </w:p>
        </w:tc>
      </w:tr>
      <w:tr>
        <w:trPr/>
        <w:tc>
          <w:tcPr>
            <w:tcW w:w="7108" w:type="dxa"/>
            <w:tcBorders/>
            <w:vAlign w:val="center"/>
          </w:tcPr>
          <w:p>
            <w:pPr>
              <w:pStyle w:val="TableContents"/>
              <w:bidi w:val="0"/>
              <w:spacing w:before="0" w:after="283"/>
              <w:jc w:val="left"/>
              <w:rPr/>
            </w:pPr>
            <w:r>
              <w:rPr/>
              <w:t>Additional paid-in-capital</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29,002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28,666</w:t>
            </w:r>
          </w:p>
        </w:tc>
        <w:tc>
          <w:tcPr>
            <w:tcW w:w="172" w:type="dxa"/>
            <w:tcBorders/>
            <w:vAlign w:val="center"/>
          </w:tcPr>
          <w:p>
            <w:pPr>
              <w:pStyle w:val="TableContents"/>
              <w:bidi w:val="0"/>
              <w:spacing w:before="0" w:after="283"/>
              <w:jc w:val="left"/>
              <w:rPr/>
            </w:pPr>
            <w:r>
              <w:rPr/>
              <w:t> </w:t>
            </w:r>
          </w:p>
        </w:tc>
      </w:tr>
      <w:tr>
        <w:trPr/>
        <w:tc>
          <w:tcPr>
            <w:tcW w:w="7108"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(40,333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(38,441</w:t>
            </w:r>
          </w:p>
        </w:tc>
        <w:tc>
          <w:tcPr>
            <w:tcW w:w="172" w:type="dxa"/>
            <w:tcBorders/>
            <w:shd w:fill="CCEEFF" w:val="clear"/>
            <w:vAlign w:val="center"/>
          </w:tcPr>
          <w:p>
            <w:pPr>
              <w:pStyle w:val="TableContents"/>
              <w:bidi w:val="0"/>
              <w:spacing w:before="0" w:after="283"/>
              <w:jc w:val="left"/>
              <w:rPr/>
            </w:pPr>
            <w:r>
              <w:rPr/>
              <w:t>)</w:t>
            </w:r>
          </w:p>
        </w:tc>
      </w:tr>
      <w:tr>
        <w:trPr/>
        <w:tc>
          <w:tcPr>
            <w:tcW w:w="7108" w:type="dxa"/>
            <w:tcBorders/>
            <w:vAlign w:val="center"/>
          </w:tcPr>
          <w:p>
            <w:pPr>
              <w:pStyle w:val="TableContents"/>
              <w:bidi w:val="0"/>
              <w:spacing w:before="0" w:after="283"/>
              <w:jc w:val="left"/>
              <w:rPr/>
            </w:pPr>
            <w:r>
              <w:rPr/>
              <w:t>Total stockholders’ deficit</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tcMar>
              <w:bottom w:w="28" w:type="dxa"/>
            </w:tcMar>
            <w:vAlign w:val="center"/>
          </w:tcPr>
          <w:p>
            <w:pPr>
              <w:pStyle w:val="TableContents"/>
              <w:bidi w:val="0"/>
              <w:spacing w:before="0" w:after="283"/>
              <w:jc w:val="right"/>
              <w:rPr/>
            </w:pPr>
            <w:r>
              <w:rPr/>
              <w:t>(11,327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(9,771</w:t>
            </w:r>
          </w:p>
        </w:tc>
        <w:tc>
          <w:tcPr>
            <w:tcW w:w="172" w:type="dxa"/>
            <w:tcBorders/>
            <w:vAlign w:val="center"/>
          </w:tcPr>
          <w:p>
            <w:pPr>
              <w:pStyle w:val="TableContents"/>
              <w:bidi w:val="0"/>
              <w:spacing w:before="0" w:after="283"/>
              <w:jc w:val="left"/>
              <w:rPr/>
            </w:pPr>
            <w:r>
              <w:rPr/>
              <w:t>)</w:t>
            </w:r>
          </w:p>
        </w:tc>
      </w:tr>
      <w:tr>
        <w:trPr/>
        <w:tc>
          <w:tcPr>
            <w:tcW w:w="7108" w:type="dxa"/>
            <w:tcBorders/>
            <w:shd w:fill="CCEEFF" w:val="clear"/>
            <w:vAlign w:val="center"/>
          </w:tcPr>
          <w:p>
            <w:pPr>
              <w:pStyle w:val="TableContents"/>
              <w:bidi w:val="0"/>
              <w:spacing w:before="0" w:after="283"/>
              <w:jc w:val="left"/>
              <w:rPr>
                <w:b/>
              </w:rPr>
            </w:pPr>
            <w:r>
              <w:rPr>
                <w:b/>
              </w:rPr>
              <w:t>Total liabilities and stockholders’ deficit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6,825</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0"/>
        <w:gridCol w:w="90"/>
        <w:gridCol w:w="170"/>
        <w:gridCol w:w="1130"/>
        <w:gridCol w:w="125"/>
        <w:gridCol w:w="90"/>
        <w:gridCol w:w="170"/>
        <w:gridCol w:w="1130"/>
        <w:gridCol w:w="125"/>
        <w:gridCol w:w="90"/>
        <w:gridCol w:w="170"/>
        <w:gridCol w:w="1130"/>
        <w:gridCol w:w="125"/>
        <w:gridCol w:w="90"/>
        <w:gridCol w:w="170"/>
        <w:gridCol w:w="1130"/>
        <w:gridCol w:w="170"/>
      </w:tblGrid>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12,818</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1,499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2,705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9,377</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Selling, servicing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2,654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Technology and 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2,936</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2,357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4,126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5,064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4,754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9,716</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(339</w:t>
            </w:r>
          </w:p>
        </w:tc>
        <w:tc>
          <w:tcPr>
            <w:tcW w:w="17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(1,419</w:t>
            </w:r>
          </w:p>
        </w:tc>
        <w:tc>
          <w:tcPr>
            <w:tcW w:w="17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Loss on asset disposal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Gain on note repurchase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1,573</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(51</w:t>
            </w:r>
          </w:p>
        </w:tc>
        <w:tc>
          <w:tcPr>
            <w:tcW w:w="17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(230</w:t>
            </w:r>
          </w:p>
        </w:tc>
        <w:tc>
          <w:tcPr>
            <w:tcW w:w="17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Income taxes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(1,141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(230</w:t>
            </w:r>
          </w:p>
        </w:tc>
        <w:tc>
          <w:tcPr>
            <w:tcW w:w="17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Weighted-average common shares outstanding: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46,829,586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45,721,610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46,609,898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45,576,941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9824" w:type="dxa"/>
        <w:jc w:val="left"/>
        <w:tblInd w:w="0" w:type="dxa"/>
        <w:tblLayout w:type="fixed"/>
        <w:tblCellMar>
          <w:top w:w="0" w:type="dxa"/>
          <w:left w:w="0" w:type="dxa"/>
          <w:bottom w:w="0" w:type="dxa"/>
          <w:right w:w="0" w:type="dxa"/>
        </w:tblCellMar>
      </w:tblPr>
      <w:tblGrid>
        <w:gridCol w:w="2810"/>
        <w:gridCol w:w="90"/>
        <w:gridCol w:w="119"/>
        <w:gridCol w:w="1505"/>
        <w:gridCol w:w="90"/>
        <w:gridCol w:w="90"/>
        <w:gridCol w:w="216"/>
        <w:gridCol w:w="674"/>
        <w:gridCol w:w="90"/>
        <w:gridCol w:w="90"/>
        <w:gridCol w:w="218"/>
        <w:gridCol w:w="912"/>
        <w:gridCol w:w="90"/>
        <w:gridCol w:w="90"/>
        <w:gridCol w:w="249"/>
        <w:gridCol w:w="1151"/>
        <w:gridCol w:w="125"/>
        <w:gridCol w:w="90"/>
        <w:gridCol w:w="170"/>
        <w:gridCol w:w="785"/>
        <w:gridCol w:w="170"/>
      </w:tblGrid>
      <w:tr>
        <w:trPr/>
        <w:tc>
          <w:tcPr>
            <w:tcW w:w="28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46,470,682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      </w:t>
            </w: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28,829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(39,192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(10,359</w:t>
            </w:r>
          </w:p>
        </w:tc>
        <w:tc>
          <w:tcPr>
            <w:tcW w:w="170" w:type="dxa"/>
            <w:tcBorders/>
            <w:shd w:fill="CCEEFF" w:val="clear"/>
            <w:vAlign w:val="center"/>
          </w:tcPr>
          <w:p>
            <w:pPr>
              <w:pStyle w:val="TableContents"/>
              <w:bidi w:val="0"/>
              <w:spacing w:before="0" w:after="283"/>
              <w:jc w:val="left"/>
              <w:rPr/>
            </w:pPr>
            <w:r>
              <w:rPr/>
              <w:t>)</w:t>
            </w:r>
          </w:p>
        </w:tc>
      </w:tr>
      <w:tr>
        <w:trPr/>
        <w:tc>
          <w:tcPr>
            <w:tcW w:w="281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173</w:t>
            </w:r>
          </w:p>
        </w:tc>
        <w:tc>
          <w:tcPr>
            <w:tcW w:w="17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Restricted stock units vesting</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388,813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(1,141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(1,141</w:t>
            </w:r>
          </w:p>
        </w:tc>
        <w:tc>
          <w:tcPr>
            <w:tcW w:w="170" w:type="dxa"/>
            <w:tcBorders/>
            <w:vAlign w:val="center"/>
          </w:tcPr>
          <w:p>
            <w:pPr>
              <w:pStyle w:val="TableContents"/>
              <w:bidi w:val="0"/>
              <w:spacing w:before="0" w:after="283"/>
              <w:jc w:val="left"/>
              <w:rPr/>
            </w:pPr>
            <w:r>
              <w:rPr/>
              <w:t>)</w:t>
            </w:r>
          </w:p>
        </w:tc>
      </w:tr>
      <w:tr>
        <w:trPr/>
        <w:tc>
          <w:tcPr>
            <w:tcW w:w="2810"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b/>
              </w:rPr>
            </w:pPr>
            <w:r>
              <w:rPr>
                <w:b/>
              </w:rPr>
              <w:t>46,859,495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b/>
              </w:rPr>
            </w:pPr>
            <w:r>
              <w:rPr>
                <w:b/>
              </w:rPr>
              <w:t>$</w:t>
            </w:r>
          </w:p>
        </w:tc>
        <w:tc>
          <w:tcPr>
            <w:tcW w:w="912" w:type="dxa"/>
            <w:tcBorders/>
            <w:shd w:fill="CCEEFF" w:val="clear"/>
            <w:vAlign w:val="center"/>
          </w:tcPr>
          <w:p>
            <w:pPr>
              <w:pStyle w:val="TableContents"/>
              <w:bidi w:val="0"/>
              <w:spacing w:before="0" w:after="283"/>
              <w:jc w:val="right"/>
              <w:rPr>
                <w:b/>
              </w:rPr>
            </w:pPr>
            <w:r>
              <w:rPr>
                <w:b/>
              </w:rPr>
              <w:t>29,002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151" w:type="dxa"/>
            <w:tcBorders/>
            <w:shd w:fill="CCEEFF" w:val="clear"/>
            <w:vAlign w:val="center"/>
          </w:tcPr>
          <w:p>
            <w:pPr>
              <w:pStyle w:val="TableContents"/>
              <w:bidi w:val="0"/>
              <w:spacing w:before="0" w:after="283"/>
              <w:jc w:val="right"/>
              <w:rPr>
                <w:b/>
              </w:rPr>
            </w:pPr>
            <w:r>
              <w:rPr>
                <w:b/>
              </w:rPr>
              <w:t>(40,333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(11,327</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10139" w:type="dxa"/>
        <w:jc w:val="left"/>
        <w:tblInd w:w="0" w:type="dxa"/>
        <w:tblLayout w:type="fixed"/>
        <w:tblCellMar>
          <w:top w:w="0" w:type="dxa"/>
          <w:left w:w="0" w:type="dxa"/>
          <w:bottom w:w="0" w:type="dxa"/>
          <w:right w:w="0" w:type="dxa"/>
        </w:tblCellMar>
      </w:tblPr>
      <w:tblGrid>
        <w:gridCol w:w="3125"/>
        <w:gridCol w:w="90"/>
        <w:gridCol w:w="119"/>
        <w:gridCol w:w="1505"/>
        <w:gridCol w:w="90"/>
        <w:gridCol w:w="90"/>
        <w:gridCol w:w="216"/>
        <w:gridCol w:w="674"/>
        <w:gridCol w:w="90"/>
        <w:gridCol w:w="90"/>
        <w:gridCol w:w="218"/>
        <w:gridCol w:w="912"/>
        <w:gridCol w:w="90"/>
        <w:gridCol w:w="90"/>
        <w:gridCol w:w="249"/>
        <w:gridCol w:w="1151"/>
        <w:gridCol w:w="125"/>
        <w:gridCol w:w="90"/>
        <w:gridCol w:w="170"/>
        <w:gridCol w:w="785"/>
        <w:gridCol w:w="170"/>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Balance at December 31, 2024</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46,348,351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      </w:t>
            </w: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28,666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(38,441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(9,771</w:t>
            </w:r>
          </w:p>
        </w:tc>
        <w:tc>
          <w:tcPr>
            <w:tcW w:w="170" w:type="dxa"/>
            <w:tcBorders/>
            <w:shd w:fill="CCEEFF" w:val="clear"/>
            <w:vAlign w:val="center"/>
          </w:tcPr>
          <w:p>
            <w:pPr>
              <w:pStyle w:val="TableContents"/>
              <w:bidi w:val="0"/>
              <w:spacing w:before="0" w:after="283"/>
              <w:jc w:val="left"/>
              <w:rPr/>
            </w:pPr>
            <w:r>
              <w:rPr/>
              <w:t>)</w:t>
            </w:r>
          </w:p>
        </w:tc>
      </w:tr>
      <w:tr>
        <w:trPr/>
        <w:tc>
          <w:tcPr>
            <w:tcW w:w="3125"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336</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Restricted stock units vesting</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pPr>
            <w:r>
              <w:rPr/>
              <w:t>511,144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(1,892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(1,892</w:t>
            </w:r>
          </w:p>
        </w:tc>
        <w:tc>
          <w:tcPr>
            <w:tcW w:w="170" w:type="dxa"/>
            <w:tcBorders/>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right"/>
              <w:rPr>
                <w:b/>
              </w:rPr>
            </w:pPr>
            <w:r>
              <w:rPr>
                <w:b/>
              </w:rPr>
              <w:t>46,859,495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b/>
              </w:rPr>
            </w:pPr>
            <w:r>
              <w:rPr>
                <w:b/>
              </w:rPr>
              <w:t>$</w:t>
            </w:r>
          </w:p>
        </w:tc>
        <w:tc>
          <w:tcPr>
            <w:tcW w:w="912" w:type="dxa"/>
            <w:tcBorders/>
            <w:shd w:fill="CCEEFF" w:val="clear"/>
            <w:vAlign w:val="center"/>
          </w:tcPr>
          <w:p>
            <w:pPr>
              <w:pStyle w:val="TableContents"/>
              <w:bidi w:val="0"/>
              <w:spacing w:before="0" w:after="283"/>
              <w:jc w:val="right"/>
              <w:rPr>
                <w:b/>
              </w:rPr>
            </w:pPr>
            <w:r>
              <w:rPr>
                <w:b/>
              </w:rPr>
              <w:t>29,002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151" w:type="dxa"/>
            <w:tcBorders/>
            <w:shd w:fill="CCEEFF" w:val="clear"/>
            <w:vAlign w:val="center"/>
          </w:tcPr>
          <w:p>
            <w:pPr>
              <w:pStyle w:val="TableContents"/>
              <w:bidi w:val="0"/>
              <w:spacing w:before="0" w:after="283"/>
              <w:jc w:val="right"/>
              <w:rPr>
                <w:b/>
              </w:rPr>
            </w:pPr>
            <w:r>
              <w:rPr>
                <w:b/>
              </w:rPr>
              <w:t>(40,333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(11,327</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0"/>
        <w:gridCol w:w="90"/>
        <w:gridCol w:w="106"/>
        <w:gridCol w:w="1341"/>
        <w:gridCol w:w="90"/>
        <w:gridCol w:w="90"/>
        <w:gridCol w:w="216"/>
        <w:gridCol w:w="674"/>
        <w:gridCol w:w="90"/>
        <w:gridCol w:w="90"/>
        <w:gridCol w:w="391"/>
        <w:gridCol w:w="1640"/>
        <w:gridCol w:w="90"/>
        <w:gridCol w:w="90"/>
        <w:gridCol w:w="321"/>
        <w:gridCol w:w="1483"/>
        <w:gridCol w:w="125"/>
        <w:gridCol w:w="90"/>
        <w:gridCol w:w="170"/>
        <w:gridCol w:w="665"/>
        <w:gridCol w:w="173"/>
      </w:tblGrid>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7"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b/>
              </w:rPr>
            </w:pPr>
            <w:r>
              <w:rPr>
                <w:b/>
              </w:rPr>
              <w:t>Balance at March 31, 2024</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45,594,864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      </w:t>
            </w: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28,119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483" w:type="dxa"/>
            <w:tcBorders/>
            <w:shd w:fill="CCEEFF" w:val="clear"/>
            <w:vAlign w:val="center"/>
          </w:tcPr>
          <w:p>
            <w:pPr>
              <w:pStyle w:val="TableContents"/>
              <w:bidi w:val="0"/>
              <w:spacing w:before="0" w:after="283"/>
              <w:jc w:val="right"/>
              <w:rPr/>
            </w:pPr>
            <w:r>
              <w:rPr/>
              <w:t>(36,148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(8,025</w:t>
            </w:r>
          </w:p>
        </w:tc>
        <w:tc>
          <w:tcPr>
            <w:tcW w:w="173" w:type="dxa"/>
            <w:tcBorders/>
            <w:shd w:fill="CCEEFF" w:val="clear"/>
            <w:vAlign w:val="center"/>
          </w:tcPr>
          <w:p>
            <w:pPr>
              <w:pStyle w:val="TableContents"/>
              <w:bidi w:val="0"/>
              <w:spacing w:before="0" w:after="283"/>
              <w:jc w:val="left"/>
              <w:rPr/>
            </w:pPr>
            <w:r>
              <w:rPr/>
              <w:t>)</w:t>
            </w:r>
          </w:p>
        </w:tc>
      </w:tr>
      <w:tr>
        <w:trPr/>
        <w:tc>
          <w:tcPr>
            <w:tcW w:w="218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48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200</w:t>
            </w:r>
          </w:p>
        </w:tc>
        <w:tc>
          <w:tcPr>
            <w:tcW w:w="173"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Restricted stock units vesting</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553,162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83" w:type="dxa"/>
            <w:tcBorders>
              <w:bottom w:val="single" w:sz="12" w:space="0" w:color="000000"/>
            </w:tcBorders>
            <w:tcMar>
              <w:bottom w:w="28" w:type="dxa"/>
            </w:tcMar>
            <w:vAlign w:val="center"/>
          </w:tcPr>
          <w:p>
            <w:pPr>
              <w:pStyle w:val="TableContents"/>
              <w:bidi w:val="0"/>
              <w:spacing w:before="0" w:after="283"/>
              <w:jc w:val="right"/>
              <w:rPr/>
            </w:pPr>
            <w:r>
              <w:rPr/>
              <w:t>(647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(647</w:t>
            </w:r>
          </w:p>
        </w:tc>
        <w:tc>
          <w:tcPr>
            <w:tcW w:w="173" w:type="dxa"/>
            <w:tcBorders/>
            <w:vAlign w:val="center"/>
          </w:tcPr>
          <w:p>
            <w:pPr>
              <w:pStyle w:val="TableContents"/>
              <w:bidi w:val="0"/>
              <w:spacing w:before="0" w:after="283"/>
              <w:jc w:val="left"/>
              <w:rPr/>
            </w:pPr>
            <w:r>
              <w:rPr/>
              <w:t>)</w:t>
            </w:r>
          </w:p>
        </w:tc>
      </w:tr>
      <w:tr>
        <w:trPr/>
        <w:tc>
          <w:tcPr>
            <w:tcW w:w="2180" w:type="dxa"/>
            <w:tcBorders/>
            <w:shd w:fill="CCEEFF" w:val="clear"/>
            <w:vAlign w:val="center"/>
          </w:tcPr>
          <w:p>
            <w:pPr>
              <w:pStyle w:val="TableContents"/>
              <w:bidi w:val="0"/>
              <w:spacing w:before="0" w:after="283"/>
              <w:jc w:val="left"/>
              <w:rPr>
                <w:b/>
              </w:rPr>
            </w:pPr>
            <w:r>
              <w:rPr>
                <w:b/>
              </w:rPr>
              <w:t>Balance at June 30, 2024</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b/>
              </w:rPr>
            </w:pPr>
            <w:r>
              <w:rPr>
                <w:b/>
              </w:rPr>
              <w:t>46,148,026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b/>
              </w:rPr>
            </w:pPr>
            <w:r>
              <w:rPr>
                <w:b/>
              </w:rPr>
              <w:t>$</w:t>
            </w:r>
          </w:p>
        </w:tc>
        <w:tc>
          <w:tcPr>
            <w:tcW w:w="1640" w:type="dxa"/>
            <w:tcBorders/>
            <w:shd w:fill="CCEEFF" w:val="clear"/>
            <w:vAlign w:val="center"/>
          </w:tcPr>
          <w:p>
            <w:pPr>
              <w:pStyle w:val="TableContents"/>
              <w:bidi w:val="0"/>
              <w:spacing w:before="0" w:after="283"/>
              <w:jc w:val="right"/>
              <w:rPr>
                <w:b/>
              </w:rPr>
            </w:pPr>
            <w:r>
              <w:rPr>
                <w:b/>
              </w:rPr>
              <w:t>28,319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b/>
              </w:rPr>
            </w:pPr>
            <w:r>
              <w:rPr>
                <w:b/>
              </w:rPr>
              <w:t>$</w:t>
            </w:r>
          </w:p>
        </w:tc>
        <w:tc>
          <w:tcPr>
            <w:tcW w:w="1483" w:type="dxa"/>
            <w:tcBorders/>
            <w:shd w:fill="CCEEFF" w:val="clear"/>
            <w:vAlign w:val="center"/>
          </w:tcPr>
          <w:p>
            <w:pPr>
              <w:pStyle w:val="TableContents"/>
              <w:bidi w:val="0"/>
              <w:spacing w:before="0" w:after="283"/>
              <w:jc w:val="right"/>
              <w:rPr>
                <w:b/>
              </w:rPr>
            </w:pPr>
            <w:r>
              <w:rPr>
                <w:b/>
              </w:rPr>
              <w:t>(36,795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665" w:type="dxa"/>
            <w:tcBorders/>
            <w:shd w:fill="CCEEFF" w:val="clear"/>
            <w:vAlign w:val="center"/>
          </w:tcPr>
          <w:p>
            <w:pPr>
              <w:pStyle w:val="TableContents"/>
              <w:bidi w:val="0"/>
              <w:spacing w:before="0" w:after="283"/>
              <w:jc w:val="right"/>
              <w:rPr>
                <w:b/>
              </w:rPr>
            </w:pPr>
            <w:r>
              <w:rPr>
                <w:b/>
              </w:rPr>
              <w:t>(8,472</w:t>
            </w:r>
          </w:p>
        </w:tc>
        <w:tc>
          <w:tcPr>
            <w:tcW w:w="17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8"/>
        <w:gridCol w:w="90"/>
        <w:gridCol w:w="105"/>
        <w:gridCol w:w="1326"/>
        <w:gridCol w:w="90"/>
        <w:gridCol w:w="90"/>
        <w:gridCol w:w="216"/>
        <w:gridCol w:w="674"/>
        <w:gridCol w:w="90"/>
        <w:gridCol w:w="90"/>
        <w:gridCol w:w="379"/>
        <w:gridCol w:w="1589"/>
        <w:gridCol w:w="90"/>
        <w:gridCol w:w="90"/>
        <w:gridCol w:w="315"/>
        <w:gridCol w:w="1460"/>
        <w:gridCol w:w="125"/>
        <w:gridCol w:w="90"/>
        <w:gridCol w:w="170"/>
        <w:gridCol w:w="665"/>
        <w:gridCol w:w="173"/>
      </w:tblGrid>
      <w:tr>
        <w:trPr/>
        <w:tc>
          <w:tcPr>
            <w:tcW w:w="2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Paid-in 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2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2288" w:type="dxa"/>
            <w:tcBorders/>
            <w:shd w:fill="CCEEFF" w:val="clear"/>
            <w:vAlign w:val="center"/>
          </w:tcPr>
          <w:p>
            <w:pPr>
              <w:pStyle w:val="TableContents"/>
              <w:bidi w:val="0"/>
              <w:spacing w:before="0" w:after="283"/>
              <w:jc w:val="left"/>
              <w:rPr>
                <w:b/>
              </w:rPr>
            </w:pPr>
            <w:r>
              <w:rPr>
                <w:b/>
              </w:rPr>
              <w:t>Balance at December 31, 2023</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45,339,762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      </w:t>
            </w: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89" w:type="dxa"/>
            <w:tcBorders/>
            <w:shd w:fill="CCEEFF" w:val="clear"/>
            <w:vAlign w:val="center"/>
          </w:tcPr>
          <w:p>
            <w:pPr>
              <w:pStyle w:val="TableContents"/>
              <w:bidi w:val="0"/>
              <w:spacing w:before="0" w:after="283"/>
              <w:jc w:val="right"/>
              <w:rPr/>
            </w:pPr>
            <w:r>
              <w:rPr/>
              <w:t>27,887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(36,565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(8,674</w:t>
            </w:r>
          </w:p>
        </w:tc>
        <w:tc>
          <w:tcPr>
            <w:tcW w:w="173" w:type="dxa"/>
            <w:tcBorders/>
            <w:shd w:fill="CCEEFF" w:val="clear"/>
            <w:vAlign w:val="center"/>
          </w:tcPr>
          <w:p>
            <w:pPr>
              <w:pStyle w:val="TableContents"/>
              <w:bidi w:val="0"/>
              <w:spacing w:before="0" w:after="283"/>
              <w:jc w:val="left"/>
              <w:rPr/>
            </w:pPr>
            <w:r>
              <w:rPr/>
              <w:t>)</w:t>
            </w:r>
          </w:p>
        </w:tc>
      </w:tr>
      <w:tr>
        <w:trPr/>
        <w:tc>
          <w:tcPr>
            <w:tcW w:w="2288"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395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395</w:t>
            </w:r>
          </w:p>
        </w:tc>
        <w:tc>
          <w:tcPr>
            <w:tcW w:w="173" w:type="dxa"/>
            <w:tcBorders/>
            <w:vAlign w:val="center"/>
          </w:tcPr>
          <w:p>
            <w:pPr>
              <w:pStyle w:val="TableContents"/>
              <w:bidi w:val="0"/>
              <w:spacing w:before="0" w:after="283"/>
              <w:jc w:val="left"/>
              <w:rPr/>
            </w:pPr>
            <w:r>
              <w:rPr/>
              <w:t> </w:t>
            </w:r>
          </w:p>
        </w:tc>
      </w:tr>
      <w:tr>
        <w:trPr/>
        <w:tc>
          <w:tcPr>
            <w:tcW w:w="2288" w:type="dxa"/>
            <w:tcBorders/>
            <w:shd w:fill="CCEEFF" w:val="clear"/>
            <w:vAlign w:val="center"/>
          </w:tcPr>
          <w:p>
            <w:pPr>
              <w:pStyle w:val="TableContents"/>
              <w:bidi w:val="0"/>
              <w:spacing w:before="0" w:after="283"/>
              <w:jc w:val="left"/>
              <w:rPr/>
            </w:pPr>
            <w:r>
              <w:rPr/>
              <w:t>Restricted stock units vesting</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553,162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288" w:type="dxa"/>
            <w:tcBorders/>
            <w:vAlign w:val="center"/>
          </w:tcPr>
          <w:p>
            <w:pPr>
              <w:pStyle w:val="TableContents"/>
              <w:bidi w:val="0"/>
              <w:spacing w:before="0" w:after="283"/>
              <w:jc w:val="left"/>
              <w:rPr/>
            </w:pPr>
            <w:r>
              <w:rPr/>
              <w:t>Issue of common stock^</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255,102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37</w:t>
            </w:r>
          </w:p>
        </w:tc>
        <w:tc>
          <w:tcPr>
            <w:tcW w:w="173" w:type="dxa"/>
            <w:tcBorders/>
            <w:vAlign w:val="center"/>
          </w:tcPr>
          <w:p>
            <w:pPr>
              <w:pStyle w:val="TableContents"/>
              <w:bidi w:val="0"/>
              <w:spacing w:before="0" w:after="283"/>
              <w:jc w:val="left"/>
              <w:rPr/>
            </w:pPr>
            <w:r>
              <w:rPr/>
              <w:t> </w:t>
            </w:r>
          </w:p>
        </w:tc>
      </w:tr>
      <w:tr>
        <w:trPr/>
        <w:tc>
          <w:tcPr>
            <w:tcW w:w="2288"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173" w:type="dxa"/>
            <w:tcBorders/>
            <w:shd w:fill="CCEEFF" w:val="clear"/>
            <w:vAlign w:val="center"/>
          </w:tcPr>
          <w:p>
            <w:pPr>
              <w:pStyle w:val="TableContents"/>
              <w:bidi w:val="0"/>
              <w:spacing w:before="0" w:after="283"/>
              <w:jc w:val="left"/>
              <w:rPr/>
            </w:pPr>
            <w:r>
              <w:rPr/>
              <w:t>)</w:t>
            </w:r>
          </w:p>
        </w:tc>
      </w:tr>
      <w:tr>
        <w:trPr/>
        <w:tc>
          <w:tcPr>
            <w:tcW w:w="2288" w:type="dxa"/>
            <w:tcBorders/>
            <w:vAlign w:val="center"/>
          </w:tcPr>
          <w:p>
            <w:pPr>
              <w:pStyle w:val="TableContents"/>
              <w:bidi w:val="0"/>
              <w:spacing w:before="0" w:after="283"/>
              <w:jc w:val="left"/>
              <w:rPr>
                <w:b/>
              </w:rPr>
            </w:pPr>
            <w:r>
              <w:rPr>
                <w:b/>
              </w:rPr>
              <w:t>Balance at June 30, 2024</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b/>
              </w:rPr>
            </w:pPr>
            <w:r>
              <w:rPr>
                <w:b/>
              </w:rPr>
              <w:t>46,148,026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b/>
              </w:rPr>
            </w:pPr>
            <w:r>
              <w:rPr>
                <w:b/>
              </w:rPr>
              <w:t>$</w:t>
            </w:r>
          </w:p>
        </w:tc>
        <w:tc>
          <w:tcPr>
            <w:tcW w:w="674" w:type="dxa"/>
            <w:tcBorders/>
            <w:vAlign w:val="center"/>
          </w:tcPr>
          <w:p>
            <w:pPr>
              <w:pStyle w:val="TableContents"/>
              <w:bidi w:val="0"/>
              <w:spacing w:before="0" w:after="283"/>
              <w:jc w:val="right"/>
              <w:rPr>
                <w:b/>
              </w:rPr>
            </w:pPr>
            <w:r>
              <w:rPr>
                <w:b/>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b/>
              </w:rPr>
            </w:pPr>
            <w:r>
              <w:rPr>
                <w:b/>
              </w:rPr>
              <w:t>$</w:t>
            </w:r>
          </w:p>
        </w:tc>
        <w:tc>
          <w:tcPr>
            <w:tcW w:w="1589" w:type="dxa"/>
            <w:tcBorders/>
            <w:vAlign w:val="center"/>
          </w:tcPr>
          <w:p>
            <w:pPr>
              <w:pStyle w:val="TableContents"/>
              <w:bidi w:val="0"/>
              <w:spacing w:before="0" w:after="283"/>
              <w:jc w:val="right"/>
              <w:rPr>
                <w:b/>
              </w:rPr>
            </w:pPr>
            <w:r>
              <w:rPr>
                <w:b/>
              </w:rPr>
              <w:t>28,319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b/>
              </w:rPr>
            </w:pPr>
            <w:r>
              <w:rPr>
                <w:b/>
              </w:rPr>
              <w:t>$</w:t>
            </w:r>
          </w:p>
        </w:tc>
        <w:tc>
          <w:tcPr>
            <w:tcW w:w="1460" w:type="dxa"/>
            <w:tcBorders/>
            <w:vAlign w:val="center"/>
          </w:tcPr>
          <w:p>
            <w:pPr>
              <w:pStyle w:val="TableContents"/>
              <w:bidi w:val="0"/>
              <w:spacing w:before="0" w:after="283"/>
              <w:jc w:val="right"/>
              <w:rPr>
                <w:b/>
              </w:rPr>
            </w:pPr>
            <w:r>
              <w:rPr>
                <w:b/>
              </w:rPr>
              <w:t>(36,795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665" w:type="dxa"/>
            <w:tcBorders/>
            <w:vAlign w:val="center"/>
          </w:tcPr>
          <w:p>
            <w:pPr>
              <w:pStyle w:val="TableContents"/>
              <w:bidi w:val="0"/>
              <w:spacing w:before="0" w:after="283"/>
              <w:jc w:val="right"/>
              <w:rPr>
                <w:b/>
              </w:rPr>
            </w:pPr>
            <w:r>
              <w:rPr>
                <w:b/>
              </w:rPr>
              <w:t>(8,472</w:t>
            </w:r>
          </w:p>
        </w:tc>
        <w:tc>
          <w:tcPr>
            <w:tcW w:w="173"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55"/>
        <w:gridCol w:w="4685"/>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shares issued in exchange for services rendered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2"/>
        <w:gridCol w:w="90"/>
        <w:gridCol w:w="173"/>
        <w:gridCol w:w="682"/>
        <w:gridCol w:w="127"/>
        <w:gridCol w:w="91"/>
        <w:gridCol w:w="173"/>
        <w:gridCol w:w="682"/>
        <w:gridCol w:w="375"/>
      </w:tblGrid>
      <w:tr>
        <w:trPr/>
        <w:tc>
          <w:tcPr>
            <w:tcW w:w="7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375" w:type="dxa"/>
            <w:tcBorders/>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75" w:type="dxa"/>
            <w:tcBorders/>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855" w:type="dxa"/>
            <w:gridSpan w:val="2"/>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5" w:type="dxa"/>
            <w:gridSpan w:val="2"/>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(1,892</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(230</w:t>
            </w:r>
          </w:p>
        </w:tc>
        <w:tc>
          <w:tcPr>
            <w:tcW w:w="375" w:type="dxa"/>
            <w:tcBorders/>
            <w:shd w:fill="CCEEFF" w:val="clear"/>
            <w:vAlign w:val="center"/>
          </w:tcPr>
          <w:p>
            <w:pPr>
              <w:pStyle w:val="TableContents"/>
              <w:bidi w:val="0"/>
              <w:spacing w:before="0" w:after="283"/>
              <w:jc w:val="left"/>
              <w:rPr/>
            </w:pPr>
            <w:r>
              <w:rPr/>
              <w:t>)</w:t>
            </w:r>
          </w:p>
        </w:tc>
      </w:tr>
      <w:tr>
        <w:trPr/>
        <w:tc>
          <w:tcPr>
            <w:tcW w:w="7812" w:type="dxa"/>
            <w:tcBorders/>
            <w:vAlign w:val="center"/>
          </w:tcPr>
          <w:p>
            <w:pPr>
              <w:pStyle w:val="TableContents"/>
              <w:bidi w:val="0"/>
              <w:spacing w:before="0" w:after="283"/>
              <w:jc w:val="left"/>
              <w:rPr/>
            </w:pPr>
            <w:r>
              <w:rPr/>
              <w:t>Adjustments to reconcile net loss to net cash provided by (used in) operating activities: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Gain on note repurchase</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(1,573</w:t>
            </w:r>
          </w:p>
        </w:tc>
        <w:tc>
          <w:tcPr>
            <w:tcW w:w="375" w:type="dxa"/>
            <w:tcBorders/>
            <w:shd w:fill="CCEEFF" w:val="clear"/>
            <w:vAlign w:val="center"/>
          </w:tcPr>
          <w:p>
            <w:pPr>
              <w:pStyle w:val="TableContents"/>
              <w:bidi w:val="0"/>
              <w:spacing w:before="0" w:after="283"/>
              <w:ind w:left="0" w:right="0" w:firstLine="200"/>
              <w:jc w:val="left"/>
              <w:rPr/>
            </w:pPr>
            <w:r>
              <w:rPr/>
              <w:t>)</w:t>
            </w:r>
          </w:p>
        </w:tc>
      </w:tr>
      <w:tr>
        <w:trPr/>
        <w:tc>
          <w:tcPr>
            <w:tcW w:w="7812" w:type="dxa"/>
            <w:tcBorders/>
            <w:vAlign w:val="center"/>
          </w:tcPr>
          <w:p>
            <w:pPr>
              <w:pStyle w:val="TableContents"/>
              <w:bidi w:val="0"/>
              <w:spacing w:before="0" w:after="283"/>
              <w:jc w:val="left"/>
              <w:rPr/>
            </w:pPr>
            <w:r>
              <w:rPr/>
              <w:t>Loss on asset disposal</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131</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right"/>
              <w:rPr/>
            </w:pPr>
            <w:r>
              <w:rPr/>
              <w:t>-</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469</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108</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62</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101</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Amortization of debt financing costs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35</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203</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336</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395</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Credit loss expense</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220</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167</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Amortization of operating lease right of use assets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183</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180</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Change in fair value of warrants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51</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(143</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(442</w:t>
            </w:r>
          </w:p>
        </w:tc>
        <w:tc>
          <w:tcPr>
            <w:tcW w:w="375" w:type="dxa"/>
            <w:tcBorders/>
            <w:shd w:fill="CCEEFF" w:val="clear"/>
            <w:vAlign w:val="center"/>
          </w:tcPr>
          <w:p>
            <w:pPr>
              <w:pStyle w:val="TableContents"/>
              <w:bidi w:val="0"/>
              <w:spacing w:before="0" w:after="283"/>
              <w:jc w:val="left"/>
              <w:rPr/>
            </w:pPr>
            <w:r>
              <w:rPr/>
              <w:t>)</w:t>
            </w:r>
          </w:p>
        </w:tc>
      </w:tr>
      <w:tr>
        <w:trPr/>
        <w:tc>
          <w:tcPr>
            <w:tcW w:w="7812"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(169</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368</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26</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21</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Accounts payable and other liabilities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1,305</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(1,233</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(345</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375" w:type="dxa"/>
            <w:tcBorders/>
            <w:shd w:fill="CCEEFF" w:val="clear"/>
            <w:vAlign w:val="center"/>
          </w:tcPr>
          <w:p>
            <w:pPr>
              <w:pStyle w:val="TableContents"/>
              <w:bidi w:val="0"/>
              <w:spacing w:before="0" w:after="283"/>
              <w:jc w:val="left"/>
              <w:rPr/>
            </w:pPr>
            <w:r>
              <w:rPr/>
              <w:t>)</w:t>
            </w:r>
          </w:p>
        </w:tc>
      </w:tr>
      <w:tr>
        <w:trPr/>
        <w:tc>
          <w:tcPr>
            <w:tcW w:w="7812" w:type="dxa"/>
            <w:tcBorders/>
            <w:vAlign w:val="center"/>
          </w:tcPr>
          <w:p>
            <w:pPr>
              <w:pStyle w:val="TableContents"/>
              <w:bidi w:val="0"/>
              <w:spacing w:before="0" w:after="283"/>
              <w:jc w:val="left"/>
              <w:rPr>
                <w:b/>
              </w:rPr>
            </w:pPr>
            <w:r>
              <w:rPr>
                <w:b/>
              </w:rPr>
              <w:t>Net cash provided by (used in) operating activities</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218</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(1,919</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375" w:type="dxa"/>
            <w:tcBorders/>
            <w:shd w:fill="CCEEFF" w:val="clear"/>
            <w:vAlign w:val="center"/>
          </w:tcPr>
          <w:p>
            <w:pPr>
              <w:pStyle w:val="TableContents"/>
              <w:bidi w:val="0"/>
              <w:spacing w:before="0" w:after="283"/>
              <w:jc w:val="left"/>
              <w:rPr/>
            </w:pPr>
            <w:r>
              <w:rPr/>
              <w:t>)</w:t>
            </w:r>
          </w:p>
        </w:tc>
      </w:tr>
      <w:tr>
        <w:trPr/>
        <w:tc>
          <w:tcPr>
            <w:tcW w:w="7812" w:type="dxa"/>
            <w:tcBorders/>
            <w:vAlign w:val="center"/>
          </w:tcPr>
          <w:p>
            <w:pPr>
              <w:pStyle w:val="TableContents"/>
              <w:bidi w:val="0"/>
              <w:spacing w:before="0" w:after="283"/>
              <w:jc w:val="left"/>
              <w:rPr>
                <w:b/>
              </w:rPr>
            </w:pPr>
            <w:r>
              <w:rPr>
                <w:b/>
              </w:rPr>
              <w:t>Net cash used in investing activities</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(14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(63</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Proceeds from issuance of convertible notes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6,400</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Repayment of convertible notes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(2,895</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Proceeds from the issuance of term notes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1,600</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Repayment of short-term cash advances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(1,415</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pPr>
            <w:r>
              <w:rPr/>
              <w:t>Repayment of related party payable</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(540</w:t>
            </w:r>
          </w:p>
        </w:tc>
        <w:tc>
          <w:tcPr>
            <w:tcW w:w="375" w:type="dxa"/>
            <w:tcBorders/>
            <w:shd w:fill="CCEEFF" w:val="clear"/>
            <w:vAlign w:val="center"/>
          </w:tcPr>
          <w:p>
            <w:pPr>
              <w:pStyle w:val="TableContents"/>
              <w:bidi w:val="0"/>
              <w:spacing w:before="0" w:after="283"/>
              <w:jc w:val="left"/>
              <w:rPr/>
            </w:pPr>
            <w:r>
              <w:rPr/>
              <w:t>)</w:t>
            </w:r>
          </w:p>
        </w:tc>
      </w:tr>
      <w:tr>
        <w:trPr/>
        <w:tc>
          <w:tcPr>
            <w:tcW w:w="7812" w:type="dxa"/>
            <w:tcBorders/>
            <w:vAlign w:val="center"/>
          </w:tcPr>
          <w:p>
            <w:pPr>
              <w:pStyle w:val="TableContents"/>
              <w:bidi w:val="0"/>
              <w:spacing w:before="0" w:after="283"/>
              <w:jc w:val="left"/>
              <w:rPr/>
            </w:pPr>
            <w:r>
              <w:rPr/>
              <w:t>Cost of convertible and term note issuance</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(775</w:t>
            </w:r>
          </w:p>
        </w:tc>
        <w:tc>
          <w:tcPr>
            <w:tcW w:w="375" w:type="dxa"/>
            <w:tcBorders/>
            <w:vAlign w:val="center"/>
          </w:tcPr>
          <w:p>
            <w:pPr>
              <w:pStyle w:val="TableContents"/>
              <w:bidi w:val="0"/>
              <w:spacing w:before="0" w:after="283"/>
              <w:jc w:val="left"/>
              <w:rPr/>
            </w:pPr>
            <w:r>
              <w:rPr/>
              <w:t>)</w:t>
            </w:r>
          </w:p>
        </w:tc>
      </w:tr>
      <w:tr>
        <w:trPr/>
        <w:tc>
          <w:tcPr>
            <w:tcW w:w="7812" w:type="dxa"/>
            <w:tcBorders/>
            <w:shd w:fill="CCEEFF" w:val="clear"/>
            <w:vAlign w:val="center"/>
          </w:tcPr>
          <w:p>
            <w:pPr>
              <w:pStyle w:val="TableContents"/>
              <w:bidi w:val="0"/>
              <w:spacing w:before="0" w:after="283"/>
              <w:jc w:val="left"/>
              <w:rPr>
                <w:b/>
              </w:rPr>
            </w:pPr>
            <w:r>
              <w:rPr>
                <w:b/>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2,375</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204</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393</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Cash and cash equivalents, at beginning of the period</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1,179</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331</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Cash and cash equivalents, at end of the period</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CCEEFF" w:val="clear"/>
            <w:tcMar>
              <w:bottom w:w="28" w:type="dxa"/>
            </w:tcMar>
            <w:vAlign w:val="center"/>
          </w:tcPr>
          <w:p>
            <w:pPr>
              <w:pStyle w:val="TableContents"/>
              <w:bidi w:val="0"/>
              <w:spacing w:before="0" w:after="283"/>
              <w:jc w:val="right"/>
              <w:rPr/>
            </w:pPr>
            <w:r>
              <w:rPr/>
              <w:t>1,383</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CCEEFF" w:val="clear"/>
            <w:tcMar>
              <w:bottom w:w="28" w:type="dxa"/>
            </w:tcMar>
            <w:vAlign w:val="center"/>
          </w:tcPr>
          <w:p>
            <w:pPr>
              <w:pStyle w:val="TableContents"/>
              <w:bidi w:val="0"/>
              <w:spacing w:before="0" w:after="283"/>
              <w:jc w:val="right"/>
              <w:rPr/>
            </w:pPr>
            <w:r>
              <w:rPr/>
              <w:t>724</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b/>
              </w:rPr>
            </w:pPr>
            <w:r>
              <w:rPr>
                <w:b/>
              </w:rPr>
              <w:t>Supplemental cash flows disclosures</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right"/>
              <w:rPr/>
            </w:pPr>
            <w:r>
              <w:rPr/>
              <w:t> </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170</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847</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Common stock issued for services rendered relating to debt financing</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682" w:type="dxa"/>
            <w:tcBorders/>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682" w:type="dxa"/>
            <w:tcBorders/>
            <w:vAlign w:val="center"/>
          </w:tcPr>
          <w:p>
            <w:pPr>
              <w:pStyle w:val="TableContents"/>
              <w:bidi w:val="0"/>
              <w:spacing w:before="0" w:after="283"/>
              <w:jc w:val="right"/>
              <w:rPr/>
            </w:pPr>
            <w:r>
              <w:rPr/>
              <w:t>37</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Obtaining a right-of-use asset in exchange for a lease liability</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310</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2,781</w:t>
            </w:r>
          </w:p>
        </w:tc>
        <w:tc>
          <w:tcPr>
            <w:tcW w:w="375" w:type="dxa"/>
            <w:tcBorders/>
            <w:shd w:fill="CCEEFF" w:val="clear"/>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Right-of-use asset derecognized in connection with early lease termination</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682" w:type="dxa"/>
            <w:tcBorders/>
            <w:vAlign w:val="center"/>
          </w:tcPr>
          <w:p>
            <w:pPr>
              <w:pStyle w:val="TableContents"/>
              <w:bidi w:val="0"/>
              <w:spacing w:before="0" w:after="283"/>
              <w:jc w:val="right"/>
              <w:rPr/>
            </w:pPr>
            <w:r>
              <w:rPr/>
              <w:t>2,413</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682" w:type="dxa"/>
            <w:tcBorders/>
            <w:vAlign w:val="center"/>
          </w:tcPr>
          <w:p>
            <w:pPr>
              <w:pStyle w:val="TableContents"/>
              <w:bidi w:val="0"/>
              <w:spacing w:before="0" w:after="0"/>
              <w:jc w:val="right"/>
              <w:rPr/>
            </w:pPr>
            <w:r>
              <w:rPr/>
              <w:t>-</w:t>
            </w:r>
          </w:p>
        </w:tc>
        <w:tc>
          <w:tcPr>
            <w:tcW w:w="375" w:type="dxa"/>
            <w:tcBorders/>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Amount added to principal for non-cash interest on convertible notes</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331</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0"/>
              <w:jc w:val="right"/>
              <w:rPr/>
            </w:pPr>
            <w:r>
              <w:rPr/>
              <w:t>-</w:t>
            </w:r>
          </w:p>
        </w:tc>
        <w:tc>
          <w:tcPr>
            <w:tcW w:w="3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SPRINGBIG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Holdings, Inc. and its wholly owned subsidiaries (the “Company,” “we,” “us,”, “our”, or “SpringBig”) developed a software platform that provides marketing and customer engagement services to retailers in regulated industries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direct wholly owned subsidiary, SpringBig,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June 15, 2022, the ticker symbols for the Company’s common stock and publicly traded warrants were changed to “SBIG” and “SBIGW,” respectively, and commenced trading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was quoted for trading on the OTCQX® Best Market from September 6, 2023, to March 31, 2025, and is now quoted for trading on the OTCQB® Venture Market and its public warrants are quoted for trading on the OTC Pink Market under their current trading symbols “SBIG” and “SBIGW,” respectively. The Company remains a reporting company under the Securities Exchange Act of 1934, as amended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Principles of Consolidation and Basis of Presentation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and six months ended June 30, 2025, are not necessarily indicative of the results that may be expected for future periods or for the year ending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data presented herein should be read in conjunction with the audited consolidated financial statements and accompanying notes as of and for the year ended December 31, 2024, as reported in the 2024 Annual Report on Form 10-K.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Going Concern, Liquidity and Management’s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incurred losses, which have resulted in an accumulated deficit of approximately $40.3 million as of June 30, 2025. Cash flows from operating activities were $218,000 for the six months ended June 30, 2025. As of June 30, 2025, the Company had a working capital deficit of approximately $2.8 million, inclusive of $1.4 million in cash and cash equivalents to cover overhead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 projections and cash on hand, we estimate that our liquidity and cash resources are sufficient for our current and projected financial needs for the next twelve months, at a minimum.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prepared on a going concern basis and do not include any adjustments that might result from uncertainty about the Company’s ability to continue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translates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have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valuation of the 2024 Secured Term Notes and 2024 Secured Convertible Notes carrying value regarding debt modification or extinguishment, and allowance for credit losses have the greatest potential impact on our consolidated financial statements. Therefore, the Company consider the policies related to these financial areas to be 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w:t>
      </w:r>
      <w:r>
        <w:rPr>
          <w:rFonts w:ascii="Times New Roman;Times;Serif" w:hAnsi="Times New Roman;Times;Serif"/>
          <w:b w:val="false"/>
          <w:i/>
          <w:caps w:val="false"/>
          <w:smallCaps w:val="false"/>
          <w:sz w:val="20"/>
        </w:rPr>
        <w:t>280, Segment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assets, which include cash equivalents, current financial assets and our current financial liabilities have fair values that approximate their carrying value due to their short-term maturities.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concentration of credit risk consist principally of cash and cash equivalents and accounts receivable. The Company deposits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and require no collateral from customers. The Company maintains a credit loss reserve for expected credit losses based upon the expected collectability of accounts receivable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one customer representing 17% of total revenues for the six months ended June 30, 2025, and one customer represented more than 14% of total revenues for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Company had three customers representing 47% of accounts receivable and two customers represented 40% of accounts receivable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one vendor representing 90% of cost of goods sold for the six months ended June 30, 2025, and the same vendor represented 89% of cost of goods sold for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three vendors representing 59% of accounts payable as of June 30, 2025. At December 31, 2024, two vendors represented 59% of accounts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Deferred Financing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issued $6.4 million aggregate principal amount of 2024 Secured Convertible Notes and $1.6 million aggregate principal amount of 2024 Secured Term Notes. See Note 8. The expenses directly related to issuance of this debt, including investment bank advisory fees, legal fees and other advisory fees, have been deferred and will be expensed over the three-year term of the debt up to January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and Cash Equivalents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 maturity of three months or less, when acquired, to be cash equivalents. There are no cash equivalents as of June 30, 2025, and December 31, 2024.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exceeded the federally insured limits of $250,000 for interest and non-interest-bearing deposits. The Company had cash balances with a single financial institution in excess of the FDIC insured limits by amounts of $1.1 million as of June 30, 2025. We monitor the financial condition of such institution and have not experienced any losses associated with these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Accounts Receivable, Net &amp;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6068" w:type="dxa"/>
        <w:jc w:val="left"/>
        <w:tblInd w:w="0" w:type="dxa"/>
        <w:tblLayout w:type="fixed"/>
        <w:tblCellMar>
          <w:top w:w="0" w:type="dxa"/>
          <w:left w:w="0" w:type="dxa"/>
          <w:bottom w:w="0" w:type="dxa"/>
          <w:right w:w="0" w:type="dxa"/>
        </w:tblCellMar>
      </w:tblPr>
      <w:tblGrid>
        <w:gridCol w:w="2855"/>
        <w:gridCol w:w="90"/>
        <w:gridCol w:w="275"/>
        <w:gridCol w:w="959"/>
        <w:gridCol w:w="125"/>
        <w:gridCol w:w="90"/>
        <w:gridCol w:w="336"/>
        <w:gridCol w:w="1168"/>
        <w:gridCol w:w="170"/>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1,521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1,945</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Unbilled receivables</w:t>
            </w:r>
          </w:p>
        </w:tc>
        <w:tc>
          <w:tcPr>
            <w:tcW w:w="90" w:type="dxa"/>
            <w:tcBorders/>
            <w:vAlign w:val="center"/>
          </w:tcPr>
          <w:p>
            <w:pPr>
              <w:pStyle w:val="TableContents"/>
              <w:bidi w:val="0"/>
              <w:spacing w:before="0" w:after="283"/>
              <w:jc w:val="left"/>
              <w:rPr/>
            </w:pPr>
            <w:r>
              <w:rPr/>
              <w:t> </w:t>
            </w:r>
          </w:p>
        </w:tc>
        <w:tc>
          <w:tcPr>
            <w:tcW w:w="2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pPr>
            <w:r>
              <w:rPr/>
              <w:t>824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694</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Total receivables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2,345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2,639</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Less allowance for credit loss</w:t>
            </w:r>
          </w:p>
        </w:tc>
        <w:tc>
          <w:tcPr>
            <w:tcW w:w="90" w:type="dxa"/>
            <w:tcBorders/>
            <w:vAlign w:val="center"/>
          </w:tcPr>
          <w:p>
            <w:pPr>
              <w:pStyle w:val="TableContents"/>
              <w:bidi w:val="0"/>
              <w:spacing w:before="0" w:after="283"/>
              <w:jc w:val="left"/>
              <w:rPr/>
            </w:pPr>
            <w:r>
              <w:rPr/>
              <w:t> </w:t>
            </w:r>
          </w:p>
        </w:tc>
        <w:tc>
          <w:tcPr>
            <w:tcW w:w="2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pPr>
            <w:r>
              <w:rPr/>
              <w:t>(209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(426</w:t>
            </w:r>
          </w:p>
        </w:tc>
        <w:tc>
          <w:tcPr>
            <w:tcW w:w="170" w:type="dxa"/>
            <w:tcBorders/>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2,136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2,213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was $130,000 and $80,000 for the three months ended June 30, 2025, and 2024, respectively. Credit loss expense was $220,000 and $167,000 for the six months ended June 30, 2025, and 2024, respectively. The amounts are included in general and administrative expenses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activity related to the Company’s allowance for credit losses for the six months ended June 30, 2025 (in thousands).</w:t>
      </w:r>
    </w:p>
    <w:p>
      <w:pPr>
        <w:pStyle w:val="TextBody"/>
        <w:bidi w:val="0"/>
        <w:spacing w:before="0" w:after="0"/>
        <w:ind w:left="0" w:right="0" w:hanging="0"/>
        <w:jc w:val="both"/>
        <w:rPr>
          <w:caps w:val="false"/>
          <w:smallCaps w:val="false"/>
        </w:rPr>
      </w:pPr>
      <w:r>
        <w:rPr>
          <w:caps w:val="false"/>
          <w:smallCaps w:val="false"/>
        </w:rPr>
        <w:t> </w:t>
      </w:r>
    </w:p>
    <w:tbl>
      <w:tblPr>
        <w:tblW w:w="8279" w:type="dxa"/>
        <w:jc w:val="left"/>
        <w:tblInd w:w="0" w:type="dxa"/>
        <w:tblLayout w:type="fixed"/>
        <w:tblCellMar>
          <w:top w:w="0" w:type="dxa"/>
          <w:left w:w="0" w:type="dxa"/>
          <w:bottom w:w="0" w:type="dxa"/>
          <w:right w:w="0" w:type="dxa"/>
        </w:tblCellMar>
      </w:tblPr>
      <w:tblGrid>
        <w:gridCol w:w="6545"/>
        <w:gridCol w:w="90"/>
        <w:gridCol w:w="382"/>
        <w:gridCol w:w="1092"/>
        <w:gridCol w:w="170"/>
      </w:tblGrid>
      <w:tr>
        <w:trPr/>
        <w:tc>
          <w:tcPr>
            <w:tcW w:w="6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Allowance for</w:t>
              <w:br/>
              <w:t>credit losses</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Outstanding balance, December 31, 2024</w:t>
            </w:r>
          </w:p>
        </w:tc>
        <w:tc>
          <w:tcPr>
            <w:tcW w:w="9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426</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Current-period provision for expected credit losses</w:t>
            </w:r>
          </w:p>
        </w:tc>
        <w:tc>
          <w:tcPr>
            <w:tcW w:w="9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220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Write-offs charged against the allowance, net of recoveries and other</w:t>
            </w:r>
          </w:p>
        </w:tc>
        <w:tc>
          <w:tcPr>
            <w:tcW w:w="90" w:type="dxa"/>
            <w:tcBorders/>
            <w:shd w:fill="CCEEFF" w:val="clear"/>
            <w:vAlign w:val="center"/>
          </w:tcPr>
          <w:p>
            <w:pPr>
              <w:pStyle w:val="TableContents"/>
              <w:bidi w:val="0"/>
              <w:spacing w:before="0" w:after="283"/>
              <w:jc w:val="left"/>
              <w:rPr/>
            </w:pPr>
            <w:r>
              <w:rPr/>
              <w:t> </w:t>
            </w:r>
          </w:p>
        </w:tc>
        <w:tc>
          <w:tcPr>
            <w:tcW w:w="3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(437</w:t>
            </w:r>
          </w:p>
        </w:tc>
        <w:tc>
          <w:tcPr>
            <w:tcW w:w="170" w:type="dxa"/>
            <w:tcBorders/>
            <w:shd w:fill="CCEEFF" w:val="clear"/>
            <w:vAlign w:val="center"/>
          </w:tcPr>
          <w:p>
            <w:pPr>
              <w:pStyle w:val="TableContents"/>
              <w:bidi w:val="0"/>
              <w:spacing w:before="0" w:after="283"/>
              <w:jc w:val="left"/>
              <w:rPr/>
            </w:pPr>
            <w:r>
              <w:rPr/>
              <w:t>)</w:t>
            </w:r>
          </w:p>
        </w:tc>
      </w:tr>
      <w:tr>
        <w:trPr/>
        <w:tc>
          <w:tcPr>
            <w:tcW w:w="6545" w:type="dxa"/>
            <w:tcBorders/>
            <w:vAlign w:val="center"/>
          </w:tcPr>
          <w:p>
            <w:pPr>
              <w:pStyle w:val="TableContents"/>
              <w:bidi w:val="0"/>
              <w:spacing w:before="0" w:after="283"/>
              <w:jc w:val="left"/>
              <w:rPr/>
            </w:pPr>
            <w:r>
              <w:rPr/>
              <w:t>Outstanding Balance, June 30, 2025</w:t>
            </w:r>
          </w:p>
        </w:tc>
        <w:tc>
          <w:tcPr>
            <w:tcW w:w="90" w:type="dxa"/>
            <w:tcBorders/>
            <w:vAlign w:val="center"/>
          </w:tcPr>
          <w:p>
            <w:pPr>
              <w:pStyle w:val="TableContents"/>
              <w:bidi w:val="0"/>
              <w:spacing w:before="0" w:after="283"/>
              <w:jc w:val="left"/>
              <w:rPr/>
            </w:pPr>
            <w:r>
              <w:rPr/>
              <w:t> </w:t>
            </w:r>
          </w:p>
        </w:tc>
        <w:tc>
          <w:tcPr>
            <w:tcW w:w="382" w:type="dxa"/>
            <w:tcBorders>
              <w:bottom w:val="double" w:sz="10" w:space="0" w:color="000000"/>
            </w:tcBorders>
            <w:tcMar>
              <w:bottom w:w="28" w:type="dxa"/>
            </w:tcMar>
            <w:vAlign w:val="center"/>
          </w:tcPr>
          <w:p>
            <w:pPr>
              <w:pStyle w:val="TableContents"/>
              <w:bidi w:val="0"/>
              <w:spacing w:before="0" w:after="283"/>
              <w:jc w:val="left"/>
              <w:rPr/>
            </w:pPr>
            <w:r>
              <w:rPr/>
              <w:t>$</w:t>
            </w:r>
          </w:p>
        </w:tc>
        <w:tc>
          <w:tcPr>
            <w:tcW w:w="1092" w:type="dxa"/>
            <w:tcBorders>
              <w:bottom w:val="double" w:sz="10" w:space="0" w:color="000000"/>
            </w:tcBorders>
            <w:tcMar>
              <w:bottom w:w="28" w:type="dxa"/>
            </w:tcMar>
            <w:vAlign w:val="center"/>
          </w:tcPr>
          <w:p>
            <w:pPr>
              <w:pStyle w:val="TableContents"/>
              <w:bidi w:val="0"/>
              <w:spacing w:before="0" w:after="283"/>
              <w:jc w:val="right"/>
              <w:rPr/>
            </w:pPr>
            <w:r>
              <w:rPr/>
              <w:t>209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5338" w:type="dxa"/>
        <w:jc w:val="left"/>
        <w:tblInd w:w="0" w:type="dxa"/>
        <w:tblLayout w:type="fixed"/>
        <w:tblCellMar>
          <w:top w:w="0" w:type="dxa"/>
          <w:left w:w="0" w:type="dxa"/>
          <w:bottom w:w="0" w:type="dxa"/>
          <w:right w:w="0" w:type="dxa"/>
        </w:tblCellMar>
      </w:tblPr>
      <w:tblGrid>
        <w:gridCol w:w="2195"/>
        <w:gridCol w:w="90"/>
        <w:gridCol w:w="361"/>
        <w:gridCol w:w="873"/>
        <w:gridCol w:w="90"/>
        <w:gridCol w:w="90"/>
        <w:gridCol w:w="440"/>
        <w:gridCol w:w="1064"/>
        <w:gridCol w:w="135"/>
      </w:tblGrid>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Prepaid insurance</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162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30</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Other prepaid expense</w:t>
            </w:r>
          </w:p>
        </w:tc>
        <w:tc>
          <w:tcPr>
            <w:tcW w:w="9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165</w:t>
            </w:r>
          </w:p>
        </w:tc>
        <w:tc>
          <w:tcPr>
            <w:tcW w:w="13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13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 w:type="dxa"/>
            <w:tcBorders>
              <w:bottom w:val="double" w:sz="10" w:space="0" w:color="000000"/>
            </w:tcBorders>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tcMar>
              <w:bottom w:w="28" w:type="dxa"/>
            </w:tcMar>
            <w:vAlign w:val="center"/>
          </w:tcPr>
          <w:p>
            <w:pPr>
              <w:pStyle w:val="TableContents"/>
              <w:bidi w:val="0"/>
              <w:spacing w:before="0" w:after="283"/>
              <w:jc w:val="right"/>
              <w:rPr/>
            </w:pPr>
            <w:r>
              <w:rPr/>
              <w:t>453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284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4595"/>
        <w:gridCol w:w="90"/>
        <w:gridCol w:w="320"/>
        <w:gridCol w:w="914"/>
        <w:gridCol w:w="125"/>
        <w:gridCol w:w="90"/>
        <w:gridCol w:w="336"/>
        <w:gridCol w:w="1168"/>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380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Furniture and fixtures</w:t>
            </w:r>
          </w:p>
        </w:tc>
        <w:tc>
          <w:tcPr>
            <w:tcW w:w="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178</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Data warehouse</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286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Software</w:t>
            </w:r>
          </w:p>
        </w:tc>
        <w:tc>
          <w:tcPr>
            <w:tcW w:w="90" w:type="dxa"/>
            <w:tcBorders/>
            <w:vAlign w:val="center"/>
          </w:tcPr>
          <w:p>
            <w:pPr>
              <w:pStyle w:val="TableContents"/>
              <w:bidi w:val="0"/>
              <w:spacing w:before="0" w:after="283"/>
              <w:jc w:val="lef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tcMar>
              <w:bottom w:w="28" w:type="dxa"/>
            </w:tcMar>
            <w:vAlign w:val="center"/>
          </w:tcPr>
          <w:p>
            <w:pPr>
              <w:pStyle w:val="TableContents"/>
              <w:bidi w:val="0"/>
              <w:spacing w:before="0" w:after="283"/>
              <w:jc w:val="right"/>
              <w:rPr/>
            </w:pPr>
            <w:r>
              <w:rPr/>
              <w:t>196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196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cost</w:t>
            </w:r>
          </w:p>
        </w:tc>
        <w:tc>
          <w:tcPr>
            <w:tcW w:w="9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1,112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Less accumulated depreciation and amortization</w:t>
            </w:r>
          </w:p>
        </w:tc>
        <w:tc>
          <w:tcPr>
            <w:tcW w:w="90" w:type="dxa"/>
            <w:tcBorders/>
            <w:vAlign w:val="center"/>
          </w:tcPr>
          <w:p>
            <w:pPr>
              <w:pStyle w:val="TableContents"/>
              <w:bidi w:val="0"/>
              <w:spacing w:before="0" w:after="283"/>
              <w:jc w:val="lef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tcMar>
              <w:bottom w:w="28" w:type="dxa"/>
            </w:tcMar>
            <w:vAlign w:val="center"/>
          </w:tcPr>
          <w:p>
            <w:pPr>
              <w:pStyle w:val="TableContents"/>
              <w:bidi w:val="0"/>
              <w:spacing w:before="0" w:after="283"/>
              <w:jc w:val="right"/>
              <w:rPr/>
            </w:pPr>
            <w:r>
              <w:rPr/>
              <w:t>(852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(908</w:t>
            </w:r>
          </w:p>
        </w:tc>
        <w:tc>
          <w:tcPr>
            <w:tcW w:w="170" w:type="dxa"/>
            <w:tcBorders/>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3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4"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204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computer equipment, furniture and fixtures, software and the data warehouse is three years. Intangible assets include data warehouse and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three and six months ended June 30, 2025, was $29,000 and $62,000, respectively. Depreciation and amortization expense for the three and six months ended June 30, 2024, was $47,000 and $101,000, respectively. The amounts are included in general and administrative expenses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the Company disposed of furniture and computer equipment associated with the office space that the Company vacated during the period. The result of the disposal was a loss of $131,000 and is recorded in the Other Income and Expenses section of the condensed consolidated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9178" w:type="dxa"/>
        <w:jc w:val="left"/>
        <w:tblInd w:w="0" w:type="dxa"/>
        <w:tblLayout w:type="fixed"/>
        <w:tblCellMar>
          <w:top w:w="0" w:type="dxa"/>
          <w:left w:w="0" w:type="dxa"/>
          <w:bottom w:w="0" w:type="dxa"/>
          <w:right w:w="0" w:type="dxa"/>
        </w:tblCellMar>
      </w:tblPr>
      <w:tblGrid>
        <w:gridCol w:w="6035"/>
        <w:gridCol w:w="90"/>
        <w:gridCol w:w="275"/>
        <w:gridCol w:w="959"/>
        <w:gridCol w:w="90"/>
        <w:gridCol w:w="90"/>
        <w:gridCol w:w="336"/>
        <w:gridCol w:w="1168"/>
        <w:gridCol w:w="135"/>
      </w:tblGrid>
      <w:tr>
        <w:trPr/>
        <w:tc>
          <w:tcPr>
            <w:tcW w:w="6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Accrued wages, commission and bonus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409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254</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Accrued professional fees</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110</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Accrued interest on 2024 Secured Convertible and Term Notes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460</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Sales tax payable</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504</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Deferred financial advisory fees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1,000</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Lease termination fee</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Technology services fee</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Accrued Severance</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3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 w:type="dxa"/>
            <w:tcBorders>
              <w:bottom w:val="double" w:sz="10" w:space="0" w:color="000000"/>
            </w:tcBorders>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tcMar>
              <w:bottom w:w="28" w:type="dxa"/>
            </w:tcMar>
            <w:vAlign w:val="center"/>
          </w:tcPr>
          <w:p>
            <w:pPr>
              <w:pStyle w:val="TableContents"/>
              <w:bidi w:val="0"/>
              <w:spacing w:before="0" w:after="283"/>
              <w:jc w:val="right"/>
              <w:rPr/>
            </w:pPr>
            <w:r>
              <w:rPr/>
              <w:t>3,963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2,630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Harris, the former CEO, and Paul Sykes, the former CFO, both participated in the debt financing transaction completed on January 23, 2024. Jeffrey Harris purchased $320,000 2024 Secured Convertible Notes, due 2027, and $80,000 2024 Secured Term Notes, due 2027. Paul Sykes purchased $25,000 2024 Secured Convertible Notes, due 2027, and $6,250 2024 Secured Term Notes, due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Jeffrey Harris entered into an agreement to sell $160,000 2024 Secured Convertible Notes and $40,000 2024 Secured Term Notes to Mark Silver, a director of the Company, for total consideration of $200,000. The Notes were transferred inclusive of accrued interest and remain an outstanding obligation of the Company on the same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Paul Sykes entered into an agreement to sell $25,000 2024 Secured Convertible Notes and $6,500 2024 Secured Term Notes to Mark Silver, a director of the Company, for total consideration of $31,500. The Notes were transferred inclusive of accrued interest and remain an outstanding obligation of the Company on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members of the board of directors at June 30, 2025, who are related parties to investors in the debt financing transaction completed on January 23, 2024. In aggregate these investors initially purchased $5.2 million 12% Secured Convertible Notes and $1.3 million 8% Secured Term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 As of June 30, 2025, the Company has not paid Mr. Harris’ for any services, nor has the Company issued the restricted stock units. The Company and Mr. Harris are currently engaged in litigation brought forth by Mr. Harris. The Company has accrued for a settlement with Mr. Harris within the accrued expenses and other current liabilities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is entitled to a revised bonus of $120,000, payable in twelve equal semimonthly installments. The Company will no longer accelerate the unvested restricted stock units previously granted to Mr. Sykes pursuant to its 2022 Long-Term Incentive Plan. All other terms of the original agreement will remain in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outstanding debt (in thousands):</w:t>
      </w:r>
    </w:p>
    <w:p>
      <w:pPr>
        <w:pStyle w:val="TextBody"/>
        <w:bidi w:val="0"/>
        <w:spacing w:before="0" w:after="0"/>
        <w:ind w:left="0" w:right="0" w:hanging="0"/>
        <w:jc w:val="both"/>
        <w:rPr>
          <w:caps w:val="false"/>
          <w:smallCaps w:val="false"/>
        </w:rPr>
      </w:pPr>
      <w:r>
        <w:rPr>
          <w:caps w:val="false"/>
          <w:smallCaps w:val="false"/>
        </w:rPr>
        <w:t> </w:t>
      </w:r>
    </w:p>
    <w:tbl>
      <w:tblPr>
        <w:tblW w:w="7868" w:type="dxa"/>
        <w:jc w:val="left"/>
        <w:tblInd w:w="0" w:type="dxa"/>
        <w:tblLayout w:type="fixed"/>
        <w:tblCellMar>
          <w:top w:w="0" w:type="dxa"/>
          <w:left w:w="0" w:type="dxa"/>
          <w:bottom w:w="0" w:type="dxa"/>
          <w:right w:w="0" w:type="dxa"/>
        </w:tblCellMar>
      </w:tblPr>
      <w:tblGrid>
        <w:gridCol w:w="4655"/>
        <w:gridCol w:w="90"/>
        <w:gridCol w:w="275"/>
        <w:gridCol w:w="959"/>
        <w:gridCol w:w="125"/>
        <w:gridCol w:w="90"/>
        <w:gridCol w:w="336"/>
        <w:gridCol w:w="1168"/>
        <w:gridCol w:w="170"/>
      </w:tblGrid>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2024 Secured Term Notes - related parties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1,386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1,386</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2024 Secured Term Notes</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214</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2024 Secured Convertible Notes - related parties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6,274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5,987</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2024 Secured Convertible Notes</w:t>
            </w:r>
          </w:p>
        </w:tc>
        <w:tc>
          <w:tcPr>
            <w:tcW w:w="90" w:type="dxa"/>
            <w:tcBorders/>
            <w:vAlign w:val="center"/>
          </w:tcPr>
          <w:p>
            <w:pPr>
              <w:pStyle w:val="TableContents"/>
              <w:bidi w:val="0"/>
              <w:spacing w:before="0" w:after="283"/>
              <w:jc w:val="left"/>
              <w:rPr/>
            </w:pPr>
            <w:r>
              <w:rPr/>
              <w:t> </w:t>
            </w:r>
          </w:p>
        </w:tc>
        <w:tc>
          <w:tcPr>
            <w:tcW w:w="2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pPr>
            <w:r>
              <w:rPr/>
              <w:t>967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923</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8,841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8,510</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Less deferred financing fees, net</w:t>
            </w:r>
          </w:p>
        </w:tc>
        <w:tc>
          <w:tcPr>
            <w:tcW w:w="90" w:type="dxa"/>
            <w:tcBorders/>
            <w:vAlign w:val="center"/>
          </w:tcPr>
          <w:p>
            <w:pPr>
              <w:pStyle w:val="TableContents"/>
              <w:bidi w:val="0"/>
              <w:spacing w:before="0" w:after="283"/>
              <w:jc w:val="left"/>
              <w:rPr/>
            </w:pPr>
            <w:r>
              <w:rPr/>
              <w:t> </w:t>
            </w:r>
          </w:p>
        </w:tc>
        <w:tc>
          <w:tcPr>
            <w:tcW w:w="27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(146</w:t>
            </w:r>
          </w:p>
        </w:tc>
        <w:tc>
          <w:tcPr>
            <w:tcW w:w="170" w:type="dxa"/>
            <w:tcBorders/>
            <w:vAlign w:val="center"/>
          </w:tcPr>
          <w:p>
            <w:pPr>
              <w:pStyle w:val="TableContents"/>
              <w:bidi w:val="0"/>
              <w:spacing w:before="0" w:after="283"/>
              <w:jc w:val="left"/>
              <w:rPr/>
            </w:pPr>
            <w:r>
              <w:rPr/>
              <w:t>)</w:t>
            </w:r>
          </w:p>
        </w:tc>
      </w:tr>
      <w:tr>
        <w:trPr/>
        <w:tc>
          <w:tcPr>
            <w:tcW w:w="46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8,730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8,364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issued $1.6 million aggregate principal amount of 2024 Secured Term Notes and $6.4 million aggregate principal amount of 2024 Secured Convertible Notes to a group of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0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any portion of the 2024 Secured Term Notes, without penalty, at any time after February 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Convertible Notes are convertible into common stock at a conversion price of $0.15 per share at the holder’s option any time up to the day prior to maturity in January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and 2024 Secured Convertible Notes rank pari passu and are secured on substantially all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time of the amendments, consistent with FASB ASC Topic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(“ASC 470”), the Company performed an analysis of the change associated with the amendments to determine whether the change was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consolidated statement of operations for the year ended December 31,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interest expense for the three and six months ended June 30, 2025 of $321,000 and $640,000 respectively, in connection with the 2024 Secured Term Notes and 2024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6% SENIOR 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December 31, 2024 and June 30, 2025, was $0. The Company recorded a $1.6 million gain on repurchase of the note for the three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$0 and $14,000 of interest expense in connection with the Senior Secured Convertible Notes for the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warrants in accordance with the guidance contained in </w:t>
      </w:r>
      <w:r>
        <w:rPr>
          <w:rFonts w:ascii="Times New Roman;Times;Serif" w:hAnsi="Times New Roman;Times;Serif"/>
          <w:b w:val="false"/>
          <w:i/>
          <w:caps w:val="false"/>
          <w:smallCaps w:val="false"/>
          <w:sz w:val="20"/>
        </w:rPr>
        <w:t>ASC 815 Derivatives and Hedging</w:t>
      </w:r>
      <w:r>
        <w:rPr>
          <w:rFonts w:ascii="Times New Roman;Times;Serif" w:hAnsi="Times New Roman;Times;Serif"/>
          <w:b w:val="false"/>
          <w:i w:val="false"/>
          <w:caps w:val="false"/>
          <w:smallCaps w:val="false"/>
          <w:sz w:val="20"/>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and December 31, 2024, the estimated fair value of the warrants was $11,200 and $11,200,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change in fair value of $0 for the three and six months ended June 30, 2025, and a fair value loss of approximately $48,000 and $51,000 for the three and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is determined in accordance with </w:t>
      </w:r>
      <w:r>
        <w:rPr>
          <w:rFonts w:ascii="Times New Roman;Times;Serif" w:hAnsi="Times New Roman;Times;Serif"/>
          <w:b w:val="false"/>
          <w:i/>
          <w:caps w:val="false"/>
          <w:smallCaps w:val="false"/>
          <w:sz w:val="20"/>
        </w:rPr>
        <w:t>ASC 820, Fair Value Measurement</w:t>
      </w:r>
      <w:r>
        <w:rPr>
          <w:rFonts w:ascii="Times New Roman;Times;Serif" w:hAnsi="Times New Roman;Times;Serif"/>
          <w:b w:val="false"/>
          <w:i w:val="false"/>
          <w:caps w:val="false"/>
          <w:smallCaps w:val="false"/>
          <w:sz w:val="20"/>
        </w:rPr>
        <w:t>. See Note 16, Fair Value Measurements, to the accompanying condensed consolidated financial statements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our revenues disaggregated by type (in thousands):</w:t>
      </w:r>
    </w:p>
    <w:p>
      <w:pPr>
        <w:pStyle w:val="TextBody"/>
        <w:bidi w:val="0"/>
        <w:spacing w:before="0" w:after="0"/>
        <w:ind w:left="0" w:right="0" w:firstLine="720"/>
        <w:jc w:val="both"/>
        <w:rPr>
          <w:caps w:val="false"/>
          <w:smallCaps w:val="false"/>
        </w:rPr>
      </w:pPr>
      <w:r>
        <w:rPr>
          <w:caps w:val="false"/>
          <w:smallCaps w:val="false"/>
        </w:rPr>
        <w:t> </w:t>
      </w:r>
    </w:p>
    <w:tbl>
      <w:tblPr>
        <w:tblW w:w="6043" w:type="dxa"/>
        <w:jc w:val="left"/>
        <w:tblInd w:w="0" w:type="dxa"/>
        <w:tblLayout w:type="fixed"/>
        <w:tblCellMar>
          <w:top w:w="0" w:type="dxa"/>
          <w:left w:w="0" w:type="dxa"/>
          <w:bottom w:w="0" w:type="dxa"/>
          <w:right w:w="0" w:type="dxa"/>
        </w:tblCellMar>
      </w:tblPr>
      <w:tblGrid>
        <w:gridCol w:w="1460"/>
        <w:gridCol w:w="90"/>
        <w:gridCol w:w="224"/>
        <w:gridCol w:w="777"/>
        <w:gridCol w:w="118"/>
        <w:gridCol w:w="118"/>
        <w:gridCol w:w="224"/>
        <w:gridCol w:w="777"/>
        <w:gridCol w:w="90"/>
        <w:gridCol w:w="90"/>
        <w:gridCol w:w="170"/>
        <w:gridCol w:w="710"/>
        <w:gridCol w:w="90"/>
        <w:gridCol w:w="90"/>
        <w:gridCol w:w="170"/>
        <w:gridCol w:w="710"/>
        <w:gridCol w:w="135"/>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b/>
              </w:rPr>
            </w:pPr>
            <w:r>
              <w:rPr>
                <w:b/>
              </w:rPr>
              <w:t>Revenue</w:t>
            </w:r>
          </w:p>
        </w:tc>
        <w:tc>
          <w:tcPr>
            <w:tcW w:w="9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Retail revenue</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5,756</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6,311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12,648</w:t>
            </w:r>
          </w:p>
        </w:tc>
        <w:tc>
          <w:tcPr>
            <w:tcW w:w="13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Brand revenue</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81</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170</w:t>
            </w:r>
          </w:p>
        </w:tc>
        <w:tc>
          <w:tcPr>
            <w:tcW w:w="13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5,837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6,422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11,350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12,818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Geographic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geographical region consist of the following (in thousands):</w:t>
      </w:r>
    </w:p>
    <w:p>
      <w:pPr>
        <w:pStyle w:val="TextBody"/>
        <w:bidi w:val="0"/>
        <w:spacing w:before="0" w:after="0"/>
        <w:ind w:left="0" w:right="0" w:firstLine="360"/>
        <w:jc w:val="both"/>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1595"/>
        <w:gridCol w:w="90"/>
        <w:gridCol w:w="224"/>
        <w:gridCol w:w="777"/>
        <w:gridCol w:w="118"/>
        <w:gridCol w:w="118"/>
        <w:gridCol w:w="224"/>
        <w:gridCol w:w="777"/>
        <w:gridCol w:w="90"/>
        <w:gridCol w:w="90"/>
        <w:gridCol w:w="170"/>
        <w:gridCol w:w="710"/>
        <w:gridCol w:w="90"/>
        <w:gridCol w:w="90"/>
        <w:gridCol w:w="170"/>
        <w:gridCol w:w="710"/>
        <w:gridCol w:w="135"/>
      </w:tblGrid>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b/>
              </w:rPr>
            </w:pPr>
            <w:r>
              <w:rPr>
                <w:b/>
              </w:rPr>
              <w:t>Retail revenue</w:t>
            </w:r>
          </w:p>
        </w:tc>
        <w:tc>
          <w:tcPr>
            <w:tcW w:w="9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5,620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6,108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10,926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12,303</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Canada</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136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345</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b/>
              </w:rPr>
            </w:pPr>
            <w:r>
              <w:rPr>
                <w:b/>
              </w:rPr>
              <w:t>Brand revenue</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United States</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81</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169</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Canada</w:t>
            </w:r>
          </w:p>
        </w:tc>
        <w:tc>
          <w:tcPr>
            <w:tcW w:w="9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5,837</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double" w:sz="10" w:space="0" w:color="000000"/>
            </w:tcBorders>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6,422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11,350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12,818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by geography are generally based on the country of the Company’s contracting entity. Total United States revenue was approximately 98% of total revenue for the three and six months ended June 30, 2025, and approximately 97% of total revenue for the three and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corrected the accounting for VIP subscriptions and wallet payments such that revenue on these products is now included on a net revenue basis. The impact of the revision was not considered material to the consolidated financial statements. Below is a summary of the impact of the revision for the three and six months ended June 30, 2024.</w:t>
      </w:r>
    </w:p>
    <w:p>
      <w:pPr>
        <w:pStyle w:val="TextBody"/>
        <w:bidi w:val="0"/>
        <w:spacing w:before="0" w:after="0"/>
        <w:ind w:left="0" w:right="0" w:firstLine="324"/>
        <w:jc w:val="both"/>
        <w:rPr>
          <w:caps w:val="false"/>
          <w:smallCaps w:val="false"/>
        </w:rPr>
      </w:pPr>
      <w:r>
        <w:rPr>
          <w:caps w:val="false"/>
          <w:smallCaps w:val="false"/>
        </w:rPr>
        <w:t> </w:t>
      </w:r>
    </w:p>
    <w:tbl>
      <w:tblPr>
        <w:tblW w:w="9826" w:type="dxa"/>
        <w:jc w:val="left"/>
        <w:tblInd w:w="0" w:type="dxa"/>
        <w:tblLayout w:type="fixed"/>
        <w:tblCellMar>
          <w:top w:w="0" w:type="dxa"/>
          <w:left w:w="0" w:type="dxa"/>
          <w:bottom w:w="0" w:type="dxa"/>
          <w:right w:w="0" w:type="dxa"/>
        </w:tblCellMar>
      </w:tblPr>
      <w:tblGrid>
        <w:gridCol w:w="1655"/>
        <w:gridCol w:w="90"/>
        <w:gridCol w:w="257"/>
        <w:gridCol w:w="1007"/>
        <w:gridCol w:w="125"/>
        <w:gridCol w:w="90"/>
        <w:gridCol w:w="324"/>
        <w:gridCol w:w="926"/>
        <w:gridCol w:w="125"/>
        <w:gridCol w:w="90"/>
        <w:gridCol w:w="184"/>
        <w:gridCol w:w="720"/>
        <w:gridCol w:w="125"/>
        <w:gridCol w:w="90"/>
        <w:gridCol w:w="243"/>
        <w:gridCol w:w="1021"/>
        <w:gridCol w:w="125"/>
        <w:gridCol w:w="90"/>
        <w:gridCol w:w="324"/>
        <w:gridCol w:w="926"/>
        <w:gridCol w:w="125"/>
        <w:gridCol w:w="90"/>
        <w:gridCol w:w="174"/>
        <w:gridCol w:w="730"/>
        <w:gridCol w:w="170"/>
      </w:tblGrid>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84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7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Revised</w:t>
            </w:r>
          </w:p>
        </w:tc>
        <w:tc>
          <w:tcPr>
            <w:tcW w:w="17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6,612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6,422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13,086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(268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12,818</w:t>
            </w:r>
          </w:p>
        </w:tc>
        <w:tc>
          <w:tcPr>
            <w:tcW w:w="170"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tcMar>
              <w:bottom w:w="28" w:type="dxa"/>
            </w:tcMar>
            <w:vAlign w:val="center"/>
          </w:tcPr>
          <w:p>
            <w:pPr>
              <w:pStyle w:val="TableContents"/>
              <w:bidi w:val="0"/>
              <w:spacing w:before="0" w:after="283"/>
              <w:jc w:val="right"/>
              <w:rPr/>
            </w:pPr>
            <w:r>
              <w:rPr/>
              <w:t>(1,915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4"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190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pPr>
            <w:r>
              <w:rPr/>
              <w:t>(1,725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tcMar>
              <w:bottom w:w="28" w:type="dxa"/>
            </w:tcMar>
            <w:vAlign w:val="center"/>
          </w:tcPr>
          <w:p>
            <w:pPr>
              <w:pStyle w:val="TableContents"/>
              <w:bidi w:val="0"/>
              <w:spacing w:before="0" w:after="283"/>
              <w:jc w:val="right"/>
              <w:rPr/>
            </w:pPr>
            <w:r>
              <w:rPr/>
              <w:t>(3,709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4"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170" w:type="dxa"/>
            <w:tcBorders/>
            <w:vAlign w:val="center"/>
          </w:tcPr>
          <w:p>
            <w:pPr>
              <w:pStyle w:val="TableContents"/>
              <w:bidi w:val="0"/>
              <w:spacing w:before="0" w:after="283"/>
              <w:jc w:val="left"/>
              <w:rPr/>
            </w:pPr>
            <w:r>
              <w:rPr/>
              <w:t>)</w:t>
            </w:r>
          </w:p>
        </w:tc>
      </w:tr>
      <w:tr>
        <w:trPr/>
        <w:tc>
          <w:tcPr>
            <w:tcW w:w="16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9,377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9,377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consisted of the following as of (in thousands):</w:t>
      </w:r>
    </w:p>
    <w:p>
      <w:pPr>
        <w:pStyle w:val="TextBody"/>
        <w:bidi w:val="0"/>
        <w:spacing w:before="0" w:after="0"/>
        <w:ind w:left="0" w:right="0" w:hanging="0"/>
        <w:jc w:val="both"/>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2690"/>
        <w:gridCol w:w="90"/>
        <w:gridCol w:w="361"/>
        <w:gridCol w:w="873"/>
        <w:gridCol w:w="90"/>
        <w:gridCol w:w="90"/>
        <w:gridCol w:w="440"/>
        <w:gridCol w:w="1064"/>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Deferred sales commissions</w:t>
            </w:r>
          </w:p>
        </w:tc>
        <w:tc>
          <w:tcPr>
            <w:tcW w:w="90" w:type="dxa"/>
            <w:tcBorders/>
            <w:shd w:fill="CCEEFF" w:val="clear"/>
            <w:vAlign w:val="center"/>
          </w:tcPr>
          <w:p>
            <w:pPr>
              <w:pStyle w:val="TableContents"/>
              <w:bidi w:val="0"/>
              <w:spacing w:before="0" w:after="283"/>
              <w:jc w:val="left"/>
              <w:rPr/>
            </w:pPr>
            <w:r>
              <w:rPr/>
              <w:t> </w:t>
            </w:r>
          </w:p>
        </w:tc>
        <w:tc>
          <w:tcPr>
            <w:tcW w:w="3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162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contract assets during the six months ended June 30, 2025, and the year ended December 31, 2024, comprised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7343" w:type="dxa"/>
        <w:jc w:val="left"/>
        <w:tblInd w:w="0" w:type="dxa"/>
        <w:tblLayout w:type="fixed"/>
        <w:tblCellMar>
          <w:top w:w="0" w:type="dxa"/>
          <w:left w:w="0" w:type="dxa"/>
          <w:bottom w:w="0" w:type="dxa"/>
          <w:right w:w="0" w:type="dxa"/>
        </w:tblCellMar>
      </w:tblPr>
      <w:tblGrid>
        <w:gridCol w:w="4130"/>
        <w:gridCol w:w="90"/>
        <w:gridCol w:w="361"/>
        <w:gridCol w:w="873"/>
        <w:gridCol w:w="125"/>
        <w:gridCol w:w="90"/>
        <w:gridCol w:w="390"/>
        <w:gridCol w:w="1114"/>
        <w:gridCol w:w="170"/>
      </w:tblGrid>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Contract assets at start of the period</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273</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Expense deferred during the period</w:t>
            </w:r>
          </w:p>
        </w:tc>
        <w:tc>
          <w:tcPr>
            <w:tcW w:w="9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(Less) amounts expensed during the period</w:t>
            </w:r>
          </w:p>
        </w:tc>
        <w:tc>
          <w:tcPr>
            <w:tcW w:w="9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pPr>
            <w:r>
              <w:rPr/>
              <w:t>(190</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Contract assets at end of the period</w:t>
            </w:r>
          </w:p>
        </w:tc>
        <w:tc>
          <w:tcPr>
            <w:tcW w:w="90" w:type="dxa"/>
            <w:tcBorders/>
            <w:vAlign w:val="center"/>
          </w:tcPr>
          <w:p>
            <w:pPr>
              <w:pStyle w:val="TableContents"/>
              <w:bidi w:val="0"/>
              <w:spacing w:before="0" w:after="283"/>
              <w:jc w:val="left"/>
              <w:rPr/>
            </w:pPr>
            <w:r>
              <w:rPr/>
              <w:t> </w:t>
            </w:r>
          </w:p>
        </w:tc>
        <w:tc>
          <w:tcPr>
            <w:tcW w:w="361" w:type="dxa"/>
            <w:tcBorders>
              <w:bottom w:val="double" w:sz="10" w:space="0" w:color="000000"/>
            </w:tcBorders>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tcMar>
              <w:bottom w:w="28" w:type="dxa"/>
            </w:tcMar>
            <w:vAlign w:val="center"/>
          </w:tcPr>
          <w:p>
            <w:pPr>
              <w:pStyle w:val="TableContents"/>
              <w:bidi w:val="0"/>
              <w:spacing w:before="0" w:after="283"/>
              <w:jc w:val="right"/>
              <w:rPr/>
            </w:pPr>
            <w:r>
              <w:rPr/>
              <w:t>162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 w:type="dxa"/>
            <w:tcBorders>
              <w:bottom w:val="double" w:sz="10" w:space="0" w:color="000000"/>
            </w:tcBorders>
            <w:tcMar>
              <w:bottom w:w="28" w:type="dxa"/>
            </w:tcMar>
            <w:vAlign w:val="center"/>
          </w:tcPr>
          <w:p>
            <w:pPr>
              <w:pStyle w:val="TableContents"/>
              <w:bidi w:val="0"/>
              <w:spacing w:before="0" w:after="283"/>
              <w:jc w:val="left"/>
              <w:rPr/>
            </w:pPr>
            <w:r>
              <w:rPr/>
              <w:t>$</w:t>
            </w:r>
          </w:p>
        </w:tc>
        <w:tc>
          <w:tcPr>
            <w:tcW w:w="1114" w:type="dxa"/>
            <w:tcBorders>
              <w:bottom w:val="double" w:sz="10" w:space="0" w:color="000000"/>
            </w:tcBorders>
            <w:tcMar>
              <w:bottom w:w="28" w:type="dxa"/>
            </w:tcMar>
            <w:vAlign w:val="center"/>
          </w:tcPr>
          <w:p>
            <w:pPr>
              <w:pStyle w:val="TableContents"/>
              <w:bidi w:val="0"/>
              <w:spacing w:before="0" w:after="283"/>
              <w:jc w:val="right"/>
              <w:rPr/>
            </w:pPr>
            <w:r>
              <w:rPr/>
              <w:t>188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Tuatara shareholders approved the SpringBig Holdings, Inc. 2022 Long-Term Incentive Plan (the “2022 Incentive Plan”), which became effective upon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ended December 31, 2023; provided that the annual increase with respect to the fiscal year ended December 31, 2023, which is 1,332,986 shares of common stock, took effect on the first business day following the annual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automatically added to the number of shares authorized for issuance on January 1, 2024, and 2025 was 2,266,988 and 2,317,417, respectively, being 5% of the number of the Company’s common stock issued and outstanding on December 31, 2023, and 2024, respectively. The total number of shares of common stock authorized for issuance under the 2022 Incentive Plan is 7,442,566 as of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on stock options outstanding as of June 30, 2025, under the Legacy Incentive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9"/>
        <w:gridCol w:w="90"/>
        <w:gridCol w:w="92"/>
        <w:gridCol w:w="1037"/>
        <w:gridCol w:w="128"/>
        <w:gridCol w:w="92"/>
        <w:gridCol w:w="345"/>
        <w:gridCol w:w="958"/>
        <w:gridCol w:w="90"/>
        <w:gridCol w:w="90"/>
        <w:gridCol w:w="97"/>
        <w:gridCol w:w="1092"/>
        <w:gridCol w:w="97"/>
        <w:gridCol w:w="97"/>
        <w:gridCol w:w="322"/>
        <w:gridCol w:w="1691"/>
        <w:gridCol w:w="97"/>
        <w:gridCol w:w="97"/>
        <w:gridCol w:w="345"/>
        <w:gridCol w:w="958"/>
        <w:gridCol w:w="141"/>
      </w:tblGrid>
      <w:tr>
        <w:trPr/>
        <w:tc>
          <w:tcPr>
            <w:tcW w:w="22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Exercisable</w:t>
            </w:r>
          </w:p>
        </w:tc>
        <w:tc>
          <w:tcPr>
            <w:tcW w:w="141" w:type="dxa"/>
            <w:tcBorders/>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Exercise</w:t>
              <w:br/>
              <w:t>Price</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Remaining Contractual</w:t>
              <w:br/>
              <w:t>Life (years)</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Exercise</w:t>
              <w:br/>
              <w:t xml:space="preserve">Price </w:t>
              <w:br/>
              <w:t>(per share)</w:t>
            </w:r>
          </w:p>
        </w:tc>
        <w:tc>
          <w:tcPr>
            <w:tcW w:w="141" w:type="dxa"/>
            <w:tcBorders/>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b/>
              </w:rPr>
            </w:pPr>
            <w:r>
              <w:rPr>
                <w:b/>
              </w:rPr>
              <w:t>Outstanding Balance, January 1, 2025</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2,257,073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283"/>
              <w:jc w:val="right"/>
              <w:rPr/>
            </w:pPr>
            <w:r>
              <w:rPr/>
              <w:t>0.57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2,257,073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3.81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283"/>
              <w:jc w:val="right"/>
              <w:rPr/>
            </w:pPr>
            <w:r>
              <w:rPr/>
              <w:t>0.57</w:t>
            </w:r>
          </w:p>
        </w:tc>
        <w:tc>
          <w:tcPr>
            <w:tcW w:w="141" w:type="dxa"/>
            <w:tcBorders/>
            <w:shd w:fill="CCEEFF" w:val="clear"/>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0"/>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691"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left"/>
              <w:rPr/>
            </w:pPr>
            <w:r>
              <w:rPr/>
              <w:t>Options forfeited and cancelled</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pPr>
            <w:r>
              <w:rPr/>
              <w:t>(806,376</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345" w:type="dxa"/>
            <w:tcBorders>
              <w:bottom w:val="single" w:sz="12" w:space="0" w:color="000000"/>
            </w:tcBorders>
            <w:tcMar>
              <w:bottom w:w="28" w:type="dxa"/>
            </w:tcMar>
            <w:vAlign w:val="center"/>
          </w:tcPr>
          <w:p>
            <w:pPr>
              <w:pStyle w:val="TableContents"/>
              <w:bidi w:val="0"/>
              <w:spacing w:before="0" w:after="283"/>
              <w:jc w:val="left"/>
              <w:rPr/>
            </w:pPr>
            <w:r>
              <w:rPr/>
              <w:t>$</w:t>
            </w:r>
          </w:p>
        </w:tc>
        <w:tc>
          <w:tcPr>
            <w:tcW w:w="958" w:type="dxa"/>
            <w:tcBorders>
              <w:bottom w:val="single" w:sz="12" w:space="0" w:color="000000"/>
            </w:tcBorders>
            <w:tcMar>
              <w:bottom w:w="28" w:type="dxa"/>
            </w:tcMar>
            <w:vAlign w:val="center"/>
          </w:tcPr>
          <w:p>
            <w:pPr>
              <w:pStyle w:val="TableContents"/>
              <w:bidi w:val="0"/>
              <w:spacing w:before="0" w:after="283"/>
              <w:jc w:val="right"/>
              <w:rPr/>
            </w:pPr>
            <w:r>
              <w:rPr/>
              <w:t>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tcMar>
              <w:bottom w:w="28" w:type="dxa"/>
            </w:tcMar>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691" w:type="dxa"/>
            <w:tcBorders>
              <w:bottom w:val="single" w:sz="12" w:space="0" w:color="000000"/>
            </w:tcBorders>
            <w:tcMar>
              <w:bottom w:w="28" w:type="dxa"/>
            </w:tcMar>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2249" w:type="dxa"/>
            <w:tcBorders/>
            <w:shd w:fill="CCEEFF" w:val="clear"/>
            <w:vAlign w:val="center"/>
          </w:tcPr>
          <w:p>
            <w:pPr>
              <w:pStyle w:val="TableContents"/>
              <w:bidi w:val="0"/>
              <w:spacing w:before="0" w:after="283"/>
              <w:jc w:val="left"/>
              <w:rPr>
                <w:b/>
              </w:rPr>
            </w:pPr>
            <w:r>
              <w:rPr>
                <w:b/>
              </w:rPr>
              <w:t>Outstanding Balance, June 30, 2025</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b/>
              </w:rPr>
            </w:pPr>
            <w:r>
              <w:rPr>
                <w:b/>
              </w:rPr>
              <w:t>1,450,697</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b/>
              </w:rPr>
            </w:pPr>
            <w:r>
              <w:rPr>
                <w:b/>
              </w:rPr>
              <w:t>$</w:t>
            </w:r>
          </w:p>
        </w:tc>
        <w:tc>
          <w:tcPr>
            <w:tcW w:w="958" w:type="dxa"/>
            <w:tcBorders/>
            <w:shd w:fill="CCEEFF" w:val="clear"/>
            <w:vAlign w:val="center"/>
          </w:tcPr>
          <w:p>
            <w:pPr>
              <w:pStyle w:val="TableContents"/>
              <w:bidi w:val="0"/>
              <w:spacing w:before="0" w:after="283"/>
              <w:jc w:val="right"/>
              <w:rPr>
                <w:b/>
              </w:rPr>
            </w:pPr>
            <w:r>
              <w:rPr>
                <w:b/>
              </w:rPr>
              <w:t>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b/>
              </w:rPr>
            </w:pPr>
            <w:r>
              <w:rPr>
                <w:b/>
              </w:rPr>
              <w:t>1,450,697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b/>
              </w:rPr>
            </w:pPr>
            <w:r>
              <w:rPr>
                <w:b/>
              </w:rPr>
              <w:t>3.18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b/>
              </w:rPr>
            </w:pPr>
            <w:r>
              <w:rPr>
                <w:b/>
              </w:rPr>
              <w:t>$</w:t>
            </w:r>
          </w:p>
        </w:tc>
        <w:tc>
          <w:tcPr>
            <w:tcW w:w="958" w:type="dxa"/>
            <w:tcBorders/>
            <w:shd w:fill="CCEEFF" w:val="clear"/>
            <w:vAlign w:val="center"/>
          </w:tcPr>
          <w:p>
            <w:pPr>
              <w:pStyle w:val="TableContents"/>
              <w:bidi w:val="0"/>
              <w:spacing w:before="0" w:after="283"/>
              <w:jc w:val="right"/>
              <w:rPr>
                <w:b/>
              </w:rPr>
            </w:pPr>
            <w:r>
              <w:rPr>
                <w:b/>
              </w:rPr>
              <w:t>0.49</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$0 of compensation expense was recorded in connection with the Legacy Incentive Plan, respectively. During the three and six months ended June 30, 2024, $18,000 and $35,000 of compensation expense was recorded in connection with the Legacy Incentive Plan, respectively. These charges are recorded in general and administrative expense on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 were exercised during the three and six months ended June 30, 2025. As of June 30, 2025, the intrinsic value of the 1,450,697 options outstanding and exercisable was $0. As of June 30, 2025, all options are vested and exercisable and the total compensation cost related to non-vested awards not yet recognized was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on Restricted Stock Units outstanding as of June 30, 2025, under the 2022 Incentive Plan:</w:t>
      </w:r>
    </w:p>
    <w:p>
      <w:pPr>
        <w:pStyle w:val="TextBody"/>
        <w:bidi w:val="0"/>
        <w:spacing w:before="0" w:after="0"/>
        <w:ind w:left="0" w:right="0" w:firstLine="360"/>
        <w:jc w:val="both"/>
        <w:rPr>
          <w:caps w:val="false"/>
          <w:smallCaps w:val="false"/>
        </w:rPr>
      </w:pPr>
      <w:r>
        <w:rPr>
          <w:caps w:val="false"/>
          <w:smallCaps w:val="false"/>
        </w:rPr>
        <w:t> </w:t>
      </w:r>
    </w:p>
    <w:tbl>
      <w:tblPr>
        <w:tblW w:w="10013" w:type="dxa"/>
        <w:jc w:val="left"/>
        <w:tblInd w:w="0" w:type="dxa"/>
        <w:tblLayout w:type="fixed"/>
        <w:tblCellMar>
          <w:top w:w="0" w:type="dxa"/>
          <w:left w:w="0" w:type="dxa"/>
          <w:bottom w:w="0" w:type="dxa"/>
          <w:right w:w="0" w:type="dxa"/>
        </w:tblCellMar>
      </w:tblPr>
      <w:tblGrid>
        <w:gridCol w:w="4250"/>
        <w:gridCol w:w="90"/>
        <w:gridCol w:w="138"/>
        <w:gridCol w:w="1741"/>
        <w:gridCol w:w="168"/>
        <w:gridCol w:w="121"/>
        <w:gridCol w:w="371"/>
        <w:gridCol w:w="1028"/>
        <w:gridCol w:w="121"/>
        <w:gridCol w:w="121"/>
        <w:gridCol w:w="352"/>
        <w:gridCol w:w="1377"/>
        <w:gridCol w:w="135"/>
      </w:tblGrid>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Restricted Stock Units Outstanding</w:t>
            </w:r>
          </w:p>
        </w:tc>
        <w:tc>
          <w:tcPr>
            <w:tcW w:w="13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RSU’s</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Fair</w:t>
              <w:br/>
              <w:t>Value</w:t>
              <w:br/>
              <w:t>(per share)</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Vesting</w:t>
              <w:br/>
              <w:t>(years)</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December 31, 2023</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2,211,509</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0.80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2.2</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granted</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right"/>
              <w:rPr/>
            </w:pPr>
            <w:r>
              <w:rPr/>
              <w:t>1,382,500</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0.14</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RSU’s forfeited and cancelled</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(174,670</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0.68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vested and common stock issued</w:t>
            </w:r>
          </w:p>
        </w:tc>
        <w:tc>
          <w:tcPr>
            <w:tcW w:w="90" w:type="dxa"/>
            <w:tcBorders/>
            <w:vAlign w:val="center"/>
          </w:tcPr>
          <w:p>
            <w:pPr>
              <w:pStyle w:val="TableContents"/>
              <w:bidi w:val="0"/>
              <w:spacing w:before="0" w:after="283"/>
              <w:jc w:val="left"/>
              <w:rPr/>
            </w:pPr>
            <w:r>
              <w:rPr/>
              <w:t> </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1" w:type="dxa"/>
            <w:tcBorders>
              <w:bottom w:val="single" w:sz="12" w:space="0" w:color="000000"/>
            </w:tcBorders>
            <w:tcMar>
              <w:bottom w:w="28" w:type="dxa"/>
            </w:tcMar>
            <w:vAlign w:val="center"/>
          </w:tcPr>
          <w:p>
            <w:pPr>
              <w:pStyle w:val="TableContents"/>
              <w:bidi w:val="0"/>
              <w:spacing w:before="0" w:after="283"/>
              <w:jc w:val="right"/>
              <w:rPr/>
            </w:pPr>
            <w:r>
              <w:rPr/>
              <w:t>(753,487</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0.87</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December 31, 2024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2,665,852</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0.45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1.7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granted</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right"/>
              <w:rPr/>
            </w:pPr>
            <w:r>
              <w:rPr/>
              <w:t>15,992,103</w:t>
            </w:r>
          </w:p>
        </w:tc>
        <w:tc>
          <w:tcPr>
            <w:tcW w:w="168"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0.06</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RSU’s forfeited and cancelled</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(1,099,505</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0.48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RSU’s vested and common stock issued</w:t>
            </w:r>
          </w:p>
        </w:tc>
        <w:tc>
          <w:tcPr>
            <w:tcW w:w="90" w:type="dxa"/>
            <w:tcBorders/>
            <w:vAlign w:val="center"/>
          </w:tcPr>
          <w:p>
            <w:pPr>
              <w:pStyle w:val="TableContents"/>
              <w:bidi w:val="0"/>
              <w:spacing w:before="0" w:after="283"/>
              <w:jc w:val="left"/>
              <w:rPr/>
            </w:pPr>
            <w:r>
              <w:rPr/>
              <w:t> </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1" w:type="dxa"/>
            <w:tcBorders>
              <w:bottom w:val="single" w:sz="12" w:space="0" w:color="000000"/>
            </w:tcBorders>
            <w:tcMar>
              <w:bottom w:w="28" w:type="dxa"/>
            </w:tcMar>
            <w:vAlign w:val="center"/>
          </w:tcPr>
          <w:p>
            <w:pPr>
              <w:pStyle w:val="TableContents"/>
              <w:bidi w:val="0"/>
              <w:spacing w:before="0" w:after="283"/>
              <w:jc w:val="right"/>
              <w:rPr/>
            </w:pPr>
            <w:r>
              <w:rPr/>
              <w:t>(511,144</w:t>
            </w:r>
          </w:p>
        </w:tc>
        <w:tc>
          <w:tcPr>
            <w:tcW w:w="168"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w:t>
            </w:r>
          </w:p>
        </w:tc>
        <w:tc>
          <w:tcPr>
            <w:tcW w:w="1028" w:type="dxa"/>
            <w:tcBorders/>
            <w:vAlign w:val="center"/>
          </w:tcPr>
          <w:p>
            <w:pPr>
              <w:pStyle w:val="TableContents"/>
              <w:bidi w:val="0"/>
              <w:spacing w:before="0" w:after="283"/>
              <w:jc w:val="right"/>
              <w:rPr/>
            </w:pPr>
            <w:r>
              <w:rPr/>
              <w:t>0.30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Outstanding Balance, June 30, 2025</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1" w:type="dxa"/>
            <w:tcBorders>
              <w:bottom w:val="single" w:sz="12" w:space="0" w:color="000000"/>
            </w:tcBorders>
            <w:shd w:fill="CCEEFF" w:val="clear"/>
            <w:tcMar>
              <w:bottom w:w="28" w:type="dxa"/>
            </w:tcMar>
            <w:vAlign w:val="center"/>
          </w:tcPr>
          <w:p>
            <w:pPr>
              <w:pStyle w:val="TableContents"/>
              <w:bidi w:val="0"/>
              <w:spacing w:before="0" w:after="283"/>
              <w:jc w:val="right"/>
              <w:rPr/>
            </w:pPr>
            <w:r>
              <w:rPr/>
              <w:t>17,047,306</w:t>
            </w:r>
          </w:p>
        </w:tc>
        <w:tc>
          <w:tcPr>
            <w:tcW w:w="168"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028" w:type="dxa"/>
            <w:tcBorders/>
            <w:shd w:fill="CCEEFF" w:val="clear"/>
            <w:vAlign w:val="center"/>
          </w:tcPr>
          <w:p>
            <w:pPr>
              <w:pStyle w:val="TableContents"/>
              <w:bidi w:val="0"/>
              <w:spacing w:before="0" w:after="283"/>
              <w:jc w:val="right"/>
              <w:rPr/>
            </w:pPr>
            <w:r>
              <w:rPr/>
              <w:t>0.08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compensation expense recorded in connection with the 2022 Incentive Plan was $173,000 and $336,000, respectively. During the three and six months ended June 30, 2024, compensation expense recorded in connection with the 2022 Incentive Plan was $182,000 and $360,000, respectively. The expense is reported within general and administrative expenses. The remaining expense of approximately $897,000 will be recognized in future periods through March 2029. The number of RSU’s granted exceed the number of shares currently reserved for issuance under the 2022 Incentive Plan, as the Company anticipates the annual issuance under the 2022 Incentive Plan will adequately cover the shares currently granted as the units vest. As of June 30, 2025 no shares have been issued in excess of the authorized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in Boca Raton, Florida, Seattle, Washington and Ontario, Canada under non-cancelable operating lease agreements. The leases require monthly payments ranging from $4,000 to $10,000 and expire on various dates through April 2028. In addition to minimum rent, the Company is required to pay a proportionate share of operating expenses under these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Company entered into a new lease which became effective on January 1, 2024, after completion of leasehold improvements. The new lease term is for 98 months, and monthly rental payments range from $38,000 to $48,000 over the life of the lease. In June 2025, the Company was able to terminate the existing lease. The Company is treating the transaction as a lease extinguishment. The lease included a termination penalty of $550,000, payable in two installments of $275,000, paid June 10, 2025, and the second payable on August 31, 2025. The Company subsequently entered into a new lease, for new office space, which became effective on May 1, 2025. The new lease term is for 36 months, and monthly rental payments of approximately $10,000 over the life of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and December 31, 2023, the following amounts were presented on the Company’s condensed consolidated balance sheets in accordance with </w:t>
      </w:r>
      <w:r>
        <w:rPr>
          <w:rFonts w:ascii="Times New Roman;Times;Serif" w:hAnsi="Times New Roman;Times;Serif"/>
          <w:b w:val="false"/>
          <w:i/>
          <w:caps w:val="false"/>
          <w:smallCaps w:val="false"/>
          <w:sz w:val="20"/>
        </w:rPr>
        <w:t xml:space="preserve">ASC 842 - Lease Accounting </w:t>
      </w: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6658" w:type="dxa"/>
        <w:jc w:val="left"/>
        <w:tblInd w:w="0" w:type="dxa"/>
        <w:tblLayout w:type="fixed"/>
        <w:tblCellMar>
          <w:top w:w="0" w:type="dxa"/>
          <w:left w:w="0" w:type="dxa"/>
          <w:bottom w:w="0" w:type="dxa"/>
          <w:right w:w="0" w:type="dxa"/>
        </w:tblCellMar>
      </w:tblPr>
      <w:tblGrid>
        <w:gridCol w:w="3515"/>
        <w:gridCol w:w="90"/>
        <w:gridCol w:w="361"/>
        <w:gridCol w:w="873"/>
        <w:gridCol w:w="90"/>
        <w:gridCol w:w="90"/>
        <w:gridCol w:w="336"/>
        <w:gridCol w:w="1168"/>
        <w:gridCol w:w="135"/>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15" w:type="dxa"/>
            <w:tcBorders>
              <w:bottom w:val="single" w:sz="12" w:space="0" w:color="000000"/>
            </w:tcBorders>
            <w:tcMar>
              <w:bottom w:w="28" w:type="dxa"/>
            </w:tcMar>
            <w:vAlign w:val="center"/>
          </w:tcPr>
          <w:p>
            <w:pPr>
              <w:pStyle w:val="TableContents"/>
              <w:bidi w:val="0"/>
              <w:spacing w:before="0" w:after="283"/>
              <w:jc w:val="left"/>
              <w:rPr>
                <w:b/>
              </w:rPr>
            </w:pPr>
            <w:r>
              <w:rPr>
                <w:b/>
              </w:rPr>
              <w:t>Balance Sheet</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Right of use asset</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470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2,757</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Operating lease liability, current</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365</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Operating lease liability, non-current</w:t>
            </w:r>
          </w:p>
        </w:tc>
        <w:tc>
          <w:tcPr>
            <w:tcW w:w="90" w:type="dxa"/>
            <w:tcBorders/>
            <w:vAlign w:val="center"/>
          </w:tcPr>
          <w:p>
            <w:pPr>
              <w:pStyle w:val="TableContents"/>
              <w:bidi w:val="0"/>
              <w:spacing w:before="0" w:after="283"/>
              <w:jc w:val="left"/>
              <w:rPr/>
            </w:pPr>
            <w:r>
              <w:rPr/>
              <w:t> </w:t>
            </w:r>
          </w:p>
        </w:tc>
        <w:tc>
          <w:tcPr>
            <w:tcW w:w="361" w:type="dxa"/>
            <w:tcBorders>
              <w:bottom w:val="single" w:sz="12" w:space="0" w:color="000000"/>
            </w:tcBorders>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tcMar>
              <w:bottom w:w="28" w:type="dxa"/>
            </w:tcMar>
            <w:vAlign w:val="center"/>
          </w:tcPr>
          <w:p>
            <w:pPr>
              <w:pStyle w:val="TableContents"/>
              <w:bidi w:val="0"/>
              <w:spacing w:before="0" w:after="283"/>
              <w:jc w:val="right"/>
              <w:rPr/>
            </w:pPr>
            <w:r>
              <w:rPr/>
              <w:t>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2,551</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3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467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2,916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2024, the Company’s operating lease cost was $299,000 and $161,000, respectively. For the six months ended June 30, 2025, and 2024, the Company’s operating lease cost was $401,000 and $321,000, respectively. Other information pertaining to capitalized assets and liabilities under the leasing standard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8771" w:type="dxa"/>
        <w:jc w:val="left"/>
        <w:tblInd w:w="0" w:type="dxa"/>
        <w:tblLayout w:type="fixed"/>
        <w:tblCellMar>
          <w:top w:w="0" w:type="dxa"/>
          <w:left w:w="0" w:type="dxa"/>
          <w:bottom w:w="0" w:type="dxa"/>
          <w:right w:w="0" w:type="dxa"/>
        </w:tblCellMar>
      </w:tblPr>
      <w:tblGrid>
        <w:gridCol w:w="6395"/>
        <w:gridCol w:w="90"/>
        <w:gridCol w:w="202"/>
        <w:gridCol w:w="489"/>
        <w:gridCol w:w="292"/>
        <w:gridCol w:w="107"/>
        <w:gridCol w:w="202"/>
        <w:gridCol w:w="704"/>
        <w:gridCol w:w="290"/>
      </w:tblGrid>
      <w:tr>
        <w:trPr/>
        <w:tc>
          <w:tcPr>
            <w:tcW w:w="6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290"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6395" w:type="dxa"/>
            <w:tcBorders>
              <w:bottom w:val="single" w:sz="12" w:space="0" w:color="000000"/>
            </w:tcBorders>
            <w:tcMar>
              <w:bottom w:w="28" w:type="dxa"/>
            </w:tcMar>
            <w:vAlign w:val="center"/>
          </w:tcPr>
          <w:p>
            <w:pPr>
              <w:pStyle w:val="TableContents"/>
              <w:bidi w:val="0"/>
              <w:spacing w:before="0" w:after="283"/>
              <w:jc w:val="left"/>
              <w:rPr>
                <w:b/>
              </w:rPr>
            </w:pPr>
            <w:r>
              <w:rPr>
                <w:b/>
              </w:rPr>
              <w:t>Other information</w:t>
            </w:r>
          </w:p>
        </w:tc>
        <w:tc>
          <w:tcPr>
            <w:tcW w:w="90" w:type="dxa"/>
            <w:tcBorders/>
            <w:vAlign w:val="center"/>
          </w:tcPr>
          <w:p>
            <w:pPr>
              <w:pStyle w:val="TableContents"/>
              <w:bidi w:val="0"/>
              <w:spacing w:before="0" w:after="283"/>
              <w:jc w:val="left"/>
              <w:rPr/>
            </w:pPr>
            <w:r>
              <w:rPr/>
              <w:t> </w:t>
            </w:r>
          </w:p>
        </w:tc>
        <w:tc>
          <w:tcPr>
            <w:tcW w:w="691"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401</w:t>
            </w:r>
          </w:p>
        </w:tc>
        <w:tc>
          <w:tcPr>
            <w:tcW w:w="29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321</w:t>
            </w:r>
          </w:p>
        </w:tc>
        <w:tc>
          <w:tcPr>
            <w:tcW w:w="290"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Operating cash flows paid to operating leases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right"/>
              <w:rPr/>
            </w:pPr>
            <w:r>
              <w:rPr/>
              <w:t>277</w:t>
            </w:r>
          </w:p>
        </w:tc>
        <w:tc>
          <w:tcPr>
            <w:tcW w:w="29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283"/>
              <w:jc w:val="right"/>
              <w:rPr/>
            </w:pPr>
            <w:r>
              <w:rPr/>
              <w:t>175</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Right-of-use assets in exchange for new operating lease liabilities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310</w:t>
            </w:r>
          </w:p>
        </w:tc>
        <w:tc>
          <w:tcPr>
            <w:tcW w:w="29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2,781</w:t>
            </w:r>
          </w:p>
        </w:tc>
        <w:tc>
          <w:tcPr>
            <w:tcW w:w="290"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pPr>
            <w:r>
              <w:rPr/>
              <w:t>Weighted-average remaining lease term - operating leases (months)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28</w:t>
            </w:r>
          </w:p>
        </w:tc>
        <w:tc>
          <w:tcPr>
            <w:tcW w:w="29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88.4</w:t>
            </w:r>
          </w:p>
        </w:tc>
        <w:tc>
          <w:tcPr>
            <w:tcW w:w="29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Weighted-average discount rate - operating leases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10</w:t>
            </w:r>
          </w:p>
        </w:tc>
        <w:tc>
          <w:tcPr>
            <w:tcW w:w="292"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Company’s lease liabilities mature as follows (in thousands):</w:t>
      </w:r>
    </w:p>
    <w:p>
      <w:pPr>
        <w:pStyle w:val="TextBody"/>
        <w:bidi w:val="0"/>
        <w:spacing w:before="0" w:after="0"/>
        <w:ind w:left="0" w:right="0" w:hanging="0"/>
        <w:jc w:val="both"/>
        <w:rPr>
          <w:caps w:val="false"/>
          <w:smallCaps w:val="false"/>
        </w:rPr>
      </w:pPr>
      <w:r>
        <w:rPr>
          <w:caps w:val="false"/>
          <w:smallCaps w:val="false"/>
        </w:rPr>
        <w:t> </w:t>
      </w:r>
    </w:p>
    <w:tbl>
      <w:tblPr>
        <w:tblW w:w="5084" w:type="dxa"/>
        <w:jc w:val="left"/>
        <w:tblInd w:w="0" w:type="dxa"/>
        <w:tblLayout w:type="fixed"/>
        <w:tblCellMar>
          <w:top w:w="0" w:type="dxa"/>
          <w:left w:w="0" w:type="dxa"/>
          <w:bottom w:w="0" w:type="dxa"/>
          <w:right w:w="0" w:type="dxa"/>
        </w:tblCellMar>
      </w:tblPr>
      <w:tblGrid>
        <w:gridCol w:w="3005"/>
        <w:gridCol w:w="90"/>
        <w:gridCol w:w="533"/>
        <w:gridCol w:w="1286"/>
        <w:gridCol w:w="170"/>
      </w:tblGrid>
      <w:tr>
        <w:trPr/>
        <w:tc>
          <w:tcPr>
            <w:tcW w:w="3005" w:type="dxa"/>
            <w:tcBorders/>
            <w:vAlign w:val="center"/>
          </w:tcPr>
          <w:p>
            <w:pPr>
              <w:pStyle w:val="TableContents"/>
              <w:bidi w:val="0"/>
              <w:spacing w:before="0" w:after="283"/>
              <w:jc w:val="left"/>
              <w:rPr/>
            </w:pPr>
            <w:r>
              <w:rPr/>
              <w:t>Fiscal Year:</w:t>
            </w:r>
          </w:p>
        </w:tc>
        <w:tc>
          <w:tcPr>
            <w:tcW w:w="9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232</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133</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42</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531</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Less imputed interest</w:t>
            </w:r>
          </w:p>
        </w:tc>
        <w:tc>
          <w:tcPr>
            <w:tcW w:w="90" w:type="dxa"/>
            <w:tcBorders/>
            <w:vAlign w:val="center"/>
          </w:tcPr>
          <w:p>
            <w:pPr>
              <w:pStyle w:val="TableContents"/>
              <w:bidi w:val="0"/>
              <w:spacing w:before="0" w:after="283"/>
              <w:jc w:val="left"/>
              <w:rPr/>
            </w:pPr>
            <w:r>
              <w:rPr/>
              <w:t> </w:t>
            </w:r>
          </w:p>
        </w:tc>
        <w:tc>
          <w:tcPr>
            <w:tcW w:w="5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Present value of lease liabilities</w:t>
            </w:r>
          </w:p>
        </w:tc>
        <w:tc>
          <w:tcPr>
            <w:tcW w:w="90" w:type="dxa"/>
            <w:tcBorders/>
            <w:shd w:fill="CCEEFF" w:val="cle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shd w:fill="CCEEFF" w:val="clear"/>
            <w:tcMar>
              <w:bottom w:w="28" w:type="dxa"/>
            </w:tcMar>
            <w:vAlign w:val="center"/>
          </w:tcPr>
          <w:p>
            <w:pPr>
              <w:pStyle w:val="TableContents"/>
              <w:bidi w:val="0"/>
              <w:spacing w:before="0" w:after="283"/>
              <w:jc w:val="right"/>
              <w:rPr/>
            </w:pPr>
            <w:r>
              <w:rPr/>
              <w:t>467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possible resolution of any legal and other contingencies when losses are possible in accordance with </w:t>
      </w:r>
      <w:r>
        <w:rPr>
          <w:rFonts w:ascii="Times New Roman;Times;Serif" w:hAnsi="Times New Roman;Times;Serif"/>
          <w:b w:val="false"/>
          <w:i/>
          <w:caps w:val="false"/>
          <w:smallCaps w:val="false"/>
          <w:sz w:val="20"/>
        </w:rPr>
        <w:t>ASC 450, Contingencies (“ASC 450”)</w:t>
      </w:r>
      <w:r>
        <w:rPr>
          <w:rFonts w:ascii="Times New Roman;Times;Serif" w:hAnsi="Times New Roman;Times;Serif"/>
          <w:b w:val="false"/>
          <w:i w:val="false"/>
          <w:caps w:val="false"/>
          <w:smallCaps w:val="false"/>
          <w:sz w:val="20"/>
        </w:rPr>
        <w:t>. Significant judgment is required in both the determination of the probability of an outcome as well as the determination of an estimate of the amount of any potential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Mr. Harris are currently engaged in litigation brought forth by Mr. Harris, former CEO and former Board Member. The litigation stems from the separation agreement as described in Note 7. The Company has accrued a settlement with Mr. Harris within the accrued expenses and other current liabilities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Employee Retention Payroll Tax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thorough accounts payable. During the three month period ending June 30, 2025 the Company received an additional $0.3 million in the form of a payroll tax refund. We have recognition of remaining $1.9 million, which is recorded in current liabilities on the accompanying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Vendor Committment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an agreement with their largest vendor. As part of the agreement the Company has committed to spending a specified minimum monthly spend with the vendor for the next 34 Months, whith additional 1 year renewals. The minimum monthly spend is reflected in each month reported, based on the activity for each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fair value hierarchy is used to classify assets and liabilities based on the observable inputs and unobservable inputs used in order to value the assets and liabilities: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55"/>
        <w:gridCol w:w="9445"/>
      </w:tblGrid>
      <w:tr>
        <w:trPr/>
        <w:tc>
          <w:tcPr>
            <w:tcW w:w="10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Level 1:</w:t>
            </w:r>
          </w:p>
        </w:tc>
        <w:tc>
          <w:tcPr>
            <w:tcW w:w="9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50"/>
        <w:gridCol w:w="9450"/>
      </w:tblGrid>
      <w:tr>
        <w:trPr/>
        <w:tc>
          <w:tcPr>
            <w:tcW w:w="1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w:t>
            </w:r>
          </w:p>
        </w:tc>
        <w:tc>
          <w:tcPr>
            <w:tcW w:w="9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54"/>
        <w:gridCol w:w="9446"/>
      </w:tblGrid>
      <w:tr>
        <w:trPr/>
        <w:tc>
          <w:tcPr>
            <w:tcW w:w="105"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w:t>
            </w:r>
          </w:p>
        </w:tc>
        <w:tc>
          <w:tcPr>
            <w:tcW w:w="9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the Company’s liabilities measured at fair value on a recurring basis as of June 30, 2025, are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6636" w:type="dxa"/>
        <w:jc w:val="left"/>
        <w:tblInd w:w="0" w:type="dxa"/>
        <w:tblLayout w:type="fixed"/>
        <w:tblCellMar>
          <w:top w:w="0" w:type="dxa"/>
          <w:left w:w="0" w:type="dxa"/>
          <w:bottom w:w="0" w:type="dxa"/>
          <w:right w:w="0" w:type="dxa"/>
        </w:tblCellMar>
      </w:tblPr>
      <w:tblGrid>
        <w:gridCol w:w="1775"/>
        <w:gridCol w:w="90"/>
        <w:gridCol w:w="186"/>
        <w:gridCol w:w="598"/>
        <w:gridCol w:w="90"/>
        <w:gridCol w:w="90"/>
        <w:gridCol w:w="190"/>
        <w:gridCol w:w="594"/>
        <w:gridCol w:w="90"/>
        <w:gridCol w:w="90"/>
        <w:gridCol w:w="172"/>
        <w:gridCol w:w="612"/>
        <w:gridCol w:w="90"/>
        <w:gridCol w:w="90"/>
        <w:gridCol w:w="361"/>
        <w:gridCol w:w="1383"/>
        <w:gridCol w:w="135"/>
      </w:tblGrid>
      <w:tr>
        <w:trPr/>
        <w:tc>
          <w:tcPr>
            <w:tcW w:w="1775" w:type="dxa"/>
            <w:tcBorders/>
            <w:vAlign w:val="center"/>
          </w:tcPr>
          <w:p>
            <w:pPr>
              <w:pStyle w:val="TableContents"/>
              <w:bidi w:val="0"/>
              <w:spacing w:before="0" w:after="283"/>
              <w:jc w:val="left"/>
              <w:rPr>
                <w:b/>
              </w:rPr>
            </w:pPr>
            <w:r>
              <w:rPr>
                <w:b/>
              </w:rPr>
              <w:t>At June 30, 2025</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Fair Value</w:t>
            </w:r>
          </w:p>
        </w:tc>
        <w:tc>
          <w:tcPr>
            <w:tcW w:w="13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tcMar>
              <w:bottom w:w="28" w:type="dxa"/>
            </w:tcMar>
            <w:vAlign w:val="center"/>
          </w:tcPr>
          <w:p>
            <w:pPr>
              <w:pStyle w:val="TableContents"/>
              <w:bidi w:val="0"/>
              <w:spacing w:before="0" w:after="0"/>
              <w:jc w:val="right"/>
              <w:rPr/>
            </w:pPr>
            <w:r>
              <w:rPr/>
              <w:t>       </w:t>
            </w: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594" w:type="dxa"/>
            <w:tcBorders>
              <w:bottom w:val="double" w:sz="10" w:space="0" w:color="000000"/>
            </w:tcBorders>
            <w:tcMar>
              <w:bottom w:w="28" w:type="dxa"/>
            </w:tcMar>
            <w:vAlign w:val="center"/>
          </w:tcPr>
          <w:p>
            <w:pPr>
              <w:pStyle w:val="TableContents"/>
              <w:bidi w:val="0"/>
              <w:spacing w:before="0" w:after="283"/>
              <w:jc w:val="right"/>
              <w:rPr/>
            </w:pPr>
            <w:r>
              <w:rPr/>
              <w:t>    </w:t>
            </w: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12" w:type="dxa"/>
            <w:tcBorders>
              <w:bottom w:val="double" w:sz="10" w:space="0" w:color="000000"/>
            </w:tcBorders>
            <w:tcMar>
              <w:bottom w:w="28" w:type="dxa"/>
            </w:tcMar>
            <w:vAlign w:val="center"/>
          </w:tcPr>
          <w:p>
            <w:pPr>
              <w:pStyle w:val="TableContents"/>
              <w:bidi w:val="0"/>
              <w:spacing w:before="0" w:after="0"/>
              <w:jc w:val="right"/>
              <w:rPr/>
            </w:pPr>
            <w:r>
              <w:rPr/>
              <w:t>        </w:t>
            </w: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 w:type="dxa"/>
            <w:tcBorders>
              <w:bottom w:val="double" w:sz="10" w:space="0" w:color="000000"/>
            </w:tcBorders>
            <w:tcMar>
              <w:bottom w:w="28" w:type="dxa"/>
            </w:tcMar>
            <w:vAlign w:val="center"/>
          </w:tcPr>
          <w:p>
            <w:pPr>
              <w:pStyle w:val="TableContents"/>
              <w:bidi w:val="0"/>
              <w:spacing w:before="0" w:after="283"/>
              <w:jc w:val="left"/>
              <w:rPr/>
            </w:pPr>
            <w:r>
              <w:rPr/>
              <w:t>$</w:t>
            </w:r>
          </w:p>
        </w:tc>
        <w:tc>
          <w:tcPr>
            <w:tcW w:w="1383" w:type="dxa"/>
            <w:tcBorders>
              <w:bottom w:val="double" w:sz="10" w:space="0" w:color="000000"/>
            </w:tcBorders>
            <w:tcMar>
              <w:bottom w:w="28" w:type="dxa"/>
            </w:tcMar>
            <w:vAlign w:val="center"/>
          </w:tcPr>
          <w:p>
            <w:pPr>
              <w:pStyle w:val="TableContents"/>
              <w:bidi w:val="0"/>
              <w:spacing w:before="0" w:after="283"/>
              <w:jc w:val="right"/>
              <w:rPr/>
            </w:pPr>
            <w:r>
              <w:rPr/>
              <w:t>      </w:t>
            </w:r>
            <w:r>
              <w:rPr/>
              <w:t>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the Company’s liabilities measured at fair value on a recurring basis as of December 31, 2024,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2315"/>
        <w:gridCol w:w="90"/>
        <w:gridCol w:w="170"/>
        <w:gridCol w:w="665"/>
        <w:gridCol w:w="90"/>
        <w:gridCol w:w="90"/>
        <w:gridCol w:w="175"/>
        <w:gridCol w:w="609"/>
        <w:gridCol w:w="90"/>
        <w:gridCol w:w="90"/>
        <w:gridCol w:w="170"/>
        <w:gridCol w:w="665"/>
        <w:gridCol w:w="90"/>
        <w:gridCol w:w="90"/>
        <w:gridCol w:w="361"/>
        <w:gridCol w:w="1383"/>
        <w:gridCol w:w="135"/>
      </w:tblGrid>
      <w:tr>
        <w:trPr/>
        <w:tc>
          <w:tcPr>
            <w:tcW w:w="2315" w:type="dxa"/>
            <w:tcBorders/>
            <w:vAlign w:val="center"/>
          </w:tcPr>
          <w:p>
            <w:pPr>
              <w:pStyle w:val="TableContents"/>
              <w:bidi w:val="0"/>
              <w:spacing w:before="0" w:after="283"/>
              <w:jc w:val="left"/>
              <w:rPr>
                <w:b/>
              </w:rPr>
            </w:pPr>
            <w:r>
              <w:rPr>
                <w:b/>
              </w:rPr>
              <w:t>At December 31, 2024</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Fair Value</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0"/>
              <w:jc w:val="right"/>
              <w:rPr/>
            </w:pPr>
            <w:r>
              <w:rPr/>
              <w:t>         </w:t>
            </w: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tcMar>
              <w:bottom w:w="28" w:type="dxa"/>
            </w:tcMar>
            <w:vAlign w:val="center"/>
          </w:tcPr>
          <w:p>
            <w:pPr>
              <w:pStyle w:val="TableContents"/>
              <w:bidi w:val="0"/>
              <w:spacing w:before="0" w:after="283"/>
              <w:jc w:val="right"/>
              <w:rPr/>
            </w:pPr>
            <w:r>
              <w:rPr/>
              <w:t>     </w:t>
            </w: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0"/>
              <w:jc w:val="right"/>
              <w:rPr/>
            </w:pPr>
            <w:r>
              <w:rPr/>
              <w:t>         </w:t>
            </w: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 w:type="dxa"/>
            <w:tcBorders>
              <w:bottom w:val="double" w:sz="10" w:space="0" w:color="000000"/>
            </w:tcBorders>
            <w:tcMar>
              <w:bottom w:w="28" w:type="dxa"/>
            </w:tcMar>
            <w:vAlign w:val="center"/>
          </w:tcPr>
          <w:p>
            <w:pPr>
              <w:pStyle w:val="TableContents"/>
              <w:bidi w:val="0"/>
              <w:spacing w:before="0" w:after="283"/>
              <w:jc w:val="left"/>
              <w:rPr/>
            </w:pPr>
            <w:r>
              <w:rPr/>
              <w:t>$</w:t>
            </w:r>
          </w:p>
        </w:tc>
        <w:tc>
          <w:tcPr>
            <w:tcW w:w="1383" w:type="dxa"/>
            <w:tcBorders>
              <w:bottom w:val="double" w:sz="10" w:space="0" w:color="000000"/>
            </w:tcBorders>
            <w:tcMar>
              <w:bottom w:w="28" w:type="dxa"/>
            </w:tcMar>
            <w:vAlign w:val="center"/>
          </w:tcPr>
          <w:p>
            <w:pPr>
              <w:pStyle w:val="TableContents"/>
              <w:bidi w:val="0"/>
              <w:spacing w:before="0" w:after="283"/>
              <w:jc w:val="right"/>
              <w:rPr/>
            </w:pPr>
            <w:r>
              <w:rPr/>
              <w:t>      </w:t>
            </w:r>
            <w:r>
              <w:rPr/>
              <w:t>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limited trading volumes for the public warrants, there were certain transfers of financial liabilities between Level 1 and Level 2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methodologies used to estimate the fair values of liabilities measured at fair value on a recurring basis and within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Warrant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fair value approach to account for its warrants based on the quoted price at June 30, 2025, the calculation is consistent with ASC 820, Fair Value Measurement, with changes in fair value recorded in current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value of the public warrants was approximately $11,200 using a closing price of $0.0007.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provides a roll-forward in the changes in fair value in the public warrants for the six months ended June 30, 2025 (in thousands):</w:t>
      </w:r>
    </w:p>
    <w:p>
      <w:pPr>
        <w:pStyle w:val="TextBody"/>
        <w:bidi w:val="0"/>
        <w:spacing w:before="0" w:after="0"/>
        <w:ind w:left="0" w:right="0" w:firstLine="720"/>
        <w:jc w:val="both"/>
        <w:rPr>
          <w:caps w:val="false"/>
          <w:smallCaps w:val="false"/>
        </w:rPr>
      </w:pPr>
      <w:r>
        <w:rPr>
          <w:caps w:val="false"/>
          <w:smallCaps w:val="false"/>
        </w:rPr>
        <w:t> </w:t>
      </w:r>
    </w:p>
    <w:tbl>
      <w:tblPr>
        <w:tblW w:w="9960" w:type="dxa"/>
        <w:jc w:val="left"/>
        <w:tblInd w:w="0" w:type="dxa"/>
        <w:tblLayout w:type="fixed"/>
        <w:tblCellMar>
          <w:top w:w="0" w:type="dxa"/>
          <w:left w:w="0" w:type="dxa"/>
          <w:bottom w:w="0" w:type="dxa"/>
          <w:right w:w="0" w:type="dxa"/>
        </w:tblCellMar>
      </w:tblPr>
      <w:tblGrid>
        <w:gridCol w:w="9275"/>
        <w:gridCol w:w="90"/>
        <w:gridCol w:w="170"/>
        <w:gridCol w:w="290"/>
        <w:gridCol w:w="135"/>
      </w:tblGrid>
      <w:tr>
        <w:trPr/>
        <w:tc>
          <w:tcPr>
            <w:tcW w:w="9275" w:type="dxa"/>
            <w:tcBorders/>
            <w:vAlign w:val="center"/>
          </w:tcPr>
          <w:p>
            <w:pPr>
              <w:pStyle w:val="TableContents"/>
              <w:bidi w:val="0"/>
              <w:spacing w:before="0" w:after="283"/>
              <w:jc w:val="left"/>
              <w:rPr>
                <w:b/>
              </w:rPr>
            </w:pPr>
            <w:r>
              <w:rPr>
                <w:b/>
              </w:rPr>
              <w:t>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275" w:type="dxa"/>
            <w:tcBorders/>
            <w:shd w:fill="CCEEFF" w:val="clear"/>
            <w:vAlign w:val="center"/>
          </w:tcPr>
          <w:p>
            <w:pPr>
              <w:pStyle w:val="TableContents"/>
              <w:bidi w:val="0"/>
              <w:spacing w:before="0" w:after="283"/>
              <w:jc w:val="left"/>
              <w:rPr/>
            </w:pPr>
            <w:r>
              <w:rPr/>
              <w:t>Balance, January 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9275"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9275" w:type="dxa"/>
            <w:tcBorders/>
            <w:shd w:fill="CCEEFF" w:val="clear"/>
            <w:vAlign w:val="center"/>
          </w:tcPr>
          <w:p>
            <w:pPr>
              <w:pStyle w:val="TableContents"/>
              <w:bidi w:val="0"/>
              <w:spacing w:before="0" w:after="283"/>
              <w:jc w:val="left"/>
              <w:rPr/>
            </w:pPr>
            <w:r>
              <w:rPr/>
              <w:t>Balance, June 30,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jc w:val="left"/>
              <w:rPr/>
            </w:pPr>
            <w:r>
              <w:rPr/>
              <w:t> </w:t>
            </w:r>
          </w:p>
        </w:tc>
      </w:tr>
      <w:tr>
        <w:trPr/>
        <w:tc>
          <w:tcPr>
            <w:tcW w:w="9275" w:type="dxa"/>
            <w:tcBorders/>
            <w:vAlign w:val="center"/>
          </w:tcPr>
          <w:p>
            <w:pPr>
              <w:pStyle w:val="TableContents"/>
              <w:bidi w:val="0"/>
              <w:spacing w:before="0" w:after="283"/>
              <w:jc w:val="left"/>
              <w:rPr/>
            </w:pPr>
            <w:r>
              <w:rPr/>
              <w:t>Change in fair value included in earnings for the period relating to liabilities held at June 30, 2025</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290"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Fair Value Considerations </w:t>
      </w:r>
      <w:r>
        <w:rPr>
          <w:rFonts w:ascii="Times New Roman;Times;Serif" w:hAnsi="Times New Roman;Times;Serif"/>
          <w:b w:val="false"/>
          <w:i w:val="false"/>
          <w:caps w:val="false"/>
          <w:smallCaps w:val="false"/>
          <w:sz w:val="20"/>
        </w:rPr>
        <w:t>– Carrying value of accounts receivables, contract assets, prepaid expenses and other assets, accounts payable and accrued expenses approximate fair value due to their short-term maturities and/or low credit risk.</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Sponsor Escrow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and 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7,000,000 contingent shares if the closing price of the Company’s common stock equals or exceeds $12.00 per share on any twenty (20) trading days in a thirty (30)-trading day period at any time after the Closing Date and no later than 60 months following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1,250,000 contingent shares if the closing price of the Company’s common stock equals or exceeds $18.00 per share on any twenty (20) trading days in a thirty (30)-trading day period at any time after the Closing Date and no later than 60 months following the Closing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2024, there were 46,859,495 and 46,148,026 shares of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actual basic and diluted earnings per share for the three and six months ended June 30, 2025, and 2024, respectively (in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0"/>
        <w:gridCol w:w="90"/>
        <w:gridCol w:w="170"/>
        <w:gridCol w:w="1130"/>
        <w:gridCol w:w="125"/>
        <w:gridCol w:w="90"/>
        <w:gridCol w:w="170"/>
        <w:gridCol w:w="1130"/>
        <w:gridCol w:w="125"/>
        <w:gridCol w:w="90"/>
        <w:gridCol w:w="170"/>
        <w:gridCol w:w="1130"/>
        <w:gridCol w:w="125"/>
        <w:gridCol w:w="90"/>
        <w:gridCol w:w="170"/>
        <w:gridCol w:w="1130"/>
        <w:gridCol w:w="170"/>
      </w:tblGrid>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b/>
              </w:rPr>
            </w:pPr>
            <w:r>
              <w:rPr>
                <w:b/>
              </w:rPr>
              <w:t>Loss per share:</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Numerator:</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100"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100" w:type="dxa"/>
            <w:tcBorders/>
            <w:shd w:fill="CCEEFF" w:val="clear"/>
            <w:vAlign w:val="center"/>
          </w:tcPr>
          <w:p>
            <w:pPr>
              <w:pStyle w:val="TableContents"/>
              <w:bidi w:val="0"/>
              <w:spacing w:before="0" w:after="283"/>
              <w:jc w:val="left"/>
              <w:rPr/>
            </w:pPr>
            <w:r>
              <w:rPr/>
              <w:t>Weighted average common shares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10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46,829,586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45,721,610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46,609,898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45,576,941</w:t>
            </w:r>
          </w:p>
        </w:tc>
        <w:tc>
          <w:tcPr>
            <w:tcW w:w="170" w:type="dxa"/>
            <w:tcBorders/>
            <w:vAlign w:val="center"/>
          </w:tcPr>
          <w:p>
            <w:pPr>
              <w:pStyle w:val="TableContents"/>
              <w:bidi w:val="0"/>
              <w:spacing w:before="0" w:after="283"/>
              <w:ind w:left="0" w:right="0" w:hanging="180"/>
              <w:jc w:val="left"/>
              <w:rPr/>
            </w:pPr>
            <w:r>
              <w:rPr/>
              <w:t> </w:t>
            </w:r>
          </w:p>
        </w:tc>
      </w:tr>
      <w:tr>
        <w:trPr/>
        <w:tc>
          <w:tcPr>
            <w:tcW w:w="4100" w:type="dxa"/>
            <w:tcBorders/>
            <w:shd w:fill="CCEEFF" w:val="clear"/>
            <w:vAlign w:val="center"/>
          </w:tcPr>
          <w:p>
            <w:pPr>
              <w:pStyle w:val="TableContents"/>
              <w:bidi w:val="0"/>
              <w:spacing w:before="0" w:after="283"/>
              <w:jc w:val="left"/>
              <w:rPr/>
            </w:pPr>
            <w:r>
              <w:rPr/>
              <w:t>Net 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10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anti-dilutive securities excluded from the weighted-average shares used to calculate the diluted net loss per common share for the three months ended June 30, 2025, and the net income per common share for the three months ended June 30, 2024, were as follows: </w:t>
      </w:r>
    </w:p>
    <w:p>
      <w:pPr>
        <w:pStyle w:val="TextBody"/>
        <w:bidi w:val="0"/>
        <w:spacing w:before="0" w:after="0"/>
        <w:ind w:left="0" w:right="0" w:hanging="0"/>
        <w:jc w:val="both"/>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5345"/>
        <w:gridCol w:w="90"/>
        <w:gridCol w:w="90"/>
        <w:gridCol w:w="1130"/>
        <w:gridCol w:w="90"/>
        <w:gridCol w:w="90"/>
        <w:gridCol w:w="90"/>
        <w:gridCol w:w="1130"/>
        <w:gridCol w:w="135"/>
      </w:tblGrid>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3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Shares unvested and subject to exercise of stock options</w:t>
            </w:r>
          </w:p>
        </w:tc>
        <w:tc>
          <w:tcPr>
            <w:tcW w:w="90" w:type="dxa"/>
            <w:tcBorders/>
            <w:shd w:fill="CCEEFF" w:val="clear"/>
            <w:vAlign w:val="center"/>
          </w:tcPr>
          <w:p>
            <w:pPr>
              <w:pStyle w:val="TableContents"/>
              <w:bidi w:val="0"/>
              <w:spacing w:before="0" w:after="283"/>
              <w:jc w:val="left"/>
              <w:rPr/>
            </w:pPr>
            <w:r>
              <w:rPr/>
              <w:t> </w:t>
            </w:r>
          </w:p>
        </w:tc>
        <w:tc>
          <w:tcPr>
            <w:tcW w:w="1220" w:type="dxa"/>
            <w:gridSpan w:val="2"/>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gridSpan w:val="2"/>
            <w:tcBorders/>
            <w:shd w:fill="CCEEFF" w:val="clear"/>
            <w:vAlign w:val="center"/>
          </w:tcPr>
          <w:p>
            <w:pPr>
              <w:pStyle w:val="TableContents"/>
              <w:bidi w:val="0"/>
              <w:spacing w:before="0" w:after="283"/>
              <w:jc w:val="right"/>
              <w:rPr/>
            </w:pPr>
            <w:r>
              <w:rPr/>
              <w:t>96,345</w:t>
            </w:r>
          </w:p>
        </w:tc>
        <w:tc>
          <w:tcPr>
            <w:tcW w:w="135"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Shares subject to outstanding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1,450,697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2,545,299</w:t>
            </w:r>
          </w:p>
        </w:tc>
        <w:tc>
          <w:tcPr>
            <w:tcW w:w="13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Shares subject to convertible notes stock conversion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48,276,080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5,636,928</w:t>
            </w:r>
          </w:p>
        </w:tc>
        <w:tc>
          <w:tcPr>
            <w:tcW w:w="135"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Shares subject to warrants stock conversion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16,586,980</w:t>
            </w:r>
          </w:p>
        </w:tc>
        <w:tc>
          <w:tcPr>
            <w:tcW w:w="13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Shares subject to contingent earn out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10,500,000</w:t>
            </w:r>
          </w:p>
        </w:tc>
        <w:tc>
          <w:tcPr>
            <w:tcW w:w="135"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17,047,306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2,600,500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safe harbor 401(k) retirement plan for the benefit of its employees. The plan allows participants to make contributions subject to certain limitations. Company matching contributions were $86,000 and $165,000 for the three and six months ended June 30, 2025, respectively. Company matching contributions were $131,000 and $289,000 for the three and six months ended June 30,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20 –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The Company’s effective tax rate for the three and six months ended June 30, 2025 and June 30, 2024 is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has a single operating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CEO is the CODM. The CODM reviews financial information presented for the purposes of allocating resources and evaluating financial performance at an entity level and the Company have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financial information with respect to the Company’s single operating segment:</w:t>
      </w:r>
    </w:p>
    <w:p>
      <w:pPr>
        <w:pStyle w:val="TextBody"/>
        <w:bidi w:val="0"/>
        <w:spacing w:before="0" w:after="0"/>
        <w:ind w:left="0" w:right="0" w:hanging="0"/>
        <w:jc w:val="both"/>
        <w:rPr>
          <w:caps w:val="false"/>
          <w:smallCaps w:val="false"/>
        </w:rPr>
      </w:pPr>
      <w:r>
        <w:rPr>
          <w:caps w:val="false"/>
          <w:smallCaps w:val="false"/>
        </w:rPr>
        <w:t> </w:t>
      </w:r>
    </w:p>
    <w:tbl>
      <w:tblPr>
        <w:tblW w:w="8383" w:type="dxa"/>
        <w:jc w:val="left"/>
        <w:tblInd w:w="0" w:type="dxa"/>
        <w:tblLayout w:type="fixed"/>
        <w:tblCellMar>
          <w:top w:w="0" w:type="dxa"/>
          <w:left w:w="0" w:type="dxa"/>
          <w:bottom w:w="0" w:type="dxa"/>
          <w:right w:w="0" w:type="dxa"/>
        </w:tblCellMar>
      </w:tblPr>
      <w:tblGrid>
        <w:gridCol w:w="3635"/>
        <w:gridCol w:w="90"/>
        <w:gridCol w:w="216"/>
        <w:gridCol w:w="845"/>
        <w:gridCol w:w="158"/>
        <w:gridCol w:w="114"/>
        <w:gridCol w:w="216"/>
        <w:gridCol w:w="749"/>
        <w:gridCol w:w="125"/>
        <w:gridCol w:w="90"/>
        <w:gridCol w:w="170"/>
        <w:gridCol w:w="710"/>
        <w:gridCol w:w="125"/>
        <w:gridCol w:w="90"/>
        <w:gridCol w:w="170"/>
        <w:gridCol w:w="710"/>
        <w:gridCol w:w="170"/>
      </w:tblGrid>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Net revenue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5,837</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6,422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12,818</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pPr>
            <w:r>
              <w:rPr/>
              <w:t>1,499</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1,725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2,705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4,338</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9,377</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Less: Employee expense</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2,674</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3,082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5,238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6,285</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Contractor expense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271</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435</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Occupancy expense</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367</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496</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Professional services expense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287</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371</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Technology platform hosting expense</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475</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339</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Credit loss expense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130</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expenses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pPr>
            <w:r>
              <w:rPr/>
              <w:t>860</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723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1,952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1,623</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(726</w:t>
            </w:r>
          </w:p>
        </w:tc>
        <w:tc>
          <w:tcPr>
            <w:tcW w:w="158"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(339</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33</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(317</w:t>
            </w:r>
          </w:p>
        </w:tc>
        <w:tc>
          <w:tcPr>
            <w:tcW w:w="158"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(1,419</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Loss on disposal</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(131</w:t>
            </w:r>
          </w:p>
        </w:tc>
        <w:tc>
          <w:tcPr>
            <w:tcW w:w="158"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Gain on note repurchase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jc w:val="right"/>
              <w:rPr/>
            </w:pPr>
            <w:r>
              <w:rPr/>
              <w:t>-</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1,573</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right"/>
              <w:rPr/>
            </w:pPr>
            <w:r>
              <w:rPr/>
              <w:t>-</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(51</w:t>
            </w:r>
          </w:p>
        </w:tc>
        <w:tc>
          <w:tcPr>
            <w:tcW w:w="170" w:type="dxa"/>
            <w:tcBorders/>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pPr>
            <w:r>
              <w:rPr/>
              <w:t>(1,141</w:t>
            </w:r>
          </w:p>
        </w:tc>
        <w:tc>
          <w:tcPr>
            <w:tcW w:w="158"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10" w:space="0" w:color="000000"/>
            </w:tcBorders>
            <w:shd w:fill="CCEEFF" w:val="clear"/>
            <w:tcMar>
              <w:bottom w:w="28" w:type="dxa"/>
            </w:tcM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(230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expenses include all other operating expenses, including insurance, subscriptions for software used in the operations, stock-based compensation, depreciation and amortization and severance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the Company announced the intent to acquire VICE CRM, an AI-enabled performance marketing platform designed to optimize return on investment for consumer marketing campaigns in highly regulated industries, and the appointment of Jaret Christopher, the founder of VICE CRM, as the Company’s CEO with effect from April 1, 2025. Jeffrey Harris stepped down as the Company CEO on March 31, 2025. The acquisition of VICE CRM was completed on July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close of the second quarter of 2025, the U.S. government passed a reconciliation bill informally known as the “One Big Beautiful Bill Act.” This legislation introduced several provisions, including the option to deduct domestic research and development expenses, the return of elective bonus depreciation, and updates to certain international tax rules. The Company is currently assessing the potential implications of the legislation on its operations and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regulated industries. Stringent, complex, and rapidly evolving regulations have resulted in restricted access to traditional marketing and advertising channels for regulated retailers and brands, preventing them from utilizing many traditional methods for effectively accessing and engaging with consumers. In addition, the lack of industry-specific data and market intelligence solutions limit regulated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serves approximately 825 clients across more than 2,100 distinct retail locations in North America. Our clients distribute approximately 600 million messages annually, via text, push or email, and in the last year more than $6.6 billion of gross merchandise value was accounted for by clients utilizing our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OTCQB® Venture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and Financial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following key financial and operational metrics to evaluate our business, measure our performance, identify trends affecting our business, formulate business plans, and make strategic decisions. The following is our analysis for the three and six months ended June 30, 2025, and 2024, in thousands:</w:t>
      </w:r>
    </w:p>
    <w:p>
      <w:pPr>
        <w:pStyle w:val="TextBody"/>
        <w:bidi w:val="0"/>
        <w:spacing w:before="0" w:after="0"/>
        <w:ind w:left="0" w:right="0" w:hanging="0"/>
        <w:jc w:val="both"/>
        <w:rPr>
          <w:caps w:val="false"/>
          <w:smallCaps w:val="false"/>
        </w:rPr>
      </w:pPr>
      <w:r>
        <w:rPr>
          <w:caps w:val="false"/>
          <w:smallCaps w:val="false"/>
        </w:rPr>
        <w:t> </w:t>
      </w:r>
    </w:p>
    <w:tbl>
      <w:tblPr>
        <w:tblW w:w="7962" w:type="dxa"/>
        <w:jc w:val="left"/>
        <w:tblInd w:w="0" w:type="dxa"/>
        <w:tblLayout w:type="fixed"/>
        <w:tblCellMar>
          <w:top w:w="0" w:type="dxa"/>
          <w:left w:w="0" w:type="dxa"/>
          <w:bottom w:w="0" w:type="dxa"/>
          <w:right w:w="0" w:type="dxa"/>
        </w:tblCellMar>
      </w:tblPr>
      <w:tblGrid>
        <w:gridCol w:w="2915"/>
        <w:gridCol w:w="90"/>
        <w:gridCol w:w="197"/>
        <w:gridCol w:w="771"/>
        <w:gridCol w:w="284"/>
        <w:gridCol w:w="104"/>
        <w:gridCol w:w="197"/>
        <w:gridCol w:w="684"/>
        <w:gridCol w:w="245"/>
        <w:gridCol w:w="90"/>
        <w:gridCol w:w="170"/>
        <w:gridCol w:w="710"/>
        <w:gridCol w:w="245"/>
        <w:gridCol w:w="90"/>
        <w:gridCol w:w="170"/>
        <w:gridCol w:w="710"/>
        <w:gridCol w:w="290"/>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9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8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5,837</w:t>
            </w:r>
          </w:p>
        </w:tc>
        <w:tc>
          <w:tcPr>
            <w:tcW w:w="28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6,422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11,350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12,818</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(1,141</w:t>
            </w:r>
          </w:p>
        </w:tc>
        <w:tc>
          <w:tcPr>
            <w:tcW w:w="284"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(647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(1,892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(230</w:t>
            </w:r>
          </w:p>
        </w:tc>
        <w:tc>
          <w:tcPr>
            <w:tcW w:w="290" w:type="dxa"/>
            <w:tcBorders/>
            <w:vAlign w:val="center"/>
          </w:tcPr>
          <w:p>
            <w:pPr>
              <w:pStyle w:val="TableContents"/>
              <w:bidi w:val="0"/>
              <w:spacing w:before="0" w:after="283"/>
              <w:jc w:val="left"/>
              <w:rPr/>
            </w:pPr>
            <w:r>
              <w:rPr/>
              <w:t>)</w:t>
            </w:r>
          </w:p>
        </w:tc>
      </w:tr>
      <w:tr>
        <w:trPr/>
        <w:tc>
          <w:tcPr>
            <w:tcW w:w="2915" w:type="dxa"/>
            <w:tcBorders/>
            <w:shd w:fill="CCEEFF" w:val="clear"/>
            <w:vAlign w:val="center"/>
          </w:tcPr>
          <w:p>
            <w:pPr>
              <w:pStyle w:val="TableContents"/>
              <w:bidi w:val="0"/>
              <w:spacing w:before="0" w:after="283"/>
              <w:jc w:val="left"/>
              <w:rPr/>
            </w:pPr>
            <w:r>
              <w:rPr/>
              <w:t>Adjusted EBITDA</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285</w:t>
            </w:r>
          </w:p>
        </w:tc>
        <w:tc>
          <w:tcPr>
            <w:tcW w:w="28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330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480</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28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Number of retail clients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762</w:t>
            </w:r>
          </w:p>
        </w:tc>
        <w:tc>
          <w:tcPr>
            <w:tcW w:w="28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1,113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762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1,113</w:t>
            </w:r>
          </w:p>
        </w:tc>
        <w:tc>
          <w:tcPr>
            <w:tcW w:w="29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Net revenue retention</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78</w:t>
            </w:r>
          </w:p>
        </w:tc>
        <w:tc>
          <w:tcPr>
            <w:tcW w:w="284"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86</w:t>
            </w:r>
          </w:p>
        </w:tc>
        <w:tc>
          <w:tcPr>
            <w:tcW w:w="290" w:type="dxa"/>
            <w:tcBorders/>
            <w:vAlign w:val="center"/>
          </w:tcPr>
          <w:p>
            <w:pPr>
              <w:pStyle w:val="TableContents"/>
              <w:bidi w:val="0"/>
              <w:spacing w:before="0" w:after="283"/>
              <w:jc w:val="left"/>
              <w:rPr/>
            </w:pPr>
            <w:r>
              <w:rPr/>
              <w:t>%</w:t>
            </w:r>
          </w:p>
        </w:tc>
      </w:tr>
      <w:tr>
        <w:trPr/>
        <w:tc>
          <w:tcPr>
            <w:tcW w:w="2915" w:type="dxa"/>
            <w:tcBorders/>
            <w:shd w:fill="CCEEFF" w:val="clear"/>
            <w:vAlign w:val="center"/>
          </w:tcPr>
          <w:p>
            <w:pPr>
              <w:pStyle w:val="TableContents"/>
              <w:bidi w:val="0"/>
              <w:spacing w:before="0" w:after="283"/>
              <w:jc w:val="left"/>
              <w:rPr/>
            </w:pPr>
            <w:r>
              <w:rPr/>
              <w:t>Number of messages (million)</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151</w:t>
            </w:r>
          </w:p>
        </w:tc>
        <w:tc>
          <w:tcPr>
            <w:tcW w:w="28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298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reconciliation of net loss to Adjusted EBITDA see “EBITDA” and “Adjusted EBITDA,”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Key Operating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Retail Clients.</w:t>
      </w:r>
      <w:r>
        <w:rPr>
          <w:rFonts w:ascii="Times New Roman;Times;Serif" w:hAnsi="Times New Roman;Times;Serif"/>
          <w:b w:val="false"/>
          <w:i w:val="false"/>
          <w:caps w:val="false"/>
          <w:smallCaps w:val="false"/>
          <w:sz w:val="20"/>
        </w:rPr>
        <w:t xml:space="preserve"> 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Revenue Retention.</w:t>
      </w:r>
      <w:r>
        <w:rPr>
          <w:rFonts w:ascii="Times New Roman;Times;Serif" w:hAnsi="Times New Roman;Times;Serif"/>
          <w:b w:val="false"/>
          <w:i w:val="false"/>
          <w:caps w:val="false"/>
          <w:smallCaps w:val="false"/>
          <w:sz w:val="20"/>
        </w:rPr>
        <w:t xml:space="preserve"> 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Messages Sent.</w:t>
      </w:r>
      <w:r>
        <w:rPr>
          <w:rFonts w:ascii="Times New Roman;Times;Serif" w:hAnsi="Times New Roman;Times;Serif"/>
          <w:b w:val="false"/>
          <w:i w:val="false"/>
          <w:caps w:val="false"/>
          <w:smallCaps w:val="false"/>
          <w:sz w:val="20"/>
        </w:rPr>
        <w:t xml:space="preserve"> We believe that the volume of messages sent is important as it indicates the frequency of use and level of engagement of our platform by our clients. Messages are distributed by text, email, and direct push notifications to mobile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credit loss expense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05"/>
        <w:gridCol w:w="200"/>
        <w:gridCol w:w="9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EBITDA and Adjusted EBITDA do not reflect changes in, or cash requirements for, our working capital needs; and</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05"/>
        <w:gridCol w:w="200"/>
        <w:gridCol w:w="8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EBITDA and Adjusted EBITDA do not reflect tax payments that may represent a reduction in cash available.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you should consider EBITDA and Adjusted EBITDA alongside other financial performance measures, including net loss and our other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net loss before taxes to non-GAAP EBITDA and Adjusted EBITDA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3740"/>
        <w:gridCol w:w="90"/>
        <w:gridCol w:w="223"/>
        <w:gridCol w:w="873"/>
        <w:gridCol w:w="164"/>
        <w:gridCol w:w="118"/>
        <w:gridCol w:w="223"/>
        <w:gridCol w:w="637"/>
        <w:gridCol w:w="125"/>
        <w:gridCol w:w="90"/>
        <w:gridCol w:w="174"/>
        <w:gridCol w:w="684"/>
        <w:gridCol w:w="128"/>
        <w:gridCol w:w="92"/>
        <w:gridCol w:w="174"/>
        <w:gridCol w:w="684"/>
        <w:gridCol w:w="170"/>
      </w:tblGrid>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(1,141</w:t>
            </w:r>
          </w:p>
        </w:tc>
        <w:tc>
          <w:tcPr>
            <w:tcW w:w="164"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(1,892</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(230</w:t>
            </w:r>
          </w:p>
        </w:tc>
        <w:tc>
          <w:tcPr>
            <w:tcW w:w="170" w:type="dxa"/>
            <w:tcBorders/>
            <w:shd w:fill="CCEEFF" w:val="clear"/>
            <w:vAlign w:val="center"/>
          </w:tcPr>
          <w:p>
            <w:pPr>
              <w:pStyle w:val="TableContents"/>
              <w:bidi w:val="0"/>
              <w:spacing w:before="0" w:after="283"/>
              <w:jc w:val="left"/>
              <w:rPr/>
            </w:pPr>
            <w:r>
              <w:rPr/>
              <w:t>)</w:t>
            </w:r>
          </w:p>
        </w:tc>
      </w:tr>
      <w:tr>
        <w:trPr/>
        <w:tc>
          <w:tcPr>
            <w:tcW w:w="374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(33</w:t>
            </w:r>
          </w:p>
        </w:tc>
        <w:tc>
          <w:tcPr>
            <w:tcW w:w="164"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(33</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317</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640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1,419</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101</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EBITDA</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(828</w:t>
            </w:r>
          </w:p>
        </w:tc>
        <w:tc>
          <w:tcPr>
            <w:tcW w:w="164"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(1,223</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1,284</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173</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336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395</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Credit loss expense</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130</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220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Gain on repurchase of convertible debt</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(1,573</w:t>
            </w:r>
          </w:p>
        </w:tc>
        <w:tc>
          <w:tcPr>
            <w:tcW w:w="170" w:type="dxa"/>
            <w:tcBorders/>
            <w:vAlign w:val="center"/>
          </w:tcPr>
          <w:p>
            <w:pPr>
              <w:pStyle w:val="TableContents"/>
              <w:bidi w:val="0"/>
              <w:spacing w:before="0" w:after="283"/>
              <w:jc w:val="left"/>
              <w:rPr/>
            </w:pPr>
            <w:r>
              <w:rPr/>
              <w:t>)</w:t>
            </w:r>
          </w:p>
        </w:tc>
      </w:tr>
      <w:tr>
        <w:trPr/>
        <w:tc>
          <w:tcPr>
            <w:tcW w:w="3740" w:type="dxa"/>
            <w:tcBorders/>
            <w:shd w:fill="CCEEFF" w:val="clear"/>
            <w:vAlign w:val="center"/>
          </w:tcPr>
          <w:p>
            <w:pPr>
              <w:pStyle w:val="TableContents"/>
              <w:bidi w:val="0"/>
              <w:spacing w:before="0" w:after="283"/>
              <w:jc w:val="left"/>
              <w:rPr/>
            </w:pPr>
            <w:r>
              <w:rPr/>
              <w:t>Lease termination fee</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550</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550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Severance and related payments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260</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727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156</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Change in fair value of warrants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64"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b/>
              </w:rPr>
            </w:pPr>
            <w:r>
              <w:rPr>
                <w:b/>
              </w:rPr>
              <w:t>Adjusted EBITDA</w:t>
            </w:r>
          </w:p>
        </w:tc>
        <w:tc>
          <w:tcPr>
            <w:tcW w:w="90"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73" w:type="dxa"/>
            <w:tcBorders>
              <w:bottom w:val="double" w:sz="10" w:space="0" w:color="000000"/>
            </w:tcBorders>
            <w:tcMar>
              <w:bottom w:w="28" w:type="dxa"/>
            </w:tcMar>
            <w:vAlign w:val="center"/>
          </w:tcPr>
          <w:p>
            <w:pPr>
              <w:pStyle w:val="TableContents"/>
              <w:bidi w:val="0"/>
              <w:spacing w:before="0" w:after="283"/>
              <w:jc w:val="right"/>
              <w:rPr>
                <w:b/>
              </w:rPr>
            </w:pPr>
            <w:r>
              <w:rPr>
                <w:b/>
              </w:rPr>
              <w:t>285</w:t>
            </w:r>
          </w:p>
        </w:tc>
        <w:tc>
          <w:tcPr>
            <w:tcW w:w="164"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37" w:type="dxa"/>
            <w:tcBorders>
              <w:bottom w:val="double" w:sz="10" w:space="0" w:color="000000"/>
            </w:tcBorders>
            <w:tcMar>
              <w:bottom w:w="28" w:type="dxa"/>
            </w:tcMar>
            <w:vAlign w:val="center"/>
          </w:tcPr>
          <w:p>
            <w:pPr>
              <w:pStyle w:val="TableContents"/>
              <w:bidi w:val="0"/>
              <w:spacing w:before="0" w:after="283"/>
              <w:jc w:val="right"/>
              <w:rPr>
                <w:b/>
              </w:rPr>
            </w:pPr>
            <w:r>
              <w:rPr>
                <w:b/>
              </w:rPr>
              <w:t>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84" w:type="dxa"/>
            <w:tcBorders>
              <w:bottom w:val="double" w:sz="10" w:space="0" w:color="000000"/>
            </w:tcBorders>
            <w:tcMar>
              <w:bottom w:w="28" w:type="dxa"/>
            </w:tcMar>
            <w:vAlign w:val="center"/>
          </w:tcPr>
          <w:p>
            <w:pPr>
              <w:pStyle w:val="TableContents"/>
              <w:bidi w:val="0"/>
              <w:spacing w:before="0" w:after="283"/>
              <w:jc w:val="right"/>
              <w:rPr>
                <w:b/>
              </w:rPr>
            </w:pPr>
            <w:r>
              <w:rPr>
                <w:b/>
              </w:rPr>
              <w:t>610</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84" w:type="dxa"/>
            <w:tcBorders>
              <w:bottom w:val="double" w:sz="10" w:space="0" w:color="000000"/>
            </w:tcBorders>
            <w:tcMar>
              <w:bottom w:w="28" w:type="dxa"/>
            </w:tcMar>
            <w:vAlign w:val="center"/>
          </w:tcPr>
          <w:p>
            <w:pPr>
              <w:pStyle w:val="TableContents"/>
              <w:bidi w:val="0"/>
              <w:spacing w:before="0" w:after="283"/>
              <w:jc w:val="right"/>
              <w:rPr>
                <w:b/>
              </w:rPr>
            </w:pPr>
            <w:r>
              <w:rPr>
                <w:b/>
              </w:rPr>
              <w:t>480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Overall Economic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and Retention of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and Maturation of Cannabis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brand identity and our reputation is critical to maintaining and growing our relationships with customers and to our ability to attract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amounts payable to distributors of messages on behalf of the Company’s customers across cellular networks and integrations.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Servicing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Technology and Software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Times;Serif" w:hAnsi="Times New Roman;Times;Serif"/>
          <w:b w:val="false"/>
          <w:i/>
          <w:caps w:val="false"/>
          <w:smallCaps w:val="false"/>
          <w:sz w:val="20"/>
        </w:rPr>
        <w:t>Intangibles – Goodwill and Other – Internal Use Software</w:t>
      </w:r>
      <w:r>
        <w:rPr>
          <w:rFonts w:ascii="Times New Roman;Times;Serif" w:hAnsi="Times New Roman;Times;Serif"/>
          <w:b w:val="false"/>
          <w:i w:val="false"/>
          <w:caps w:val="false"/>
          <w:smallCaps w:val="false"/>
          <w:sz w:val="20"/>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Months Ended June 30, 2025, compared to Three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8814" w:type="dxa"/>
        <w:jc w:val="left"/>
        <w:tblInd w:w="0" w:type="dxa"/>
        <w:tblLayout w:type="fixed"/>
        <w:tblCellMar>
          <w:top w:w="0" w:type="dxa"/>
          <w:left w:w="0" w:type="dxa"/>
          <w:bottom w:w="0" w:type="dxa"/>
          <w:right w:w="0" w:type="dxa"/>
        </w:tblCellMar>
      </w:tblPr>
      <w:tblGrid>
        <w:gridCol w:w="3755"/>
        <w:gridCol w:w="90"/>
        <w:gridCol w:w="170"/>
        <w:gridCol w:w="665"/>
        <w:gridCol w:w="125"/>
        <w:gridCol w:w="90"/>
        <w:gridCol w:w="170"/>
        <w:gridCol w:w="590"/>
        <w:gridCol w:w="125"/>
        <w:gridCol w:w="90"/>
        <w:gridCol w:w="514"/>
        <w:gridCol w:w="1470"/>
        <w:gridCol w:w="125"/>
        <w:gridCol w:w="90"/>
        <w:gridCol w:w="90"/>
        <w:gridCol w:w="365"/>
        <w:gridCol w:w="290"/>
      </w:tblGrid>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7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09" w:type="dxa"/>
            <w:gridSpan w:val="10"/>
            <w:tcBorders/>
            <w:vAlign w:val="center"/>
          </w:tcPr>
          <w:p>
            <w:pPr>
              <w:pStyle w:val="TableContents"/>
              <w:bidi w:val="0"/>
              <w:spacing w:before="0" w:after="283"/>
              <w:jc w:val="center"/>
              <w:rPr>
                <w:b/>
              </w:rPr>
            </w:pPr>
            <w:r>
              <w:rPr>
                <w:b/>
              </w:rPr>
              <w:t>(in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5,837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w:t>
            </w:r>
          </w:p>
        </w:tc>
        <w:tc>
          <w:tcPr>
            <w:tcW w:w="1470" w:type="dxa"/>
            <w:tcBorders/>
            <w:shd w:fill="CCEEFF" w:val="clear"/>
            <w:vAlign w:val="center"/>
          </w:tcPr>
          <w:p>
            <w:pPr>
              <w:pStyle w:val="TableContents"/>
              <w:bidi w:val="0"/>
              <w:spacing w:before="0" w:after="283"/>
              <w:jc w:val="right"/>
              <w:rPr/>
            </w:pPr>
            <w:r>
              <w:rPr/>
              <w:t>(585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-9</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1,499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0" w:type="dxa"/>
            <w:tcBorders>
              <w:bottom w:val="single" w:sz="12" w:space="0" w:color="000000"/>
            </w:tcBorders>
            <w:tcMar>
              <w:bottom w:w="28" w:type="dxa"/>
            </w:tcMar>
            <w:vAlign w:val="center"/>
          </w:tcPr>
          <w:p>
            <w:pPr>
              <w:pStyle w:val="TableContents"/>
              <w:bidi w:val="0"/>
              <w:spacing w:before="0" w:after="283"/>
              <w:jc w:val="right"/>
              <w:rPr/>
            </w:pPr>
            <w:r>
              <w:rPr/>
              <w:t>(226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4,697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(359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-8</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Selling, servicing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Technology and 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2,357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0" w:type="dxa"/>
            <w:tcBorders>
              <w:bottom w:val="single" w:sz="12" w:space="0" w:color="000000"/>
            </w:tcBorders>
            <w:shd w:fill="CCEEFF" w:val="clear"/>
            <w:tcMar>
              <w:bottom w:w="28" w:type="dxa"/>
            </w:tcMar>
            <w:vAlign w:val="center"/>
          </w:tcPr>
          <w:p>
            <w:pPr>
              <w:pStyle w:val="TableContents"/>
              <w:bidi w:val="0"/>
              <w:spacing w:before="0" w:after="283"/>
              <w:jc w:val="right"/>
              <w:rPr/>
            </w:pPr>
            <w:r>
              <w:rPr/>
              <w:t>327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5,064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4,754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0" w:type="dxa"/>
            <w:tcBorders>
              <w:bottom w:val="single" w:sz="12" w:space="0" w:color="000000"/>
            </w:tcBorders>
            <w:tcMar>
              <w:bottom w:w="28" w:type="dxa"/>
            </w:tcMar>
            <w:vAlign w:val="center"/>
          </w:tcPr>
          <w:p>
            <w:pPr>
              <w:pStyle w:val="TableContents"/>
              <w:bidi w:val="0"/>
              <w:spacing w:before="0" w:after="283"/>
              <w:jc w:val="right"/>
              <w:rPr/>
            </w:pPr>
            <w:r>
              <w:rPr/>
              <w:t>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pPr>
            <w:r>
              <w:rPr/>
              <w:t>7</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(669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31</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Gain on note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on asset disposal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0" w:type="dxa"/>
            <w:tcBorders>
              <w:bottom w:val="single" w:sz="12"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before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(494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-76</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Provision for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65"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after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(1,141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(647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70" w:type="dxa"/>
            <w:tcBorders>
              <w:bottom w:val="double" w:sz="10" w:space="0" w:color="000000"/>
            </w:tcBorders>
            <w:shd w:fill="CCEEFF" w:val="clear"/>
            <w:tcMar>
              <w:bottom w:w="28" w:type="dxa"/>
            </w:tcMar>
            <w:vAlign w:val="center"/>
          </w:tcPr>
          <w:p>
            <w:pPr>
              <w:pStyle w:val="TableContents"/>
              <w:bidi w:val="0"/>
              <w:spacing w:before="0" w:after="283"/>
              <w:jc w:val="right"/>
              <w:rPr/>
            </w:pPr>
            <w:r>
              <w:rPr/>
              <w:t>(494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double" w:sz="10" w:space="0" w:color="000000"/>
            </w:tcBorders>
            <w:shd w:fill="CCEEFF" w:val="clear"/>
            <w:tcMar>
              <w:bottom w:w="28" w:type="dxa"/>
            </w:tcMar>
            <w:vAlign w:val="center"/>
          </w:tcPr>
          <w:p>
            <w:pPr>
              <w:pStyle w:val="TableContents"/>
              <w:bidi w:val="0"/>
              <w:spacing w:before="0" w:after="283"/>
              <w:jc w:val="right"/>
              <w:rPr/>
            </w:pPr>
            <w:r>
              <w:rPr/>
              <w:t>-76</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Revenues decreased $0.6 million for the three months ended June 30, 2025, representing a 9% year-on-year reduction compared with the same period in 2024. Our subscription revenue was $4.9 million for the three months ended June 30, 2025, compared with $5.5 million in the same quarter in 2024, representing 11% year-over-year decline. Subscription revenue as a proportion of total revenue was 84% for the three months ended June 30, 2025, compared with 86% in the same period last year. The excess use revenue also declined, by 5% year-over-year due to the uncertain economy impacting the regulated industries, including the cannabis sector and our clients continuing to be budget-conscious in limiting their messaging activity to within the volumes of their subscription. Excess use revenue represented 12% of total revenue for the three months ended June 30, 2025, compared with 11%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retention rate was 78% for the twelve months ended June 30, 2025, compared with 86% for the twelve months ended June 30, 2024, reflecting the continuing challenging macroeconomic conditions of the regulated markets, including the cannabis market and the financial stress of some of our retail clients leading to the Company having to suspend or cease some access to our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Gross profit decreased by $0.4 million to $4.3 million for the three months ended June 30, 2025, from $4.7 million for the three months ended June 30, 2024, representing an 8% year-on-year reduction. The reduction was due to the $0.6 million decline in revenues although the impact was partly mitigated by a 1% improvement in gross profit margin from 73% for the three months ended June 30, 2024, to 74% for the three months ended June 30, 2025, as a consequence of lower messaging distribution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Operating expenses increased by $0.3 million, or 5%, for the three months ended June 30, 2025, compared with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increased by $0.1 million, or 2%, for the quarter ended June 30, 2025, compared to the same period in 2024, due to increased variable compensation expense on closed customer contracts, as well as severance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software development expenses decreased by $0.1 million, or 3%, for the quarter ended June 30, 2025, compared to the same period in 2024, with the decrease being attributable to lower expenses associated with the use of offshore contract developers and a reduction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$0.3 million, or 14%, for the quarter ended June 30, 2025, compared to the same period in 2024. The expenses in the quarter ended June 30, 2025, included $0.3 million relating to the separation agreement with the former CFO and other personnel, and the lease termination fee of $0.6 million; excluding this expense the decrease was $0.6 million, or 25%, compared to the same period 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w:t>
      </w:r>
      <w:r>
        <w:rPr>
          <w:rFonts w:ascii="Times New Roman;Times;Serif" w:hAnsi="Times New Roman;Times;Serif"/>
          <w:b w:val="false"/>
          <w:i w:val="false"/>
          <w:caps w:val="false"/>
          <w:smallCaps w:val="false"/>
          <w:sz w:val="20"/>
        </w:rPr>
        <w:t>. Interest expense was $0.3 million for the quarter ended June 30, 2025, compared with $0.5 million for the quarter ended June 30, 2024, with the reduction being due to the high interest-bearing cash advances outstanding during the prior year having been fully repaid during the second half of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fair value of warrants</w:t>
      </w:r>
      <w:r>
        <w:rPr>
          <w:rFonts w:ascii="Times New Roman;Times;Serif" w:hAnsi="Times New Roman;Times;Serif"/>
          <w:b w:val="false"/>
          <w:i w:val="false"/>
          <w:caps w:val="false"/>
          <w:smallCaps w:val="false"/>
          <w:sz w:val="20"/>
        </w:rPr>
        <w:t>. The liability relating to warrants issued by SpringBig is included on the balance sheet at the fair value prevailing at the end of the accounting period and any change in value is reported in the income statement. At June 30, 2025, the market value of the public warrants, which are quoted for trading on the OTC Pink Market, was $0.0007 per warrant which was the same as the quoted price at December 31, 2024. Therefore, there is no expense or credit in our income statement for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Months Ended June 30, 2025, compared to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9099" w:type="dxa"/>
        <w:jc w:val="left"/>
        <w:tblInd w:w="0" w:type="dxa"/>
        <w:tblLayout w:type="fixed"/>
        <w:tblCellMar>
          <w:top w:w="0" w:type="dxa"/>
          <w:left w:w="0" w:type="dxa"/>
          <w:bottom w:w="0" w:type="dxa"/>
          <w:right w:w="0" w:type="dxa"/>
        </w:tblCellMar>
      </w:tblPr>
      <w:tblGrid>
        <w:gridCol w:w="3755"/>
        <w:gridCol w:w="90"/>
        <w:gridCol w:w="170"/>
        <w:gridCol w:w="710"/>
        <w:gridCol w:w="125"/>
        <w:gridCol w:w="90"/>
        <w:gridCol w:w="170"/>
        <w:gridCol w:w="710"/>
        <w:gridCol w:w="125"/>
        <w:gridCol w:w="90"/>
        <w:gridCol w:w="402"/>
        <w:gridCol w:w="1582"/>
        <w:gridCol w:w="125"/>
        <w:gridCol w:w="90"/>
        <w:gridCol w:w="90"/>
        <w:gridCol w:w="485"/>
        <w:gridCol w:w="290"/>
      </w:tblGrid>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6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74" w:type="dxa"/>
            <w:gridSpan w:val="10"/>
            <w:tcBorders/>
            <w:vAlign w:val="center"/>
          </w:tcPr>
          <w:p>
            <w:pPr>
              <w:pStyle w:val="TableContents"/>
              <w:bidi w:val="0"/>
              <w:spacing w:before="0" w:after="283"/>
              <w:jc w:val="center"/>
              <w:rPr>
                <w:b/>
              </w:rPr>
            </w:pPr>
            <w:r>
              <w:rPr>
                <w:b/>
              </w:rPr>
              <w:t>(in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12,818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w:t>
            </w:r>
          </w:p>
        </w:tc>
        <w:tc>
          <w:tcPr>
            <w:tcW w:w="1582" w:type="dxa"/>
            <w:tcBorders/>
            <w:shd w:fill="CCEEFF" w:val="clear"/>
            <w:vAlign w:val="center"/>
          </w:tcPr>
          <w:p>
            <w:pPr>
              <w:pStyle w:val="TableContents"/>
              <w:bidi w:val="0"/>
              <w:spacing w:before="0" w:after="283"/>
              <w:jc w:val="right"/>
              <w:rPr/>
            </w:pPr>
            <w:r>
              <w:rPr/>
              <w:t>(1,468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2,705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2" w:type="dxa"/>
            <w:tcBorders>
              <w:bottom w:val="single" w:sz="12" w:space="0" w:color="000000"/>
            </w:tcBorders>
            <w:tcMar>
              <w:bottom w:w="28" w:type="dxa"/>
            </w:tcMar>
            <w:vAlign w:val="center"/>
          </w:tcPr>
          <w:p>
            <w:pPr>
              <w:pStyle w:val="TableContents"/>
              <w:bidi w:val="0"/>
              <w:spacing w:before="0" w:after="283"/>
              <w:jc w:val="right"/>
              <w:rPr/>
            </w:pPr>
            <w:r>
              <w:rPr/>
              <w:t>(736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-21</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(732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-8</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Selling, servicing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2,206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(448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Technology and software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2" w:type="dxa"/>
            <w:tcBorders>
              <w:bottom w:val="single" w:sz="12" w:space="0" w:color="000000"/>
            </w:tcBorders>
            <w:shd w:fill="CCEEFF" w:val="clear"/>
            <w:tcMar>
              <w:bottom w:w="28" w:type="dxa"/>
            </w:tcMar>
            <w:vAlign w:val="center"/>
          </w:tcPr>
          <w:p>
            <w:pPr>
              <w:pStyle w:val="TableContents"/>
              <w:bidi w:val="0"/>
              <w:spacing w:before="0" w:after="283"/>
              <w:jc w:val="right"/>
              <w:rPr/>
            </w:pPr>
            <w:r>
              <w:rPr/>
              <w:t>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9,799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9,716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2" w:type="dxa"/>
            <w:tcBorders>
              <w:bottom w:val="single" w:sz="12" w:space="0" w:color="000000"/>
            </w:tcBorders>
            <w:tcMar>
              <w:bottom w:w="28" w:type="dxa"/>
            </w:tcMar>
            <w:vAlign w:val="center"/>
          </w:tcPr>
          <w:p>
            <w:pPr>
              <w:pStyle w:val="TableContents"/>
              <w:bidi w:val="0"/>
              <w:spacing w:before="0" w:after="283"/>
              <w:jc w:val="right"/>
              <w:rPr/>
            </w:pPr>
            <w:r>
              <w:rPr/>
              <w:t>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(815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55</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Gain on note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(1,573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on asset disposal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Change in fair value of warrants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2" w:type="dxa"/>
            <w:tcBorders>
              <w:bottom w:val="single" w:sz="12" w:space="0" w:color="000000"/>
            </w:tcBorders>
            <w:tcMar>
              <w:bottom w:w="28" w:type="dxa"/>
            </w:tcMar>
            <w:vAlign w:val="center"/>
          </w:tcPr>
          <w:p>
            <w:pPr>
              <w:pStyle w:val="TableContents"/>
              <w:bidi w:val="0"/>
              <w:spacing w:before="0" w:after="283"/>
              <w:jc w:val="right"/>
              <w:rPr/>
            </w:pPr>
            <w:r>
              <w:rPr/>
              <w:t>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before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(1,662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-723</w:t>
            </w:r>
          </w:p>
        </w:tc>
        <w:tc>
          <w:tcPr>
            <w:tcW w:w="29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Provision for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2"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Loss after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(1,892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2" w:type="dxa"/>
            <w:tcBorders>
              <w:bottom w:val="double" w:sz="10" w:space="0" w:color="000000"/>
            </w:tcBorders>
            <w:shd w:fill="CCEEFF" w:val="clear"/>
            <w:tcMar>
              <w:bottom w:w="28" w:type="dxa"/>
            </w:tcMar>
            <w:vAlign w:val="center"/>
          </w:tcPr>
          <w:p>
            <w:pPr>
              <w:pStyle w:val="TableContents"/>
              <w:bidi w:val="0"/>
              <w:spacing w:before="0" w:after="283"/>
              <w:jc w:val="right"/>
              <w:rPr/>
            </w:pPr>
            <w:r>
              <w:rPr/>
              <w:t>(1,662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right"/>
              <w:rPr/>
            </w:pPr>
            <w:r>
              <w:rPr/>
              <w:t>-723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Revenues decreased $1.5 million for the six months ended June 30, 2025, representing a 11% year-on-year reduction compared with the same period in 2024. Our subscription revenue was $9.7 million for the six months ended June 30, 2025, compared with $10.9 million in the same six months in 2024, representing 11% year-over-year decline. Subscription revenue as a proportion of total revenue was 86% for the six months ended June 30, 2025, compared with 85% in the same period last year. The excess use revenue also declined, by 5% year-over-year due to the uncertain economy impacting the regulated industries, including the cannabis sector and our clients continuing to be budget-conscious in limiting their messaging activity to within the volumes of their subscription. Excess use revenue represented 11% of total revenue for the six months ended June 30, 2025, compared with 12% in the same period last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Gross profit decreased by $0.7 million to $8.6 million for the six months ended June 30, 2025, from $9.4 million for the three months ended June 30, 2024, representing an 8% year-on-year reduction. The reduction was due to the $1.5 million decline in revenues although the impact was partly mitigated by a 3% improvement in gross profit margin from 73% for the six months ended June 30, 2024, to 76% for the six months ended June 30, 2025, as a consequence of lower messaging distribution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Operating expenses increased by $0.1 million, or 0%, for the six months ended June 30, 2025, compared with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servicing and marketing expenses decreased by $0.4 million, or 17%, for the quarter ended June 30, 2025, compared to the same period in 2024, due to decreased variable compensation expense as a result of lower commissions earned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software development expenses decreased by $0.4 million, or 15%, for the six months ended June 30, 2025, compared to the same period in 2024, with the decrease being attributable to lower expenses associated with the use of offshore contract developers and a reduction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$1.0 million, or 23%, for the quarter ended June 30, 2025, compared to the same period in 2024. The expenses in the six months ended June 30, 2025, included $0.7 million relating to the separation agreement with the former CEO, CFO, and other personnel, and the lease termination fee of $0.6 million; excluding these expense the decrease was $0.3 million, or 8%, compared to the same period 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w:t>
      </w:r>
      <w:r>
        <w:rPr>
          <w:rFonts w:ascii="Times New Roman;Times;Serif" w:hAnsi="Times New Roman;Times;Serif"/>
          <w:b w:val="false"/>
          <w:i w:val="false"/>
          <w:caps w:val="false"/>
          <w:smallCaps w:val="false"/>
          <w:sz w:val="20"/>
        </w:rPr>
        <w:t>. Interest expense was $0.6 million for the six months ended June 30, 2025, compared with $1.4 million for the quarter ended June 30, 2024, with the reduction being due to the high interest-bearing cash advances outstanding during the prior year having been fully repaid during the second half of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fair value of warrants</w:t>
      </w:r>
      <w:r>
        <w:rPr>
          <w:rFonts w:ascii="Times New Roman;Times;Serif" w:hAnsi="Times New Roman;Times;Serif"/>
          <w:b w:val="false"/>
          <w:i w:val="false"/>
          <w:caps w:val="false"/>
          <w:smallCaps w:val="false"/>
          <w:sz w:val="20"/>
        </w:rPr>
        <w:t>. The liability relating to warrants issued by SpringBig is included on the balance sheet at the fair value prevailing at the end of the accounting period and any change in value is reported in the income statement. At June 30, 2025, the market value of the public warrants, which are quoted for trading on the OTC Pink Market, was $0.0007 per warrant which was the same as the quoted price at December 31, 2024. Therefore, there is no expense or credit in our income statement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&amp;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June 30, 2024,the total outstanding amount payable to Cedar was $0.6 million. The outstanding amount was fully repaid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June 30, 2024the total outstanding amount payable to ACF was $1.1 million. The outstanding amount was fully repaid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2024 Convertible Notes, purchased the entire outstanding obligation to the note holder for $2.9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raised $6.4 million through the issuance of 2024 Convertible Notes and $1.6 million through the issuance of 2024 Term Notes. The net cash proceeds, after transaction expenses, were $7.2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Convertible Notes accrue interest which is added to the outstanding principal balance semi-annually. The Notes are convertible into common stock at a conversion price of $0.15 per share at the holder’s option any time up to the day prior to maturity, initially in January 2026. The 2024 Term Notes, initially due at issuance in January 2026, accrue interest payable in cash semi-annually. The 2024 Convertible Notes and 2024 Term Notes rank pari passu and are secured by substantially all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any portion of the 2024 Secured Term Notes, without penalty, at any time after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accounts receivable, and working capital at June 30, 2025, and December 31, 2024 (in thousands):</w:t>
      </w:r>
    </w:p>
    <w:p>
      <w:pPr>
        <w:pStyle w:val="TextBody"/>
        <w:bidi w:val="0"/>
        <w:spacing w:before="0" w:after="0"/>
        <w:ind w:left="0" w:right="0" w:hanging="0"/>
        <w:jc w:val="both"/>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2555"/>
        <w:gridCol w:w="90"/>
        <w:gridCol w:w="184"/>
        <w:gridCol w:w="720"/>
        <w:gridCol w:w="125"/>
        <w:gridCol w:w="90"/>
        <w:gridCol w:w="306"/>
        <w:gridCol w:w="1198"/>
        <w:gridCol w:w="170"/>
      </w:tblGrid>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1,383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1,179</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2,136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2,213</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Working capital</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(2,832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(1,806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2024 Convertible Notes and 2024 Term Notes also contain a number of restrictive covenants that may impose significant restrictions on obtaining future financings, including restrictions on SpringBig’s ability to do any of each following while the 2024 Convertible Notes and 2024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three months ended June 30, 2025, and 2024 (in thousands): </w:t>
      </w:r>
    </w:p>
    <w:p>
      <w:pPr>
        <w:pStyle w:val="TextBody"/>
        <w:bidi w:val="0"/>
        <w:spacing w:before="0" w:after="0"/>
        <w:ind w:left="0" w:right="0" w:firstLine="360"/>
        <w:jc w:val="both"/>
        <w:rPr>
          <w:caps w:val="false"/>
          <w:smallCaps w:val="false"/>
        </w:rPr>
      </w:pPr>
      <w:r>
        <w:rPr>
          <w:caps w:val="false"/>
          <w:smallCaps w:val="false"/>
        </w:rPr>
        <w:t> </w:t>
      </w:r>
    </w:p>
    <w:tbl>
      <w:tblPr>
        <w:tblW w:w="5607" w:type="dxa"/>
        <w:jc w:val="left"/>
        <w:tblInd w:w="0" w:type="dxa"/>
        <w:tblLayout w:type="fixed"/>
        <w:tblCellMar>
          <w:top w:w="0" w:type="dxa"/>
          <w:left w:w="0" w:type="dxa"/>
          <w:bottom w:w="0" w:type="dxa"/>
          <w:right w:w="0" w:type="dxa"/>
        </w:tblCellMar>
      </w:tblPr>
      <w:tblGrid>
        <w:gridCol w:w="3410"/>
        <w:gridCol w:w="90"/>
        <w:gridCol w:w="202"/>
        <w:gridCol w:w="487"/>
        <w:gridCol w:w="148"/>
        <w:gridCol w:w="107"/>
        <w:gridCol w:w="202"/>
        <w:gridCol w:w="791"/>
        <w:gridCol w:w="170"/>
      </w:tblGrid>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b/>
              </w:rPr>
            </w:pPr>
            <w:r>
              <w:rPr>
                <w:b/>
              </w:rPr>
              <w:t>Total cash provided by (used in):</w:t>
            </w:r>
          </w:p>
        </w:tc>
        <w:tc>
          <w:tcPr>
            <w:tcW w:w="90" w:type="dxa"/>
            <w:tcBorders/>
            <w:vAlign w:val="center"/>
          </w:tcPr>
          <w:p>
            <w:pPr>
              <w:pStyle w:val="TableContents"/>
              <w:bidi w:val="0"/>
              <w:spacing w:before="0" w:after="283"/>
              <w:jc w:val="left"/>
              <w:rPr/>
            </w:pPr>
            <w:r>
              <w:rPr/>
              <w:t> </w:t>
            </w:r>
          </w:p>
        </w:tc>
        <w:tc>
          <w:tcPr>
            <w:tcW w:w="689" w:type="dxa"/>
            <w:gridSpan w:val="2"/>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93"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487" w:type="dxa"/>
            <w:tcBorders/>
            <w:shd w:fill="CCEEFF" w:val="clear"/>
            <w:vAlign w:val="center"/>
          </w:tcPr>
          <w:p>
            <w:pPr>
              <w:pStyle w:val="TableContents"/>
              <w:bidi w:val="0"/>
              <w:spacing w:before="0" w:after="283"/>
              <w:jc w:val="right"/>
              <w:rPr/>
            </w:pPr>
            <w:r>
              <w:rPr/>
              <w:t>218</w:t>
            </w:r>
          </w:p>
        </w:tc>
        <w:tc>
          <w:tcPr>
            <w:tcW w:w="14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(1,919</w:t>
            </w:r>
          </w:p>
        </w:tc>
        <w:tc>
          <w:tcPr>
            <w:tcW w:w="170" w:type="dxa"/>
            <w:tcBorders/>
            <w:shd w:fill="CCEEFF" w:val="clear"/>
            <w:vAlign w:val="center"/>
          </w:tcPr>
          <w:p>
            <w:pPr>
              <w:pStyle w:val="TableContents"/>
              <w:bidi w:val="0"/>
              <w:spacing w:before="0" w:after="283"/>
              <w:jc w:val="left"/>
              <w:rPr/>
            </w:pPr>
            <w:r>
              <w:rPr/>
              <w:t>)</w:t>
            </w:r>
          </w:p>
        </w:tc>
      </w:tr>
      <w:tr>
        <w:trPr/>
        <w:tc>
          <w:tcPr>
            <w:tcW w:w="3410" w:type="dxa"/>
            <w:tcBorders/>
            <w:vAlign w:val="center"/>
          </w:tcPr>
          <w:p>
            <w:pPr>
              <w:pStyle w:val="TableContents"/>
              <w:bidi w:val="0"/>
              <w:spacing w:before="0" w:after="283"/>
              <w:jc w:val="left"/>
              <w:rPr/>
            </w:pPr>
            <w:r>
              <w:rPr/>
              <w:t>Investing activities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right"/>
              <w:rPr/>
            </w:pPr>
            <w:r>
              <w:rPr/>
              <w:t>(14</w:t>
            </w:r>
          </w:p>
        </w:tc>
        <w:tc>
          <w:tcPr>
            <w:tcW w:w="148"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(63</w:t>
            </w:r>
          </w:p>
        </w:tc>
        <w:tc>
          <w:tcPr>
            <w:tcW w:w="170" w:type="dxa"/>
            <w:tcBorders/>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2,375</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487" w:type="dxa"/>
            <w:tcBorders>
              <w:bottom w:val="double" w:sz="10" w:space="0" w:color="000000"/>
            </w:tcBorders>
            <w:tcMar>
              <w:bottom w:w="28" w:type="dxa"/>
            </w:tcMar>
            <w:vAlign w:val="center"/>
          </w:tcPr>
          <w:p>
            <w:pPr>
              <w:pStyle w:val="TableContents"/>
              <w:bidi w:val="0"/>
              <w:spacing w:before="0" w:after="283"/>
              <w:jc w:val="right"/>
              <w:rPr/>
            </w:pPr>
            <w:r>
              <w:rPr/>
              <w:t>204</w:t>
            </w:r>
          </w:p>
        </w:tc>
        <w:tc>
          <w:tcPr>
            <w:tcW w:w="148"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tcMar>
              <w:bottom w:w="28" w:type="dxa"/>
            </w:tcMar>
            <w:vAlign w:val="center"/>
          </w:tcPr>
          <w:p>
            <w:pPr>
              <w:pStyle w:val="TableContents"/>
              <w:bidi w:val="0"/>
              <w:spacing w:before="0" w:after="283"/>
              <w:jc w:val="right"/>
              <w:rPr/>
            </w:pPr>
            <w:r>
              <w:rPr/>
              <w:t>393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2025, the net loss was $1.8 million, and the cash from operating activities was $0.2 million. The difference of $2.0 million is due to a $0.6 million decrease in working capital and $1.4 million of non-cash items (including depreciation, amortization and 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2024, the net loss was $0.2 million, and the cash used in operating activities was $1.9 million. The difference of $1.7 million is due to a $1.6 million gain on the repurchase of the 6% Secured Convertible Note in January 2024, the cash benefit of which is reflected in financing activities, and a $1.6 million increase in working capital (primarily due to reduced payables) being partially offset by $1.5 million of non-cash items (including depreciation, amortization, stock-based compensation and change in the fair value of warrants).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has low capital investment requirements, with our needs being comprised primarily of computer equipment and office furniture and related items. Cash used in investing activities was $14,000 for the six months ended June 30, 2025, and $63,000 for the six months ended June 30, 2024.</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cash flows due to financing activities during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 net cash provided by financing activities was $2.4 million. The proceeds of $7.2 million, net of expenses, from the issuance of the $1.6 million aggregate principal amount of 2024 Secured Term Notes, due 2027, and $6.4 million aggregate principal amount of 2024 Secured Convertible Notes, due 2027, were in part used to repay the 6% Senior Secured Convertible and associated warrants for cash consideration of $2.9 million. The short-term cash advances were repaid by $1.4 million and a related party loan of $0.5 million was repaid during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Times;Serif" w:hAnsi="Times New Roman;Times;Serif"/>
          <w:b w:val="false"/>
          <w:i/>
          <w:caps w:val="false"/>
          <w:smallCaps w:val="false"/>
          <w:sz w:val="20"/>
        </w:rPr>
        <w:t>ASU 2016-17, Balance Sheet Classification of Deferred Taxes</w:t>
      </w:r>
      <w:r>
        <w:rPr>
          <w:rFonts w:ascii="Times New Roman;Times;Serif" w:hAnsi="Times New Roman;Times;Serif"/>
          <w:b w:val="false"/>
          <w:i w:val="false"/>
          <w:caps w:val="false"/>
          <w:smallCaps w:val="false"/>
          <w:sz w:val="20"/>
        </w:rPr>
        <w:t>. The guidance requires that all deferred tax assets and liabilities, along with any related valuation allowance, be classified as noncurrent on the balance sheet. As a result, each jurisdiction will only have one net noncurrent deferred tax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June 30, 2025, and 2024, there are no uncertain tax positions taken, or expected to be taken, that would require recognition of a liability or disclosure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ASC 718, Compensation - Stock Compensation,</w:t>
      </w:r>
      <w:r>
        <w:rPr>
          <w:rFonts w:ascii="Times New Roman;Times;Serif" w:hAnsi="Times New Roman;Times;Serif"/>
          <w:b w:val="false"/>
          <w:i w:val="false"/>
          <w:caps w:val="false"/>
          <w:smallCaps w:val="false"/>
          <w:sz w:val="20"/>
        </w:rPr>
        <w:t xml:space="preserve"> addresses accounting for share-based awards, including stock options, restricted stock, performance 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time-based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 Market-Based Vesting 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and April 2025, the Company granted market-based restricted stock units (“RSUs”) to certain executives. The awards vest in multiple tranches upon the Company’s common stock achieving specified volume-weighted average price (“VWAP”) targets for at least twenty consecutive trading days during the ten-year contractual term, subject to continued service. If the applicable target is not achieved prior to expiration, the corresponding tranche will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values of the awards were determined using a Monte Carlo simulation model incorporating assumptions regarding expected volatility, risk-free interest rates, and other factors. In accordance with ASC 718, the total grant-date fair value is recognized over the derived service periods for each tranche, regardless of whether the market conditions are ultimately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(Topic 740),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3. Quantitative and Qualitative Disclosures About Market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Fluctuation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all highly liquid investments with an original maturity of three months or less to be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(our principal executive officer) and Chief Financial Officer (our principal financial and accounting officer) evaluated the effectiveness of our “disclosure controls and procedures” (as defined in the Exchange Act Rules 13a-15(e) and 15d-15(e)) as of June 30, 2025,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2024, for a description of the Company’s 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Controls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 in our internal control over financial reporting (as defined in Rules 13a-15(f) and 15d-15(f) under the Exchange Act) occurred during the three months ended June 30, 2025, that has materially affected, or is reasonably likely to materially affect,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developments to legal proceedings during the six months ended June 30, 2025, see “Litigation” under Note 15, “Commitments and Contingencies”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involves a high degree of risk. You should carefully consider the risks described under the caption “Risk Factors” in Part I, Item 1A of our Annual Report on Form 10-K for the year ended December 31, 2024,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 xml:space="preserve">Item 3. Defaults Upon Senior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 xml:space="preserve">Item 5. Other Information </w:t>
      </w:r>
    </w:p>
    <w:p>
      <w:pPr>
        <w:pStyle w:val="TextBody"/>
        <w:bidi w:val="0"/>
        <w:spacing w:before="0" w:after="0"/>
        <w:ind w:left="0"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05"/>
        <w:gridCol w:w="260"/>
        <w:gridCol w:w="575"/>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05"/>
        <w:gridCol w:w="275"/>
        <w:gridCol w:w="57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28"/>
        <w:gridCol w:w="9872"/>
      </w:tblGrid>
      <w:tr>
        <w:trPr/>
        <w:tc>
          <w:tcPr>
            <w:tcW w:w="10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three months ended June 30, 2025, no director or officer of the Company adopted or terminated a “Rule 10b5-1 trading arrangement” or “non-Rule 10b5-1 trading arrangement,” as each term is defined in Item 408 of Regulation 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8"/>
        <w:gridCol w:w="90"/>
        <w:gridCol w:w="5034"/>
        <w:gridCol w:w="90"/>
        <w:gridCol w:w="530"/>
        <w:gridCol w:w="90"/>
        <w:gridCol w:w="680"/>
        <w:gridCol w:w="90"/>
        <w:gridCol w:w="839"/>
        <w:gridCol w:w="90"/>
        <w:gridCol w:w="1018"/>
        <w:gridCol w:w="90"/>
        <w:gridCol w:w="796"/>
      </w:tblGrid>
      <w:tr>
        <w:trPr/>
        <w:tc>
          <w:tcPr>
            <w:tcW w:w="7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center"/>
              <w:rPr/>
            </w:pPr>
            <w:r>
              <w:rPr/>
              <w:t> </w:t>
            </w:r>
          </w:p>
        </w:tc>
        <w:tc>
          <w:tcPr>
            <w:tcW w:w="503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90" w:type="dxa"/>
            <w:tcBorders/>
            <w:tcMar>
              <w:bottom w:w="0" w:type="dxa"/>
            </w:tcMar>
            <w:vAlign w:val="center"/>
          </w:tcPr>
          <w:p>
            <w:pPr>
              <w:pStyle w:val="TableContents"/>
              <w:bidi w:val="0"/>
              <w:spacing w:before="0" w:after="283"/>
              <w:jc w:val="center"/>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center"/>
              <w:rPr/>
            </w:pPr>
            <w:r>
              <w:rPr/>
              <w:t> </w:t>
            </w:r>
          </w:p>
        </w:tc>
        <w:tc>
          <w:tcPr>
            <w:tcW w:w="83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90" w:type="dxa"/>
            <w:tcBorders/>
            <w:tcMar>
              <w:bottom w:w="0" w:type="dxa"/>
            </w:tcMar>
            <w:vAlign w:val="center"/>
          </w:tcPr>
          <w:p>
            <w:pPr>
              <w:pStyle w:val="TableContents"/>
              <w:bidi w:val="0"/>
              <w:spacing w:before="0" w:after="283"/>
              <w:jc w:val="center"/>
              <w:rPr/>
            </w:pPr>
            <w:r>
              <w:rPr/>
              <w:t> </w:t>
            </w:r>
          </w:p>
        </w:tc>
        <w:tc>
          <w:tcPr>
            <w:tcW w:w="10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Filed/Furnished</w:t>
              <w:br/>
              <w:t>Herewith</w:t>
            </w:r>
          </w:p>
        </w:tc>
        <w:tc>
          <w:tcPr>
            <w:tcW w:w="90" w:type="dxa"/>
            <w:tcBorders/>
            <w:tcMar>
              <w:bottom w:w="0" w:type="dxa"/>
            </w:tcMar>
            <w:vAlign w:val="center"/>
          </w:tcPr>
          <w:p>
            <w:pPr>
              <w:pStyle w:val="TableContents"/>
              <w:bidi w:val="0"/>
              <w:spacing w:before="0" w:after="283"/>
              <w:jc w:val="center"/>
              <w:rPr/>
            </w:pPr>
            <w:r>
              <w:rPr/>
              <w:t> </w:t>
            </w:r>
          </w:p>
        </w:tc>
        <w:tc>
          <w:tcPr>
            <w:tcW w:w="7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 File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Certificate of Incorporation of SpringBig Holdings,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01,</w:t>
              <w:b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By-Laws of SpringBig Holdings,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10-K</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01,</w:t>
              <w:br/>
              <w:t>2024</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001-40049</w:t>
            </w:r>
          </w:p>
        </w:tc>
      </w:tr>
      <w:tr>
        <w:trPr/>
        <w:tc>
          <w:tcPr>
            <w:tcW w:w="768" w:type="dxa"/>
            <w:tcBorders/>
            <w:shd w:fill="CCEEFF" w:val="clear"/>
            <w:tcMar>
              <w:bottom w:w="0" w:type="dxa"/>
            </w:tcMar>
            <w:vAlign w:val="center"/>
          </w:tcPr>
          <w:p>
            <w:pPr>
              <w:pStyle w:val="TableContents"/>
              <w:bidi w:val="0"/>
              <w:spacing w:before="0" w:after="283"/>
              <w:jc w:val="left"/>
              <w:rPr>
                <w:b/>
              </w:rPr>
            </w:pPr>
            <w:r>
              <w:rPr>
                <w:b/>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pPr>
            <w:hyperlink r:id="rId4">
              <w:r>
                <w:rPr>
                  <w:rStyle w:val="InternetLink"/>
                </w:rPr>
                <w:t>Offer Letter between SpringBig Holdings, Inc. and James Cabral.</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b/>
              </w:rPr>
            </w:pPr>
            <w:r>
              <w:rPr>
                <w:b/>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b/>
              </w:rPr>
            </w:pPr>
            <w:r>
              <w:rPr>
                <w:b/>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b/>
              </w:rPr>
            </w:pPr>
            <w:r>
              <w:rPr>
                <w:b/>
              </w:rPr>
              <w:t>May 13,</w:t>
              <w:b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b/>
              </w:rPr>
            </w:pPr>
            <w:r>
              <w:rPr>
                <w:b/>
              </w:rPr>
              <w:t>001-40049</w:t>
            </w:r>
          </w:p>
        </w:tc>
      </w:tr>
      <w:tr>
        <w:trPr/>
        <w:tc>
          <w:tcPr>
            <w:tcW w:w="768" w:type="dxa"/>
            <w:tcBorders/>
            <w:tcMar>
              <w:bottom w:w="0" w:type="dxa"/>
            </w:tcMar>
            <w:vAlign w:val="center"/>
          </w:tcPr>
          <w:p>
            <w:pPr>
              <w:pStyle w:val="TableContents"/>
              <w:bidi w:val="0"/>
              <w:spacing w:before="0" w:after="283"/>
              <w:jc w:val="left"/>
              <w:rPr>
                <w:b/>
              </w:rPr>
            </w:pPr>
            <w:r>
              <w:rPr>
                <w:b/>
              </w:rPr>
              <w:t>#10.2</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both"/>
              <w:rPr/>
            </w:pPr>
            <w:hyperlink r:id="rId5">
              <w:r>
                <w:rPr>
                  <w:rStyle w:val="InternetLink"/>
                </w:rPr>
                <w:t>Offer Letter between SpringBig Holdings, Inc. and Jason Moos.</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b/>
              </w:rPr>
            </w:pPr>
            <w:r>
              <w:rPr>
                <w:b/>
              </w:rPr>
              <w:t>8-K</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b/>
              </w:rPr>
            </w:pPr>
            <w:r>
              <w:rPr>
                <w:b/>
              </w:rPr>
              <w:t>10.2</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b/>
              </w:rPr>
            </w:pPr>
            <w:r>
              <w:rPr>
                <w:b/>
              </w:rPr>
              <w:t>May 13,</w:t>
              <w:br/>
              <w:t>2025</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b/>
              </w:rPr>
            </w:pPr>
            <w:r>
              <w:rPr>
                <w:b/>
              </w:rPr>
              <w:t>001-40049</w:t>
            </w:r>
          </w:p>
        </w:tc>
      </w:tr>
      <w:tr>
        <w:trPr/>
        <w:tc>
          <w:tcPr>
            <w:tcW w:w="768" w:type="dxa"/>
            <w:tcBorders/>
            <w:shd w:fill="CCEEFF" w:val="clear"/>
            <w:tcMar>
              <w:bottom w:w="0" w:type="dxa"/>
            </w:tcMar>
            <w:vAlign w:val="center"/>
          </w:tcPr>
          <w:p>
            <w:pPr>
              <w:pStyle w:val="TableContents"/>
              <w:bidi w:val="0"/>
              <w:spacing w:before="0" w:after="283"/>
              <w:jc w:val="left"/>
              <w:rPr>
                <w:b/>
              </w:rPr>
            </w:pPr>
            <w:r>
              <w:rPr>
                <w:b/>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both"/>
              <w:rPr/>
            </w:pPr>
            <w:hyperlink r:id="rId6">
              <w:r>
                <w:rPr>
                  <w:rStyle w:val="InternetLink"/>
                </w:rPr>
                <w:t>Equity Purchase Agreement, dated as of July 31, 2025, by and among SpringBig Holdings, Inc., VICE CRM, LLC, Jaret Christopher, David Schachter, and Luis Aristides Diaz Madrid.</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b/>
              </w:rPr>
            </w:pPr>
            <w:r>
              <w:rPr>
                <w:b/>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b/>
              </w:rPr>
            </w:pPr>
            <w:r>
              <w:rPr>
                <w:b/>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b/>
              </w:rPr>
            </w:pPr>
            <w:r>
              <w:rPr>
                <w:b/>
              </w:rPr>
              <w:t>August 6,</w:t>
              <w:b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b/>
              </w:rPr>
            </w:pPr>
            <w:r>
              <w:rPr>
                <w:b/>
              </w:rPr>
              <w:t>001-40049</w:t>
            </w:r>
          </w:p>
        </w:tc>
      </w:tr>
      <w:tr>
        <w:trPr/>
        <w:tc>
          <w:tcPr>
            <w:tcW w:w="768" w:type="dxa"/>
            <w:tcBorders/>
            <w:tcMar>
              <w:bottom w:w="0" w:type="dxa"/>
            </w:tcMar>
            <w:vAlign w:val="center"/>
          </w:tcPr>
          <w:p>
            <w:pPr>
              <w:pStyle w:val="TableContents"/>
              <w:bidi w:val="0"/>
              <w:spacing w:before="0" w:after="283"/>
              <w:jc w:val="left"/>
              <w:rPr>
                <w:b/>
              </w:rPr>
            </w:pPr>
            <w:r>
              <w:rPr>
                <w:b/>
              </w:rPr>
              <w:t>#10.4</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both"/>
              <w:rPr/>
            </w:pPr>
            <w:hyperlink w:anchor="ea024965201ex10-4_springbig.htm">
              <w:r>
                <w:rPr>
                  <w:rStyle w:val="InternetLink"/>
                </w:rPr>
                <w:t>First Amendment to the Separation Agreement, dated as of May 7, 2025, by and between SpringBig Holdings, Inc. and Paul Sykes.</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pPr>
            <w:hyperlink w:anchor="ea024965201ex31-1_springbig.htm">
              <w:r>
                <w:rPr>
                  <w:rStyle w:val="InternetLink"/>
                  <w:rFonts w:ascii="Times New Roman;Times;Serif" w:hAnsi="Times New Roman;Times;Serif"/>
                  <w:sz w:val="20"/>
                </w:rPr>
                <w:t>Certification of Chief Executive Officer pursuant to Section 302 of the Sarbanes-Oxley Act of 2002.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pPr>
            <w:hyperlink w:anchor="ea024965201ex31-2_springbig.htm">
              <w:r>
                <w:rPr>
                  <w:rStyle w:val="InternetLink"/>
                  <w:rFonts w:ascii="Times New Roman;Times;Serif" w:hAnsi="Times New Roman;Times;Serif"/>
                  <w:sz w:val="20"/>
                </w:rPr>
                <w:t>Certification of Chief Financial Officer pursuant to Section 302 of the Sarbanes-Oxley Act of 2002.</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pPr>
            <w:hyperlink w:anchor="ea024965201ex32-1_springbig.htm">
              <w:r>
                <w:rPr>
                  <w:rStyle w:val="InternetLink"/>
                  <w:rFonts w:ascii="Times New Roman;Times;Serif" w:hAnsi="Times New Roman;Times;Serif"/>
                  <w:sz w:val="20"/>
                </w:rPr>
                <w:t>Certification of Chief Executive Officer pursuant to Section 906 of the Sarbanes-Oxley Act of 2002.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32.2</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pPr>
            <w:hyperlink w:anchor="ea024965201ex32-2_springbig.htm">
              <w:r>
                <w:rPr>
                  <w:rStyle w:val="InternetLink"/>
                  <w:rFonts w:ascii="Times New Roman;Times;Serif" w:hAnsi="Times New Roman;Times;Serif"/>
                  <w:sz w:val="20"/>
                </w:rPr>
                <w:t>Certification of Chief Financial Officer pursuant to Section 906 of the Sarbanes-Oxley Act of 2002.</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Instance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Schema Document</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Labels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r>
        <w:trPr/>
        <w:tc>
          <w:tcPr>
            <w:tcW w:w="7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tcMar>
              <w:bottom w:w="0" w:type="dxa"/>
            </w:tcMar>
            <w:vAlign w:val="center"/>
          </w:tcPr>
          <w:p>
            <w:pPr>
              <w:pStyle w:val="TableContents"/>
              <w:bidi w:val="0"/>
              <w:spacing w:before="0" w:after="283"/>
              <w:jc w:val="left"/>
              <w:rPr/>
            </w:pPr>
            <w:r>
              <w:rPr/>
              <w:t> </w:t>
            </w:r>
          </w:p>
        </w:tc>
        <w:tc>
          <w:tcPr>
            <w:tcW w:w="50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3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center"/>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r>
        <w:trPr/>
        <w:tc>
          <w:tcPr>
            <w:tcW w:w="2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a management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SpringBig Holdings, Inc</w:t>
      </w:r>
    </w:p>
    <w:p>
      <w:pPr>
        <w:pStyle w:val="TextBody"/>
        <w:bidi w:val="0"/>
        <w:spacing w:before="0" w:after="0"/>
        <w:ind w:left="0" w:right="0" w:firstLine="495"/>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35"/>
        <w:gridCol w:w="2645"/>
        <w:gridCol w:w="135"/>
      </w:tblGrid>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Jaret Christopher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Jaret Christopher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13, 2025</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Jason Moos</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Jason Moos</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(Principal Financial Officer and </w:t>
              <w:br/>
              <w:t>Principal Accounting Officer)</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13, 2025</w:t>
            </w:r>
          </w:p>
        </w:tc>
        <w:tc>
          <w:tcPr>
            <w:tcW w:w="13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4965201ex10-4_springbig.htm"/>
      <w:bookmarkStart w:id="22" w:name="ksea024965201ex104_springbig"/>
      <w:bookmarkEnd w:id="21"/>
      <w:bookmarkEnd w:id="22"/>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FIRST AMENDMENT TO THE SEPARATION AND RELEASE OF CLAIMS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(this “Amendment”) to the Separation and Release of Claims Agreement, dated as of January 15, 2025 (the “Original Agreement”), is entered into by and between Springbig, Inc., a Delaware corporation, and SpringBig Holdings, Inc., a Delaware corporation (together, the “Employer”), and Paul Sykes, a Florida resident (the “Executive”), as of May 7, 2025. Capitalized terms used but not otherwise defined herein shall have the meanings ascribed to them in the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RECITALS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Employer and the Executive entered into the Original Agreement, and pursuant to Section 12 thereof, the Original Agreement generally may be amended or modified if the amendment or modification is in writing and signed by the Employer and the Executive;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Employer and the Executive desire to enter into this Amendment to amend the Original Agreement (the Original Agreement as amended by this Amendment, the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Employer and the Executive hereby consent to, and authorizes and approves in every respect,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281"/>
        <w:gridCol w:w="8681"/>
      </w:tblGrid>
      <w:tr>
        <w:trPr/>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pPr>
            <w:r>
              <w:rPr/>
              <w:t>1.</w:t>
            </w:r>
          </w:p>
        </w:tc>
        <w:tc>
          <w:tcPr>
            <w:tcW w:w="8681" w:type="dxa"/>
            <w:tcBorders/>
            <w:vAlign w:val="center"/>
          </w:tcPr>
          <w:p>
            <w:pPr>
              <w:pStyle w:val="TableContents"/>
              <w:bidi w:val="0"/>
              <w:spacing w:before="0" w:after="283"/>
              <w:jc w:val="both"/>
              <w:rPr/>
            </w:pPr>
            <w:r>
              <w:rPr>
                <w:u w:val="single"/>
              </w:rPr>
              <w:t>Amendments</w:t>
            </w:r>
            <w:r>
              <w:rPr/>
              <w:t>.</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third paragraph of the Original Agreement, the definition of “Separation Date” shall be amended and restated in its entirety to read as follows: May 7,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3(b) of the Separation Agreement shall be amended and restated in its entirety to read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Separation Date, the Employer Group agrees to pay the Executive an aggregate bonus of $120,000, payable in twelve equal semimonthly installments of $10,000 on or promptly following the Employer Group’s standard U.S. payroll dates, commencing on the Employer Group’s first standard U.S. payroll date following the Separation Date and concluding on the Employer Group’s 12th standard U.S. payroll date following the Separation Date. Such amount may be subject to withholding pursuant to Section 20 of the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3(c) of the Separation Agreement regarding the acceleration of vesting of certain restricted stock units is hereby deleted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Convertible and Term Notes</w:t>
      </w:r>
      <w:r>
        <w:rPr>
          <w:rFonts w:ascii="Times New Roman;Times;Serif" w:hAnsi="Times New Roman;Times;Serif"/>
          <w:b w:val="false"/>
          <w:i w:val="false"/>
          <w:caps w:val="false"/>
          <w:smallCaps w:val="false"/>
          <w:sz w:val="20"/>
        </w:rPr>
        <w:t>. The Employer Group shall arrange for a third party to purchase within five business days after the Separation Date the Executive’s holdings of certain notes at the original principal amount paid by the Executive: $25,000 for the Senior Secured Convertible Promissory Notes, dated as of January 23, 2024, as amended, and $6,250 for the Senior Secured Promissory Notes, dated as of January 23, 2024, as amended. The total consideration of $31,250 is payable by wire transfer at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The Employer Group agrees and covenants that the Employer Group shall not make, publish, or communicate defamatory or disparaging remarks, comments, or statements concerning any of the Executive’s products or services. The Employer Group agrees and covenants that the Employer Group shall not make, publish, or communicate to any person or entity or in any public forum any maliciously false, defamatory, or disparaging remarks, comments, or statements concerning the Executive, now or at any time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does not in any way restrict or impede the Employer Group from exercising protected rights to the extent that such rights cannot be waived by agreement, including the right to report possible securities law violations to the SEC, without notice to the Executive. This Section also does not prevent the Employer Group from complying with any applicable law or regulation or a valid order from a court of competent jurisdiction or an authorized government agency, provided that such compliance does not exceed that required by the law, regulation, or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w:t>
      </w:r>
    </w:p>
    <w:p>
      <w:pPr>
        <w:pStyle w:val="TextBody"/>
        <w:bidi w:val="0"/>
        <w:spacing w:before="0" w:after="0"/>
        <w:ind w:left="180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85"/>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885" w:type="dxa"/>
            <w:tcBorders/>
            <w:vAlign w:val="center"/>
          </w:tcPr>
          <w:p>
            <w:pPr>
              <w:pStyle w:val="TableContents"/>
              <w:bidi w:val="0"/>
              <w:spacing w:before="0" w:after="283"/>
              <w:jc w:val="both"/>
              <w:rPr/>
            </w:pPr>
            <w:r>
              <w:rPr/>
              <w:t>In exchange for the consideration provided in this Agreement:</w:t>
            </w:r>
          </w:p>
        </w:tc>
      </w:tr>
    </w:tbl>
    <w:p>
      <w:pPr>
        <w:pStyle w:val="TextBody"/>
        <w:bidi w:val="0"/>
        <w:spacing w:before="0" w:after="0"/>
        <w:ind w:left="1530" w:right="0" w:firstLine="81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Executive hereby agrees to deliver a release, substantially in the form set forth in Exhibit A to the Agreement, effective and dated as of the Separation Date, and such execution and delivery shall be a condition precedent to the Employer’s obligations under this Agreement as of and following the Separation Date (including, but not limited to, any further compensation, monies, or other benefits from the Employer Group, including coverage under any benefit plans or programs sponsored by the Employer Group); and</w:t>
      </w:r>
    </w:p>
    <w:p>
      <w:pPr>
        <w:pStyle w:val="TextBody"/>
        <w:bidi w:val="0"/>
        <w:spacing w:before="0" w:after="0"/>
        <w:ind w:left="1530" w:right="0" w:firstLine="810"/>
        <w:jc w:val="both"/>
        <w:rPr>
          <w:caps w:val="false"/>
          <w:smallCaps w:val="false"/>
        </w:rPr>
      </w:pPr>
      <w:r>
        <w:rPr>
          <w:caps w:val="false"/>
          <w:smallCaps w:val="false"/>
        </w:rPr>
        <w:t> </w:t>
      </w:r>
    </w:p>
    <w:p>
      <w:pPr>
        <w:pStyle w:val="TextBody"/>
        <w:bidi w:val="0"/>
        <w:spacing w:before="0" w:after="0"/>
        <w:ind w:left="144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Employer hereby agrees to deliver a release, substantially in the form set forth in Exhibit A to the Agreement (with only such modifications as necessary to make such release applicable to the Employer and not the Executive), effective and dated as of the Separation Date, and such execution and delivery shall be a condition precedent to the Executive’s obligations under this Agreement as of and following the Separation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warranties and confirmations set forth in Section 2 of the Original Agreement shall be true and correct on the Separation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All of the terms and conditions of the Original Agreement shall remain in full force and effect, unmodified and unwaived (including, for the avoidance of doubt, the Employer’s agreement to make contributions toward COBRA premiums until the time set forth in Section 3(d) of the Original Agreement) except to the extent expressly revised pursuant to the terms hereof. This Amendment shall be deemed to be incorporated in full in the Original Agreement. This Amendment shall be binding upon and inure to the benefit of the parties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 Arbitration</w:t>
      </w:r>
      <w:r>
        <w:rPr>
          <w:rFonts w:ascii="Times New Roman;Times;Serif" w:hAnsi="Times New Roman;Times;Serif"/>
          <w:b w:val="false"/>
          <w:i w:val="false"/>
          <w:caps w:val="false"/>
          <w:smallCaps w:val="false"/>
          <w:sz w:val="20"/>
        </w:rPr>
        <w:t xml:space="preserve">. Section 10 of the Original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Amendment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SPRINGBIG,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Jaret Christopher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Jaret Christopher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SPRINGBIG HOLDINGS,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Jaret Christopher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Jaret Christopher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560"/>
        <w:gridCol w:w="2090"/>
        <w:gridCol w:w="75"/>
      </w:tblGrid>
      <w:tr>
        <w:trPr/>
        <w:tc>
          <w:tcPr>
            <w:tcW w:w="26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Sykes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Sykes, an individual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4965201ex31-1_springbig.htm"/>
      <w:bookmarkStart w:id="24" w:name="ksea024965201ex311_springbig"/>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BY THE CHIEF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Jaret Christopher,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I have reviewed this Quarterly Report on Form 10-Q for the three months ended June 30, 2025, of SpringBig Holdings,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2025</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12" w:space="0" w:color="000000"/>
            </w:tcBorders>
            <w:vAlign w:val="center"/>
          </w:tcPr>
          <w:p>
            <w:pPr>
              <w:pStyle w:val="TableContents"/>
              <w:bidi w:val="0"/>
              <w:spacing w:before="0" w:after="283"/>
              <w:jc w:val="left"/>
              <w:rPr/>
            </w:pPr>
            <w:r>
              <w:rPr/>
              <w:t>/s/ Jaret Christopher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Jaret Christopher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4965201ex31-2_springbig.htm"/>
      <w:bookmarkStart w:id="26" w:name="ksea024965201ex312_springbig"/>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BY THE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Jason Moos,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I have reviewed this Quarterly Report on Form 10-Q for the three months ended June 30, 2025, of SpringBig Holdings,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2025</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28" w:type="dxa"/>
          <w:right w:w="0" w:type="dxa"/>
        </w:tblCellMar>
      </w:tblPr>
      <w:tblGrid>
        <w:gridCol w:w="2225"/>
        <w:gridCol w:w="75"/>
      </w:tblGrid>
      <w:tr>
        <w:trPr/>
        <w:tc>
          <w:tcPr>
            <w:tcW w:w="2225" w:type="dxa"/>
            <w:tcBorders>
              <w:bottom w:val="single" w:sz="12" w:space="0" w:color="000000"/>
            </w:tcBorders>
            <w:vAlign w:val="center"/>
          </w:tcPr>
          <w:p>
            <w:pPr>
              <w:pStyle w:val="TableContents"/>
              <w:bidi w:val="0"/>
              <w:spacing w:before="0" w:after="283"/>
              <w:jc w:val="left"/>
              <w:rPr/>
            </w:pPr>
            <w:r>
              <w:rPr/>
              <w:t>/s/ Jason Moos</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Jason Moos</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pPr>
            <w:r>
              <w:rPr/>
              <w:t>Chief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4965201ex32-1_springbig.htm"/>
      <w:bookmarkStart w:id="28" w:name="ksea024965201ex321_springbig"/>
      <w:bookmarkEnd w:id="27"/>
      <w:bookmarkEnd w:id="28"/>
      <w:r>
        <w:rPr>
          <w:rFonts w:ascii="Times New Roman;Times;Serif" w:hAnsi="Times New Roman;Times;Serif"/>
          <w:b/>
          <w:i w:val="false"/>
          <w:caps w:val="false"/>
          <w:smallCaps w:val="false"/>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 Pursuant to 18 U. S. C. Section 1350, 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I, Jaret Christopher, hereby certify that, to the best of my knowledge, SpringBig Holdings, Inc’s Quarterly Report on Form 10-Q for the three months ended June 30, 2025 (the Report), as filed with the Securities and Exchange Commission on August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605"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Jaret Christopher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Jaret Christopher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1940" w:type="dxa"/>
            <w:tcBorders/>
            <w:vAlign w:val="center"/>
          </w:tcPr>
          <w:p>
            <w:pPr>
              <w:pStyle w:val="TableContents"/>
              <w:bidi w:val="0"/>
              <w:spacing w:before="0" w:after="283"/>
              <w:jc w:val="left"/>
              <w:rPr>
                <w:sz w:val="20"/>
              </w:rPr>
            </w:pPr>
            <w:r>
              <w:rPr>
                <w:sz w:val="20"/>
              </w:rPr>
              <w:t>August 13, 2025</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4965201ex32-2_springbig.htm"/>
      <w:bookmarkStart w:id="30" w:name="ksea024965201ex322_springbig"/>
      <w:bookmarkEnd w:id="29"/>
      <w:bookmarkEnd w:id="30"/>
      <w:r>
        <w:rPr>
          <w:rFonts w:ascii="Times New Roman;Times;Serif" w:hAnsi="Times New Roman;Times;Serif"/>
          <w:b/>
          <w:i w:val="false"/>
          <w:caps w:val="false"/>
          <w:smallCaps w:val="false"/>
          <w:sz w:val="20"/>
        </w:rPr>
        <w:t>Exhibit 32.2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 Pursuant to 18 U. S. C. Section 1350, 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I, Jason Moos, hereby certify that, to the best of my knowledge, SpringBig Holdings, Inc’s Quarterly Report on Form 10-Q for the three months ended June 30, 2025 (the Report), as filed with the Securities and Exchange Commission on August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25"/>
        <w:gridCol w:w="2210"/>
        <w:gridCol w:w="75"/>
      </w:tblGrid>
      <w:tr>
        <w:trPr/>
        <w:tc>
          <w:tcPr>
            <w:tcW w:w="725" w:type="dxa"/>
            <w:tcBorders/>
            <w:vAlign w:val="center"/>
          </w:tcPr>
          <w:p>
            <w:pPr>
              <w:pStyle w:val="TableContents"/>
              <w:bidi w:val="0"/>
              <w:spacing w:before="0" w:after="283"/>
              <w:jc w:val="left"/>
              <w:rPr/>
            </w:pPr>
            <w:r>
              <w:rPr/>
              <w:t>By:</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/s/ Jason Moos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10" w:type="dxa"/>
            <w:tcBorders/>
            <w:vAlign w:val="center"/>
          </w:tcPr>
          <w:p>
            <w:pPr>
              <w:pStyle w:val="TableContents"/>
              <w:bidi w:val="0"/>
              <w:spacing w:before="0" w:after="283"/>
              <w:jc w:val="left"/>
              <w:rPr/>
            </w:pPr>
            <w:r>
              <w:rPr/>
              <w:t>Jason Moos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Date:</w:t>
            </w:r>
          </w:p>
        </w:tc>
        <w:tc>
          <w:tcPr>
            <w:tcW w:w="2210" w:type="dxa"/>
            <w:tcBorders/>
            <w:vAlign w:val="center"/>
          </w:tcPr>
          <w:p>
            <w:pPr>
              <w:pStyle w:val="TableContents"/>
              <w:bidi w:val="0"/>
              <w:spacing w:before="0" w:after="283"/>
              <w:jc w:val="left"/>
              <w:rPr/>
            </w:pPr>
            <w:r>
              <w:rPr/>
              <w:t>August 13, 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1602/000162828024013998/exhibit31certificateofinco.htm" TargetMode="External"/><Relationship Id="rId3" Type="http://schemas.openxmlformats.org/officeDocument/2006/relationships/hyperlink" Target="http://www.sec.gov/Archives/edgar/data/1801602/000162828024013998/exhibit32bylaws1.htm" TargetMode="External"/><Relationship Id="rId4" Type="http://schemas.openxmlformats.org/officeDocument/2006/relationships/hyperlink" Target="http://www.sec.gov/Archives/edgar/data/1801602/000121390025042733/ea024190101ex10-1_spring.htm" TargetMode="External"/><Relationship Id="rId5" Type="http://schemas.openxmlformats.org/officeDocument/2006/relationships/hyperlink" Target="http://www.sec.gov/Archives/edgar/data/1801602/000121390025042733/ea024190101ex10-2_spring.htm" TargetMode="External"/><Relationship Id="rId6" Type="http://schemas.openxmlformats.org/officeDocument/2006/relationships/hyperlink" Target="http://www.sec.gov/Archives/edgar/data/1801602/000121390025072627/ea025206501ex10-1_spring.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21164</Words>
  <Characters>113351</Characters>
  <CharactersWithSpaces>136259</CharactersWithSpaces>
  <Paragraphs>6388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