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020" w:right="940" w:hanging="3072"/>
        <w:spacing w:after="0" w:line="490" w:lineRule="auto"/>
        <w:tabs>
          <w:tab w:leader="none" w:pos="114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 ended </w:t>
      </w:r>
      <w:r>
        <w:rPr>
          <w:rFonts w:ascii="Times New Roman" w:cs="Times New Roman" w:eastAsia="Times New Roman" w:hAnsi="Times New Roman"/>
          <w:sz w:val="18"/>
          <w:szCs w:val="18"/>
          <w:color w:val="auto"/>
        </w:rPr>
        <w:t>September 30,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Ste. 500</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13, 2024, there were 46,315,018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SPRINGBIG,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80" w:type="dxa"/>
            <w:vAlign w:val="bottom"/>
            <w:gridSpan w:val="12"/>
            <w:shd w:val="clear" w:color="auto" w:fill="CCEEFF"/>
          </w:tcPr>
          <w:p>
            <w:pPr>
              <w:jc w:val="center"/>
              <w:ind w:right="3540"/>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900" w:type="dxa"/>
            <w:vAlign w:val="bottom"/>
            <w:shd w:val="clear" w:color="auto" w:fill="CCEEFF"/>
          </w:tcPr>
          <w:p>
            <w:pPr>
              <w:spacing w:after="0"/>
              <w:rPr>
                <w:sz w:val="17"/>
                <w:szCs w:val="17"/>
                <w:color w:val="auto"/>
              </w:rPr>
            </w:pP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420" w:type="dxa"/>
            <w:vAlign w:val="bottom"/>
            <w:tcBorders>
              <w:top w:val="single" w:sz="8" w:color="CCEEFF"/>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340" w:type="dxa"/>
            <w:vAlign w:val="bottom"/>
            <w:tcBorders>
              <w:top w:val="single" w:sz="8" w:color="0000EE"/>
            </w:tcBorders>
            <w:gridSpan w:val="6"/>
          </w:tcPr>
          <w:p>
            <w:pPr>
              <w:spacing w:after="0"/>
              <w:rPr>
                <w:sz w:val="15"/>
                <w:szCs w:val="15"/>
                <w:color w:val="auto"/>
              </w:rPr>
            </w:pPr>
          </w:p>
        </w:tc>
        <w:tc>
          <w:tcPr>
            <w:tcW w:w="354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6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268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040" w:type="dxa"/>
            <w:vAlign w:val="bottom"/>
          </w:tcPr>
          <w:p>
            <w:pPr>
              <w:spacing w:after="0"/>
              <w:rPr>
                <w:sz w:val="15"/>
                <w:szCs w:val="15"/>
                <w:color w:val="auto"/>
              </w:rPr>
            </w:pP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rPr>
                <w:sz w:val="15"/>
                <w:szCs w:val="15"/>
                <w:color w:val="auto"/>
              </w:rPr>
            </w:pPr>
          </w:p>
        </w:tc>
        <w:tc>
          <w:tcPr>
            <w:tcW w:w="92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for three and nine months ended September 30, 2024,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04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02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2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0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98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10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and our financial condition to differ materially from those indicated in our forward-looking statements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cannabis industry and SpringBig’s market size, including with respect to the potential total addressable market 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SpringBig’s growth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offerings SpringBig may introduce in the future;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and identify and realize additional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Securities and Exchange Commission (the “SEC”).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$1,604 and $1,595,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7,482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5,105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cash advances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16,325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September 30, 2024; 46,315,018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outstanding as of September 30, 2024; 300,000,000 authorized at December 31, 2023; 45,339,762 issued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27,887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(37,349)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5,105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4,465</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6,257</w:t>
            </w: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4,480</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22,987</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note repurchase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6"/>
                <w:szCs w:val="16"/>
                <w:color w:val="auto"/>
              </w:rPr>
              <w:t>(554</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(2,742</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(784</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(7,032</w:t>
            </w:r>
            <w:r>
              <w:rPr>
                <w:rFonts w:ascii="Times New Roman" w:cs="Times New Roman" w:eastAsia="Times New Roman" w:hAnsi="Times New Roman"/>
                <w:sz w:val="29"/>
                <w:szCs w:val="29"/>
                <w:color w:val="auto"/>
                <w:vertAlign w:val="superscript"/>
              </w:rPr>
              <w:t>)</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46,300,497</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41,897,995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45,819,887</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33,452,502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1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46,148,026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vesting</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166,992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20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46,315,018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(37,349</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41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45,339,762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vesting</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720,154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255,102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46,315,018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(37,349</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1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41,402,847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vesting</w:t>
            </w:r>
          </w:p>
        </w:tc>
        <w:tc>
          <w:tcPr>
            <w:tcW w:w="2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225,655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20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43,478,502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 for cash, net of issuance costs</w:t>
      </w:r>
    </w:p>
    <w:p>
      <w:pPr>
        <w:spacing w:after="0" w:line="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Senior Secured Convertible Notes in exchange for common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1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26,659,711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Execrice of stock options</w:t>
            </w:r>
          </w:p>
        </w:tc>
        <w:tc>
          <w:tcPr>
            <w:tcW w:w="2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727,233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(1)</w:t>
            </w:r>
          </w:p>
        </w:tc>
        <w:tc>
          <w:tcPr>
            <w:tcW w:w="2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(2)</w:t>
            </w:r>
          </w:p>
        </w:tc>
        <w:tc>
          <w:tcPr>
            <w:tcW w:w="2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4,115,903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(3)</w:t>
            </w:r>
          </w:p>
        </w:tc>
        <w:tc>
          <w:tcPr>
            <w:tcW w:w="2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(4)</w:t>
            </w:r>
          </w:p>
        </w:tc>
        <w:tc>
          <w:tcPr>
            <w:tcW w:w="2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 vesting</w:t>
            </w:r>
          </w:p>
        </w:tc>
        <w:tc>
          <w:tcPr>
            <w:tcW w:w="2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225,655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43,478,502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Senior Secured Convertible Notes in exchange for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connection with settlement of litigation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Discount amortization on convertible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r>
      <w:tr>
        <w:trPr>
          <w:trHeight w:val="237"/>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873" w:right="339" w:bottom="744"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of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40" w:hanging="115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(64)(249)</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(64)(259)</w:t>
      </w:r>
    </w:p>
    <w:p>
      <w:pPr>
        <w:spacing w:after="0" w:line="36" w:lineRule="exact"/>
        <w:rPr>
          <w:sz w:val="20"/>
          <w:szCs w:val="20"/>
          <w:color w:val="auto"/>
        </w:rPr>
      </w:pPr>
    </w:p>
    <w:p>
      <w:pPr>
        <w:sectPr>
          <w:pgSz w:w="11900" w:h="16838" w:orient="portrait"/>
          <w:cols w:equalWidth="0" w:num="2">
            <w:col w:w="8840" w:space="720"/>
            <w:col w:w="1680"/>
          </w:cols>
          <w:pgMar w:left="320" w:top="873" w:right="339" w:bottom="74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(2,895)</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the issuance of term notes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short-term cash advances</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short-term cash advances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related party payable</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related party payable</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 of convertible and term note issuance</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 of equity issuance</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1,914</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services rendered relating to debt financing</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Notes transferred to principal amount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equity issuance deducted from proceeds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settlements satisfied through issuance of common stock</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Satisfaction of professional services through issuance of common stock</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 and outstanding interest into common stock</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44"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now quoted for trading on the OTCQX® Best Market and its public warrants are now quoted for trading on the OTC Pink Market under their current trading symbols “SBIG” and “SBIGW,” respectively. The Company’s common stock started trading on the OTCQX® Best Market on September 6, 2023. The Company remains a reporting company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and nine months ended September 30, 2024, are not necessarily indicative of the results that may be expected for future periods or for the year ending December 31, 2024.</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financial data presented herein should be read in conjunction with the audited consolidated financial statements and accompanying notes as of and for the year ended December 31, 2023, as reported in the 2023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Liquidity and Management’s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Company has incurred losses, which have resulted in an accumulated deficit of approximately $37.3 million as of September 30, 2024. Cash flows used in operating activities were $1.3 million for the nine months ended September 30, 2024. As of September 30, 2024, the Company had a working capital deficit of approximately $9.3 million, inclusive of $0.8 million in cash and cash equivalents to cover overhead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11, 2024, the Company’s creditors agreed to amend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to be applicable only at the end of any calendar month commencing on or after February 1, 2025.</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12% Secured Term Notes and 8% Secured Convertible Notes increase to 17% and 13%, respectively, to be effective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12% Secured Term Notes in January 2025, and the principal amount of the 8% Secured Convertible Notes was increased by $266,000 to be effective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12% Secured Term Notes, without penalty, at any time after February 1,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 projections and cash on hand, we estimate that our liquidity and cash resources are sufficient for our current and projected financial needs for the next twelve months, at a minimum.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a going concern basis and do not include any adjustments that might result from uncertainty about the Company’s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translate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have used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We believe that the assumptions and estimates associated with income taxes, equity-based compensation (including issuance of common stock for services rendered), warrants and allowance for credit losses have the greatest potential impact on our consolidated financial statements. Therefore, the Company consider the policies related to these financial areas to be critical accounting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manages its business as a single operating segment. Our chief operating decision maker reviews financial information presented for the purposes of allocating resources and evaluating financial performance at an entity level and we have no segment managers who are held accountable by the chief operating decision maker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280, Segment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assets, which include cash equivalents, current financial assets and our current financial liabilities have fair values that approximate their carrying value due to their short-term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perform ongoing credit evaluations of our customers’ financial condition and require no collateral from our customers. We maintain a credit loss reserve for expected credit losses based upon the expected collectability of accounts receivable balances. See </w:t>
      </w:r>
      <w:r>
        <w:rPr>
          <w:rFonts w:ascii="Times New Roman" w:cs="Times New Roman" w:eastAsia="Times New Roman" w:hAnsi="Times New Roman"/>
          <w:sz w:val="18"/>
          <w:szCs w:val="18"/>
          <w:i w:val="1"/>
          <w:iCs w:val="1"/>
          <w:color w:val="auto"/>
        </w:rPr>
        <w:t>Effective Accounting Pronouncements</w:t>
      </w:r>
      <w:r>
        <w:rPr>
          <w:rFonts w:ascii="Times New Roman" w:cs="Times New Roman" w:eastAsia="Times New Roman" w:hAnsi="Times New Roman"/>
          <w:sz w:val="18"/>
          <w:szCs w:val="18"/>
          <w:color w:val="auto"/>
        </w:rPr>
        <w:t xml:space="preserve"> within this Note below for further information.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customer representing 14% of our total revenues for the nine months ended September 30, 2024, and the same customer represented more than 13% of total revenues for the nine months ended September 30, 2023.</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2024, we had two customers representing 32% of accounts receivable and the same two customers represented 30% of accounts receivable at December 31,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vendor representing 86% of cost of goods sold for the nine months ended September 30, 2024, and the same vendor represented 83% of cost of goods sold for the nine months ended September 30,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vendor representing 38% of accounts payable as of September 30, 2024. At December 31, 2023, two vendors represented 30%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8% Secured Convertible Notes and $1.6 million aggregate principal amount of 12% Secured Term Notes. See Note 9. The expenses directly related to issuance of this debt, including investment bank advisory fees, legal fees and other advisory fees, have been deferred and will be expensed over the two-year term of the debt up to January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exceeded the federally insured limits of $250,000 for interest and non-interest-bearing deposits. The Company had cash balances with a single financial institution in excess of the FDIC insured limits by amounts of $0.4 million as of September 30, 2024. We monitor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loss expense was $125,000 and $453,000 for the three months ended September 30, 2024, and 2023, respectively. Credit loss expense was $292,000 and $833,000 for the nine months ended September 30, 2024, and 2023, respectively. The amounts are included in general and administrative expenses 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activity related to the Company’s allowance for credit losses for the nine months ending September 30, 2024 (in thousands).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Current-period provision (release)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Allowance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credit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losses</w:t>
      </w:r>
    </w:p>
    <w:p>
      <w:pPr>
        <w:spacing w:after="0" w:line="18" w:lineRule="exact"/>
        <w:rPr>
          <w:sz w:val="20"/>
          <w:szCs w:val="20"/>
          <w:color w:val="auto"/>
        </w:rPr>
      </w:pPr>
    </w:p>
    <w:p>
      <w:pPr>
        <w:ind w:left="700" w:hanging="695"/>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1,595</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(283)</w:t>
      </w:r>
    </w:p>
    <w:p>
      <w:pPr>
        <w:spacing w:after="0" w:line="58" w:lineRule="exact"/>
        <w:rPr>
          <w:sz w:val="20"/>
          <w:szCs w:val="20"/>
          <w:color w:val="auto"/>
        </w:rPr>
      </w:pPr>
    </w:p>
    <w:p>
      <w:pPr>
        <w:ind w:left="700" w:hanging="695"/>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19"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useful life of computer equipment, furniture and fixtures, data warehouse and software is three years.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2024, was $42,000 and $143,000, respectively. Depreciation and amortization expense for the three and nine months ended September 30, 2023, was $68,000 and $199,000, respectively. The amounts are included in general and administrative expenses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NOTE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2022, the Company purchased $250,000 in aggregate principal amount of convertible promissory note due April 1, 2026 (the “Convertible Note Receivable”). The Convertible Note Receivable accrued interest at the rate of 5% per annum on the principal amount of the Convertible Note Receivable. The Company determined that the fair value of the Convertible Note was $0 at December 31, 2023. The loss of $272,000, including $22,000 of accrued interest income, was recorded in interest expense on the Company’s condensed consolidated statements of operations for the year ended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ACCRUED EXPENSES AND OTHER LIABILITIES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$540,000 related party payable at December 31, 2023, was repaid in January 2024, following completion of the issuance of $6.4 million aggregate principal amount of 8% Secured Convertible Notes and $1.6 million aggregate principal amount of 12% Secured Term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Jeffrey Harris, CEO, and Paul Sykes, CFO, both participated in the debt financing transaction completed on January 23, 2024. Jeffrey Harris purchased $320,000 8% Secured Convertible Notes, due 2026, and $80,000 12% Secured Term Notes, due 2026. Paul Sykes purchased $25,000 8% Secured Convertible Notes, due 2026, and $6,250 12% Secured Term Notes, due 2026.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two members of the board of directors at September 30, 2024, who are related parties to investors in the debt financing transaction completed on January 23, 2024. In aggregate these investors purchased $5.2 million 12% Secured Convertible Notes and $1.3 million 8% Secured Term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 the debt financing completed on January 23, 2024, were amended on November 11, 2024, as described in Note 9 – Long-Term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Secured Term Notes, due January 23, 2026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8% Secured Convertible Notes, due January 23, 2026</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12% Secured Term Notes and $6.4 million aggregate principal amount of 8% Secured Convertible Notes to a group of investors.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12% Secured Term Notes, due in January 2026, accrue interest payable in cash semi-annually. The 8% Secured Convertible Notes accrue interest which is added to the outstanding principal balance semi-annually.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12% Secured Term Notes and 8%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12% Secured Term Notes, without penalty, at any time after February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8% Secured Convertible Notes are convertible into common stock at a conversion price of $0.15 per share at the holder’s option any time up to the day prior to maturity in January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12% Secured Term Notes and 8%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12% Secured Term Notes and 8%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three and nine months ended September 30, 2024, of $319,000 and $612,000 respectively, in connection with the 12% Secured Term Notes and 8%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6% SENIOR SECURED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warrant representing 586,890 shares of common stock of the Company (the “Convertible Warrant”) with a fair value of $839,000 as at the date of the business combination was also issued in a private placement with the purchaser party thereto. To determine the fair value of the Convertible Warrant, the Company performed a Black-Scholes calculation as of June 14, 2022, using a stock price of $4.28, a strike price of $12.00, a risk-free rate of 3.61%, annualized volatility of 65%, and a time to maturity of five years.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March 31, 2024 was $0. At December 31, 2023, the outstanding principal of the Secured Convertible Notes was $5.1 million with a carrying value of $4.4 million, net of discount of $0.7 million. The Company recorded a $1.6 million gain on repurchase of the note for the three months ended March 31, 2024.</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$14,000 and $960,000 of interest expense in connection with the Senior Secured Convertible Notes for the nine months ended September 30, 2024, and September 30, 2023, respectively. There was no interest expense in connection with the Senior Secured Convertible Notes for the three months ended September 30, 2024, and September 30,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2024 and December 31, 2023, the estimated fair value of the warrants was $12,800 and $3,200, respectively.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 change in fair value gain of approximately $41,000 for the three months ended September 30, 2024, and a fair value gain of approximately $347,000 for the three months ended September 30, 2023. For the nine months ended September 30, 2024, and 2023 the Company recorded a change in fair value loss of $10,000 and a fair value gain of $258,000 respectively.</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See Note 17, Fair Value Measurements, to the accompanying condensed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19,214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Geographic Information</w:t>
            </w:r>
          </w:p>
        </w:tc>
        <w:tc>
          <w:tcPr>
            <w:tcW w:w="4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1840" w:type="dxa"/>
            <w:vAlign w:val="bottom"/>
            <w:tcBorders>
              <w:bottom w:val="single" w:sz="8" w:color="auto"/>
            </w:tcBorders>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97% of total revenue for the nine months ended September 30,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CONTRACT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contract assets during the nine months ended September 30, 2024, and the year ended December 31, 2023,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amounts expensed during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 at end of the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2024, was 2,266,988, being 5% of the number of the Company’s common stock issued and outstanding on December 31, 2023. The total number of shares of common stock authorized for issuance under the 2022 Incentive Plan is 5,125,149 as of September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7"/>
          <w:szCs w:val="17"/>
          <w:color w:val="auto"/>
        </w:rPr>
        <w:t>The following table summarizes information on stock options outstanding as of September 30, 2024, under the Legacy Incentive Plan:</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forfeited and cancelled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Balance, September 30, 2024</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7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78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r>
      <w:tr>
        <w:trPr>
          <w:trHeight w:val="194"/>
        </w:trPr>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45"/>
        </w:trPr>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2,271,894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0.57</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2,244,102</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800"/>
              <w:spacing w:after="0" w:line="198" w:lineRule="exact"/>
              <w:rPr>
                <w:sz w:val="20"/>
                <w:szCs w:val="20"/>
                <w:color w:val="auto"/>
              </w:rPr>
            </w:pPr>
            <w:r>
              <w:rPr>
                <w:rFonts w:ascii="Times New Roman" w:cs="Times New Roman" w:eastAsia="Times New Roman" w:hAnsi="Times New Roman"/>
                <w:sz w:val="18"/>
                <w:szCs w:val="18"/>
                <w:color w:val="auto"/>
                <w:w w:val="88"/>
              </w:rPr>
              <w:t>4.81</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0.56</w:t>
            </w:r>
          </w:p>
        </w:tc>
        <w:tc>
          <w:tcPr>
            <w:tcW w:w="20" w:type="dxa"/>
            <w:vAlign w:val="bottom"/>
          </w:tcPr>
          <w:p>
            <w:pPr>
              <w:spacing w:after="0"/>
              <w:rPr>
                <w:sz w:val="17"/>
                <w:szCs w:val="17"/>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0.96</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2,257,073</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2,257,073</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0.57</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-779145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720"/>
            <w:col w:w="6620"/>
          </w:cols>
          <w:pgMar w:left="320" w:top="877"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$0 and $35,000 of compensation expense was recorded in connection with the Legacy Incentive Plan, respectively. During the three and nine months ended September 30, 2023, $30,000 and $91,000 of compensation expense was recorded in connection with the Legacy Incentive Plan, respectively These charges are recorded in general and administrative expense on the condensed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nine months ended September 30, 2024. As of September 30, 2024, the intrinsic value of the 2,257,073 options outstanding and exercisable was $0. As of September 30, 2024, all options are vested and exercisable and the total compensation cost related to non-vested awards not yet recognized was $0.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September 30, 2024, under the 2022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1.97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1,989,000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(276,836)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0.80</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(169,336)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0.69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(720,154)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0.86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0.44</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compensation expense recorded in connection with the 2022 Incentive Plan was $183,000 and $543,000, respectively. During the three and nine months ended September 30, 2023, compensation expense recorded in connection with the 2022 Incentive Plan was $208,000 and $515,000, respectively. The expense is reported within general and administrative expenses. The remaining expense of approximately $0.9 million will be recognized in future periods through March 2027. The Restricted Stock Units vest one-third on each of the first, second, and third anniversary after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Ontario, Canada under non-cancelable operating lease agreements. The leases require monthly payments ranging from $4,000 to $48,000 and expire on various dates through February 2032. In addition to minimum rent, the Company is required to pay a proportionate share of operating expenses under these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8" w:name="page19"/>
    <w:bookmarkEnd w:id="1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new lease which became effective on January 1, 2024, after completion of leasehold improvements. The new lease term is for 98 months, and monthly rental payments range from $38,000 to $48,000 over the life of the lease.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following amounts were presented on the Company’s condensed consolidated balance sheets in accordance with </w:t>
      </w:r>
      <w:r>
        <w:rPr>
          <w:rFonts w:ascii="Times New Roman" w:cs="Times New Roman" w:eastAsia="Times New Roman" w:hAnsi="Times New Roman"/>
          <w:sz w:val="18"/>
          <w:szCs w:val="18"/>
          <w:i w:val="1"/>
          <w:iCs w:val="1"/>
          <w:color w:val="auto"/>
        </w:rPr>
        <w:t>ASC 842 - Lease Accounting</w:t>
      </w:r>
      <w:r>
        <w:rPr>
          <w:rFonts w:ascii="Times New Roman" w:cs="Times New Roman" w:eastAsia="Times New Roman" w:hAnsi="Times New Roman"/>
          <w:sz w:val="18"/>
          <w:szCs w:val="18"/>
          <w:color w:val="auto"/>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Company’s operating lease cost was $160,000 and $117,000, respectively. For the nine months ended September 30, 2024, and 2023, the Company’s operating lease cost was $481,000 and $343,000, respectively. Other information pertaining to capitalized assets and liabilities under the leasing standard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4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4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in exchange for new operating lease liabilities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432"/>
        </w:trPr>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September 30, 2024, the Company’s lease liabilities mature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nine months ended September 30, 2023, we received $2.0 million related to these credits, recognized $0.6 million as an offset related to operating expenses thorough accounts payable, and we have deferred recognition of remaining $1.4 million, which is recorded in current liabilities on the accompanying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September 30,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limited trading volumes for the public warrants, there were certain transfers of financial liabilities between Level 1 and Level 2 during the nine months ended September 30,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 fair value approach to account for its warrants based on the quoted price at September 30, 2024, the calculation is consistent with ASC 820, Fair Value Measurement, with changes in fair value recorded in current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2024, the value of the public warrants was approximately $12,800 using a closing price of $0.0008.</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in the public warrants for the nine months ended September 30,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September 30, 2024</w:t>
            </w: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18 – STOCKHOLDERS’ EQUITY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and 2023, there were 46,315,018 and 43,478,502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three and nine months ended September 30, 2024, and 2023, respectively (in thousands, except share and per share data).</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common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695"/>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46,300,497</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41,897,995</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45,819,887</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33,452,502</w:t>
            </w:r>
          </w:p>
        </w:tc>
        <w:tc>
          <w:tcPr>
            <w:tcW w:w="40" w:type="dxa"/>
            <w:vAlign w:val="bottom"/>
          </w:tcPr>
          <w:p>
            <w:pPr>
              <w:spacing w:after="0"/>
              <w:rPr>
                <w:sz w:val="24"/>
                <w:szCs w:val="24"/>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r>
              <w:rPr>
                <w:rFonts w:ascii="Times New Roman" w:cs="Times New Roman" w:eastAsia="Times New Roman" w:hAnsi="Times New Roman"/>
                <w:sz w:val="35"/>
                <w:szCs w:val="35"/>
                <w:color w:val="auto"/>
                <w:vertAlign w:val="superscript"/>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r>
              <w:rPr>
                <w:rFonts w:ascii="Times New Roman" w:cs="Times New Roman" w:eastAsia="Times New Roman" w:hAnsi="Times New Roman"/>
                <w:sz w:val="35"/>
                <w:szCs w:val="35"/>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r>
              <w:rPr>
                <w:rFonts w:ascii="Times New Roman" w:cs="Times New Roman" w:eastAsia="Times New Roman" w:hAnsi="Times New Roman"/>
                <w:sz w:val="35"/>
                <w:szCs w:val="35"/>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w:t>
            </w:r>
            <w:r>
              <w:rPr>
                <w:rFonts w:ascii="Times New Roman" w:cs="Times New Roman" w:eastAsia="Times New Roman" w:hAnsi="Times New Roman"/>
                <w:sz w:val="35"/>
                <w:szCs w:val="35"/>
                <w:color w:val="auto"/>
                <w:vertAlign w:val="superscript"/>
              </w:rPr>
              <w:t>)</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-959485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-685165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-368300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three months and nine months ended September 30, 2024, and the net loss per common share for the three and nine months ended September 30,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unvested and subject to 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2,257,073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2,569,385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44,297,527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5,461,929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16,586,980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2,704,519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2,374,845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$90,000 and $280,000 for the three and nine months ended September 30, 2024, respectively. For the three and nine months ended September 30, 2023, Company matching contributions were $84,000 and $373,000,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12% Secured Term Notes and 8%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12% Secured Term Notes, without penalty, at any time after February 1, 2025.</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has considered subsequent events through November 13, 2024, the date this report was issued, and there were no events, except for the amendment of the 12% Secured Term Notes and 8% Secured Convertible Notes, that required additional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1,000 retail and brand clients across more than 2,500 distinct retail locations in North America. Our clients distribute more than 600 million messages annually, via text, push or email, and in the last year more than $7.7 billion of gross merchandise value was accounted for by clients utilizing our platform.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OTCQX® Best Market.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 Further details are included in the “</w:t>
      </w:r>
      <w:r>
        <w:rPr>
          <w:rFonts w:ascii="Times New Roman" w:cs="Times New Roman" w:eastAsia="Times New Roman" w:hAnsi="Times New Roman"/>
          <w:sz w:val="18"/>
          <w:szCs w:val="18"/>
          <w:i w:val="1"/>
          <w:iCs w:val="1"/>
          <w:color w:val="auto"/>
        </w:rPr>
        <w:t>Liquidity &amp; Capital Resources</w:t>
      </w:r>
      <w:r>
        <w:rPr>
          <w:rFonts w:ascii="Times New Roman" w:cs="Times New Roman" w:eastAsia="Times New Roman" w:hAnsi="Times New Roman"/>
          <w:sz w:val="18"/>
          <w:szCs w:val="18"/>
          <w:color w:val="auto"/>
        </w:rPr>
        <w:t>” section of this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three and nine months ended September 30, 2024, and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8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6,425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(3,370)</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credit loss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(554)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(5,736)</w:t>
            </w:r>
          </w:p>
        </w:tc>
      </w:tr>
      <w:tr>
        <w:trPr>
          <w:trHeight w:val="216"/>
        </w:trPr>
        <w:tc>
          <w:tcPr>
            <w:tcW w:w="5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repurchase of convertible debt</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litigation, including legal costs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7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(882</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(3,370</w:t>
            </w:r>
            <w:r>
              <w:rPr>
                <w:rFonts w:ascii="Times New Roman" w:cs="Times New Roman" w:eastAsia="Times New Roman" w:hAnsi="Times New Roman"/>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compared to Three Months Ended September 30,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vMerge w:val="continue"/>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(2,437)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(554)</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(2,742)</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2,188</w:t>
            </w:r>
          </w:p>
        </w:tc>
        <w:tc>
          <w:tcPr>
            <w:tcW w:w="220" w:type="dxa"/>
            <w:vAlign w:val="bottom"/>
            <w:vMerge w:val="continue"/>
          </w:tcPr>
          <w:p>
            <w:pPr>
              <w:spacing w:after="0"/>
              <w:rPr>
                <w:sz w:val="17"/>
                <w:szCs w:val="17"/>
                <w:color w:val="auto"/>
              </w:rPr>
            </w:pPr>
          </w:p>
        </w:tc>
        <w:tc>
          <w:tcPr>
            <w:tcW w:w="132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$0.5 million for the three months ended September 30, 2024, representing a 7% year-on-year reduction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Our subscription revenue was $5.2 million for the three months ended September 30, 2024, compared with $5.4 million in the same quarter in 2023, representing 4% year-over-year decline and is impacted by the Company having to cease providing access to our platform to clients who became delinquent in their payments. This is also impacting our net revenue retention which is 88% for the twelve-month period ended September 30, 2024. The excess use revenue also declined, by 27% year-over-year due to the weaker economy impacting the cannabis sector and our clients being budget-conscious in limiting their messaging activity to within the volumes of their subscription. SpringBig has expanded its product offerings during the current year, including the introduction of a paid-for consumer VIP loyalty tier that retail clients can operate in conjunction with their standard loyalty program, and offering clients the ability to incorporate gift cards as a payment option for consumers within their digital rewards wallet. In the three and nine months ended September 30, 2024, we derived revenue of $0.3 million and $0.6 million, respectively, from these new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revenue retention rate was 88% for the twelve months ended September 30, 2024, compared with 100% for the twelve months ended September 30, 2023, reflecting the challenging macroeconomic conditions of the cannabis market and the financial stress of some of our retail clients leading to the Company having to suspend or cease some access to our platform. The net revenue retention rate of 88% for the twelve months ended September 30, 2024, compares with 86% for the twelve months ended June 30, 2024.</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$0.8 million to $4.4 million for the three months ended September 30, 2024, from $5.3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representing a 16% year-on-year reduction. In part this reduction was due to the $0.5 million decline in revenues and additionally our cost of revenue increased due to higher messaging distribution costs which represent the main expense in our cost of revenue. The gross profit margin reduced from 77% for the three months ended September 30, 2023, to 69% for the three months ended September 30, 2024.</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We have consistently focused on right sizing the operating expenses of the business to accelerate our path to sustainable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in the challenging macroeconomic conditions that prevail across the cannabis market, and which impacts revenue in the near-term.</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decreased by $3.5 million, or 44%, for the three months ended September 30, 2024, compared with the same period in 2023. Excluding costs relating to settlement of litigation expensed in the three months ended September 30, 2023, our operating expenses reduced by $2.4 million, or 35%.</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$0.8 million, or 42%, for the quarter ended September 30, 2024, compared to the same period in 2023, due to lower compensation expense as a result of lower employee headcount.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$0.3 million, or 14%, for the quarter ended September 30, 2024, compared to the same period in 2023, with the decrease being attributable to lower expenses associated with the use of offshore contract developers and a reduction in compensation expense.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$2.4 million, or 58%, for the quarter ended September 30, 2024, compared to the same period in 2023. The expenses in the quarter ended September 30, 2023, included $1.0 million relating to settlement of litigation; excluding this prior year expense the decrease was $1.4 million, or 44%, being attributable to lower insurance fees, legal and accounting advisory fees, investor relations costs and a reduction in our credit loss expense.</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$0.5 million for the quarter ended September 30, 2024, compared with $0.4 million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September 30, 2024, the market value of the public warrants, which are quoted for trading on the OTC Pink Market, was $0.0008 per warrant compared with $0.0034 at September 30, 2024. The decrease in value, which is recognized as a credit in our income statement for the three months ended September 30, 2024, was $41,000.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60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compared to Nine Months Ended September 30,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(2,797)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6,257</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(4,313)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14,196</w:t>
            </w:r>
          </w:p>
        </w:tc>
        <w:tc>
          <w:tcPr>
            <w:tcW w:w="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22,987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(8,791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(784)</w:t>
            </w: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(7,032)</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6,248</w:t>
            </w:r>
          </w:p>
        </w:tc>
        <w:tc>
          <w:tcPr>
            <w:tcW w:w="220" w:type="dxa"/>
            <w:vAlign w:val="bottom"/>
            <w:vMerge w:val="continue"/>
          </w:tcPr>
          <w:p>
            <w:pPr>
              <w:spacing w:after="0"/>
              <w:rPr>
                <w:sz w:val="17"/>
                <w:szCs w:val="17"/>
                <w:color w:val="auto"/>
              </w:rPr>
            </w:pPr>
          </w:p>
        </w:tc>
        <w:tc>
          <w:tcPr>
            <w:tcW w:w="132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vMerge w:val="continue"/>
          </w:tcPr>
          <w:p>
            <w:pPr>
              <w:spacing w:after="0"/>
              <w:rPr>
                <w:sz w:val="20"/>
                <w:szCs w:val="20"/>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$1.7 million for the nine months ended September 30, 2024, representing a 8% year-on-year reduction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Our subscription revenue was $16.1 million for the nine months ended September 30, 2024, compared with $16.6 million in the same quarter in 2023, representing 3% year-over-year decline and is impacted by the Company having to cease providing access to our platform to clients who became delinquent in their payments. The excess use revenue also declined, by 31% year-over-year due to the weaker economy in particular impacting the cannabis sector and our clients being budget-conscious in limiting their messaging activity to within the volumes of their subscription.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$3.0 million to $13.8 million for the nine months ended September 30, 2024, from $16.8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representing a 18% year-on-year reduction. In part this reduction was due to the $1.7 million decline in revenues and additionally our cost of revenue increased due to higher messaging distribution costs which represent the main expense in our cost of revenue. The gross profit margin reduced from 79% for the nine months ended September 30, 2023, to 71% for the nine months ended September 30, 2024.</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decreased by $8.8 million, or 38%, for the nine months ended September 30, 2024,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Excluding costs relating to settlement of litigation expensed in the nine months ended September 30, 2023, our operating expenses reduced by $7.7 million, or 35%.</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$2.8 million, or 43%, for the nine months ended September 30, 2024, compared to the same period in 2023, due to lower compensation expense as a result of lower employee headcount.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$1.7 million, or 27%, for the nine months ended September 30, 2024, compared to the same period in 2023, with the decrease being attributable to lower expenses associated with the use of offshore contract developers and a reduction in compensation expense.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$4.3 million, or 42%, for the nine months ended September 30, 2024, compared to the same period in 2023. Excluding costs relating to settlement of litigation expensed in the nine months ended September 30, 2023, our general and administrative expenses decreased by $3.3 million, or 36%, with the decrease being largely attributable to lower costs, including insurance, directors’ fees, legal and accounting advisory fees, and investor relations fees, due to being quoted for trading on the OTCQX® Best Market rather than listed on the Nasdaq Capital Market, and a lower credit loss expense.</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$2.0 million for the nine months ended September 30, 2024, compared with $1.1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with the increase being due to interest payable on cash advances used as bridging finance prior to completing the transaction to raise $8.0 million of debt financing.</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Gain on note repurchase</w:t>
      </w:r>
      <w:r>
        <w:rPr>
          <w:rFonts w:ascii="Times New Roman" w:cs="Times New Roman" w:eastAsia="Times New Roman" w:hAnsi="Times New Roman"/>
          <w:sz w:val="18"/>
          <w:szCs w:val="18"/>
          <w:color w:val="auto"/>
        </w:rPr>
        <w:t>. The gain on the repurchase of the 6% Senior Secured Note is the difference between the cash paid to repurchase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$2.9 million and the outstanding principal and accrued interest of $5.2 million, less unamortized discounts and warrant value of $0.7 million.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September 30, 2024, the market value of the public warrants, which are quoted for trading on the OTC Pink Market, was $0.0008 per warrant compared with $0.0002 at December 31, 2023. The increase in value, which is recognized as an expense in our income statement for the nine months ended September 30, 2024, was $10,000.</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December 31, 2023, and September 30, 2024, the total outstanding amount payable to Cedar was $1.1 million and $49,000, respectively, and the outstanding amount was fully repaid during October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and September 30, 2024, the total outstanding amount payable to ACF was $1.7 million and $0,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8% Convertible Notes, purchased the entire outstanding obligation to the note holder for $2.9 million.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8% Convertible Notes and $1.6 million through the issuance of 12% Term Notes. The net cash proceeds, after transaction expenses, were $7.2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8% Convertible Notes accrue interest which is added to the outstanding principal balance semi-annually. The Notes are convertible into common stock at a conversion price of $0.15 per share at the holder’s option any time up to the day prior to maturity, initially in January 2026. The 12% Term Notes, initially due at issuance in January 2026, accrue interest payable in cash semi-annually. The 8% Convertible Notes and 12%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12% Secured Term Notes and 8%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12% Secured Term Notes, without penalty, at any time after February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September 30, 2024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(9,106)</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8% Convertible Notes and 12% Term Notes also contain a number of restrictive covenants that may impose significant restrictions on obtaining future financings, including restrictions on SpringBig’s ability to do any of each following while the 8% Convertible Notes and 12%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nine months ended September 30, 2024, and 2023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2024, the net loss was $0.7 million, and the cash used in operating activities was $1.3 million. The difference of $0.6 million is due to the $1.6 million gain on the repurchase of the 6% Secured Convertible Note in January 2024, the cash benefit of which is reflected in financing activities, and a $1.0 million increase in working capital (primarily due to reduced payables) being offset by $2.0 million of non-cash items (including depreciation, amortization, stock-based compensation and change in the fair value of warrants).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2023, the net loss was $7.0 million, and cash used in operations was $3.5 million. The cash used by operations benefiting from the receipt of $1.7 million relating to refundable employee retention payroll tax credits under the Coronavirus Aid, Relief and Economic Security Act (CARES Act) and $2.4 million of non-cash items offset by a $0.6 million reduction in working capital (primarily due to an increase in receivables). Due to the complex nature of the employee retention credit computations, we have deferred any benefit related to these credits until we have reasonable certainty, including, but not limited to, the completion of any potential audit or examination or the expiration of the related statute of limitations.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has low capital investment requirements, with our needs being comprised primarily of computer equipment and office furniture and related items. Cash used in investing activities was $64,000 for the nine months ended September 30, 2024, and $259,000 for the nine months ended September 30, 2023.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net cash provided by financing activities was $1.9 million. The proceeds of $7.2 million, net of expenses, from the issuance of the $1.6 million aggregate principal amount of 12% Secured Term Notes, due 2026, and $6.4 million aggregate principal amount of 8% Secured Convertible Notes, due 2026, were in part used to repay the 6% Senior Secured Convertible and associated warrants for cash consideration of $2.9 million. The short-term cash advances were repaid by $1.9 million, and we repaid a related party loan of $0.5 million. The outstanding balance at September 30, 2024, on the short-term cash advances was $49,000 and this was fully repaid during October 2024.</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the net cash provided by financing activities was $0.5 million. The sources of financing funds were $2.4 million from the issuance, net of expenses, of common stock in May 2023, $0.8 million from short-term cash advances, $0.3 million from the exercise of stock options and $0.1 million from a related party loan. The company repaid $3.1 million of the 6% Senior Secured Convertible Note during the period.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2024,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 w:cs="Times New Roman" w:eastAsia="Times New Roman" w:hAnsi="Times New Roman"/>
          <w:sz w:val="18"/>
          <w:szCs w:val="18"/>
          <w:i w:val="1"/>
          <w:iCs w:val="1"/>
          <w:color w:val="auto"/>
        </w:rPr>
        <w:t>ASU 2016-17,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September 30, 2024, and December 31, 2023, there are no uncertain tax positions taken, or expected to be taken, that would require recognition of a liability or disclosure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primarily will require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currently evaluating the impact this ASU will have on its consolidated financial statements and disclosures.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Chief Financial Officer (our principal financial and accounting officer) evaluated the effectiveness of our “disclosure controls and procedures” (as defined in the Exchange Act Rules 13a-15(e) and 15d-15(e)) as of September 30, 2024,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2023, for a description of the Company’s material weaknesses in internal control over financial reporting.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nine months ended September 30, 2024,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nine months ended September 30, 2024, see “Litigation” under Note 16, “Commitments and Contingencies”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involves a high degree of risk. You should carefully consider the risks described under the caption “Risk Factors” in Part I, Item 1A of our Annual Report on Form 10-K for the year ended December 31, 2023,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requirements for the Company to maintain a minimum cash balance of at least $1 million with the provision now only applicable at the end of any calendar month commencing on or after February 1, 2025. See Note 9, “Long-Term Debt” to our condensed consolidated financial statements.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no director or officer of the Company adopted or terminated a “Rule 10b5-1 trading arrangement” or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60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9020" w:type="dxa"/>
            <w:vAlign w:val="bottom"/>
            <w:gridSpan w:val="20"/>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880" w:type="dxa"/>
            <w:vAlign w:val="bottom"/>
          </w:tcPr>
          <w:p>
            <w:pPr>
              <w:spacing w:after="0"/>
              <w:rPr>
                <w:sz w:val="24"/>
                <w:szCs w:val="24"/>
                <w:color w:val="auto"/>
              </w:rPr>
            </w:pP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60" w:type="dxa"/>
            <w:vAlign w:val="bottom"/>
            <w:gridSpan w:val="10"/>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SEC File #</w:t>
            </w:r>
          </w:p>
        </w:tc>
      </w:tr>
      <w:tr>
        <w:trPr>
          <w:trHeight w:val="175"/>
        </w:trPr>
        <w:tc>
          <w:tcPr>
            <w:tcW w:w="8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auto"/>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Incorporation of SpringBig Holdings, Inc.</w:t>
              </w:r>
            </w:hyperlink>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5"/>
                <w:szCs w:val="15"/>
                <w:color w:val="auto"/>
              </w:rPr>
            </w:pPr>
          </w:p>
        </w:tc>
        <w:tc>
          <w:tcPr>
            <w:tcW w:w="5060" w:type="dxa"/>
            <w:vAlign w:val="bottom"/>
            <w:gridSpan w:val="12"/>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By-Laws of SpringBig Holdings, Inc.</w:t>
              </w:r>
            </w:hyperlink>
          </w:p>
        </w:tc>
        <w:tc>
          <w:tcPr>
            <w:tcW w:w="9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First Amendment to Springbig Holdings, Inc, Senior Secured Term</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Promissory Note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15"/>
                <w:szCs w:val="15"/>
                <w:color w:val="auto"/>
              </w:rPr>
            </w:pPr>
          </w:p>
        </w:tc>
        <w:tc>
          <w:tcPr>
            <w:tcW w:w="50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First Amendment to Springbig Holdings, Inc. Senior Secured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Convertible Promissory Note</w:t>
            </w:r>
          </w:p>
        </w:tc>
        <w:tc>
          <w:tcPr>
            <w:tcW w:w="6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48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w:t>
            </w:r>
          </w:p>
        </w:tc>
        <w:tc>
          <w:tcPr>
            <w:tcW w:w="240" w:type="dxa"/>
            <w:vAlign w:val="bottom"/>
            <w:tcBorders>
              <w:bottom w:val="single" w:sz="8" w:color="CCEEFF"/>
            </w:tcBorders>
            <w:gridSpan w:val="3"/>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15"/>
                <w:szCs w:val="15"/>
                <w:color w:val="auto"/>
              </w:rPr>
            </w:pPr>
          </w:p>
        </w:tc>
        <w:tc>
          <w:tcPr>
            <w:tcW w:w="50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3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48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w:t>
            </w:r>
          </w:p>
        </w:tc>
        <w:tc>
          <w:tcPr>
            <w:tcW w:w="240" w:type="dxa"/>
            <w:vAlign w:val="bottom"/>
            <w:tcBorders>
              <w:bottom w:val="single" w:sz="8" w:color="CCEEFF"/>
            </w:tcBorders>
            <w:gridSpan w:val="3"/>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120" w:type="dxa"/>
            <w:vAlign w:val="bottom"/>
          </w:tcPr>
          <w:p>
            <w:pPr>
              <w:spacing w:after="0"/>
              <w:rPr>
                <w:sz w:val="15"/>
                <w:szCs w:val="15"/>
                <w:color w:val="auto"/>
              </w:rPr>
            </w:pPr>
          </w:p>
        </w:tc>
        <w:tc>
          <w:tcPr>
            <w:tcW w:w="50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3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50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50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50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5060" w:type="dxa"/>
            <w:vAlign w:val="bottom"/>
            <w:gridSpan w:val="1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Jeffrey Harris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13, 2024</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Paul Sykes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13,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Term Promissory Note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First Amendment to the SpringBig Holdings, Inc. Senior Secured Term Promissory Note (the “Amendment”), dated as of November 11, 2024 (the “Amendment Date”), is hereby made and entered into by and among SpringBig Holdings, Inc., a Delaware corporation (the “Maker” or the “Company”), and Shalcor Management Inc., a corporation existing pursuant to the laws of Alberta, in its capacity as collateral agent (the “Collateral Agent”) on behalf of purchasers of SpringBig Holdings, Inc. Senior Secured Term Notes (the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Collateral Agent and Holders are parties to a Note Purchase Agreement, Senior Secured Convertible Promissory Notes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Intercreditor and Collateral Agency Agreement (the “Collateral Agency Agreement”) and other related documents each dated as of January 23, 2024, (collectively the “Transaction Documents”) whereby Maker issued Notes to the Holders in aggregate totaling $1,600,000 pursuant to the terms of the Transaction Documents. Capitalized terms used but not otherwise defined herein shall have the meanings given to such terms in the Transaction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AND WHEREAS</w:t>
      </w:r>
      <w:r>
        <w:rPr>
          <w:rFonts w:ascii="Times New Roman" w:cs="Times New Roman" w:eastAsia="Times New Roman" w:hAnsi="Times New Roman"/>
          <w:sz w:val="18"/>
          <w:szCs w:val="18"/>
          <w:color w:val="auto"/>
        </w:rPr>
        <w:t>, Maker desires to amend the terms of the Notes;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AND WHEREAS</w:t>
      </w:r>
      <w:r>
        <w:rPr>
          <w:rFonts w:ascii="Times New Roman" w:cs="Times New Roman" w:eastAsia="Times New Roman" w:hAnsi="Times New Roman"/>
          <w:sz w:val="18"/>
          <w:szCs w:val="18"/>
          <w:color w:val="auto"/>
        </w:rPr>
        <w:t>, pursuant to the Collateral Agency Agreement, the Collateral Agent, having received the Required Noteholder Consent,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directed by the Holders, to enter into an amendment to the terms of the Notes as permitted by Section 2.6(b) of the Collateral Agency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consideration of the foregoing, and for other good and valuable consideration, the receipt and sufficiency of which is hereby acknowledged, Maker and Collateral Agent, on behalf of Holders, hereby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sentence of the Note in which the term “Maturity Date” is defined shall be amended and restated in its entirety to read as follows:</w:t>
      </w:r>
    </w:p>
    <w:p>
      <w:pPr>
        <w:spacing w:after="0" w:line="22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The Maturity Date of this Note shall be 36 months from the Original Issuance Date of this Note, unless the Required Holders have given notice to the Maker that it elects to accelerate the Maturity Date to the extent explicitly permitted by this Note (the “Maturity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Section 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of the Note is hereby amended and restated in its entirety to read as follows:</w:t>
      </w:r>
    </w:p>
    <w:p>
      <w:pPr>
        <w:spacing w:after="0" w:line="22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1.2 </w:t>
      </w:r>
      <w:r>
        <w:rPr>
          <w:rFonts w:ascii="Times New Roman" w:cs="Times New Roman" w:eastAsia="Times New Roman" w:hAnsi="Times New Roman"/>
          <w:sz w:val="18"/>
          <w:szCs w:val="18"/>
          <w:i w:val="1"/>
          <w:iCs w:val="1"/>
          <w:u w:val="single" w:color="auto"/>
          <w:color w:val="auto"/>
        </w:rPr>
        <w:t>Interest</w:t>
      </w:r>
      <w:r>
        <w:rPr>
          <w:rFonts w:ascii="Times New Roman" w:cs="Times New Roman" w:eastAsia="Times New Roman" w:hAnsi="Times New Roman"/>
          <w:sz w:val="18"/>
          <w:szCs w:val="18"/>
          <w:i w:val="1"/>
          <w:iCs w:val="1"/>
          <w:color w:val="auto"/>
        </w:rPr>
        <w:t>. Interest on this Note shall commence accruing (i) from the period beginning on the Original Issuance Date and ending on but excluding the Amendment Date at 12% per annum and (ii) from the Amendment Date onwards, at 17% per annum (the “Interest Rate”) calculated based on the outstanding Obligations, shall be computed on the basis of a 360-day year assuming a 30-day month (i.e. 30/360 basis) and shall be payable by the Company to the Holders. Interest is payable semi-annually in arrears on each January 15 and July 15, commencing on July 15, 2024, to Holders of record at the close of business on the preceding January 1 and July 1 (whether or not such day is a Trading Day), respectively. Interest on this Note shall be payable in cash. Additional interest accruing from the Original Issuance Date to July 15, 2024, will be payable on the January 15, 2025,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Interest Rate shall reduce by 0.75% for each three-month period that the Company reports on an earnings release furnished with the Securities and Exchange Commission as an exhibit to a Current Report on Form 8-K an Adjusted EBITDA (as defined in such earnings release) exceeding $900,000, starting with the three months ending March 31, 2025, subject to the Interest Rate being no less than 14% at any time regardless of any further reductions under this Section. Any reduction in the Interest Rate pursuant to this clause shall be effective from the date of the applicable earnings release.</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Notwithstanding any other provision of this Note or any other Loan Document, upon the occurrence of any Default which is continuing, the Borrowers shall pay interest and fees on the Obligations at a rate (payable on Demand as well after as before judgement) equal to the Interest rate then payable in accordance with this Agreement plus 8.0% per annum (such increased rate to be effective on the date of such Default and thereafter until the date such Default has been cured or waived in writing by the Required Holders) which shall compensate the Holders for the additional risk being assumed in connection with the outstanding Obligations during the continuance of such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Section 1.3 </w:t>
      </w:r>
      <w:r>
        <w:rPr>
          <w:rFonts w:ascii="Times New Roman" w:cs="Times New Roman" w:eastAsia="Times New Roman" w:hAnsi="Times New Roman"/>
          <w:sz w:val="18"/>
          <w:szCs w:val="18"/>
          <w:u w:val="single" w:color="auto"/>
          <w:color w:val="auto"/>
        </w:rPr>
        <w:t>No Prepayment</w:t>
      </w:r>
      <w:r>
        <w:rPr>
          <w:rFonts w:ascii="Times New Roman" w:cs="Times New Roman" w:eastAsia="Times New Roman" w:hAnsi="Times New Roman"/>
          <w:sz w:val="18"/>
          <w:szCs w:val="18"/>
          <w:color w:val="auto"/>
        </w:rPr>
        <w:t xml:space="preserve"> of the Note is hereby amended and restated in its entirely to read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1.3 </w:t>
      </w:r>
      <w:r>
        <w:rPr>
          <w:rFonts w:ascii="Times New Roman" w:cs="Times New Roman" w:eastAsia="Times New Roman" w:hAnsi="Times New Roman"/>
          <w:sz w:val="18"/>
          <w:szCs w:val="18"/>
          <w:i w:val="1"/>
          <w:iCs w:val="1"/>
          <w:u w:val="single" w:color="auto"/>
          <w:color w:val="auto"/>
        </w:rPr>
        <w:t>Prepaymen</w:t>
      </w:r>
      <w:r>
        <w:rPr>
          <w:rFonts w:ascii="Times New Roman" w:cs="Times New Roman" w:eastAsia="Times New Roman" w:hAnsi="Times New Roman"/>
          <w:sz w:val="18"/>
          <w:szCs w:val="18"/>
          <w:i w:val="1"/>
          <w:iCs w:val="1"/>
          <w:color w:val="auto"/>
        </w:rPr>
        <w:t>t. The Maker may prepay any portion of the Principal at any time after February 1, 2025, without penalty.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Section 4.1(o) of the Note is hereby amended and restated in its entirety to read as follows:</w:t>
      </w:r>
    </w:p>
    <w:p>
      <w:pPr>
        <w:spacing w:after="0" w:line="22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Minimum Cash Balance</w:t>
      </w:r>
      <w:r>
        <w:rPr>
          <w:rFonts w:ascii="Times New Roman" w:cs="Times New Roman" w:eastAsia="Times New Roman" w:hAnsi="Times New Roman"/>
          <w:sz w:val="18"/>
          <w:szCs w:val="18"/>
          <w:i w:val="1"/>
          <w:iCs w:val="1"/>
          <w:color w:val="auto"/>
        </w:rPr>
        <w:t>. The Company shall not permit its total cash balance in the Company Deposit Accounts to be less than One Million Dollars ($,1,000,000) as of the end of any calendar month commencing on or after February 1, 2025 (the “</w:t>
      </w:r>
      <w:r>
        <w:rPr>
          <w:rFonts w:ascii="Times New Roman" w:cs="Times New Roman" w:eastAsia="Times New Roman" w:hAnsi="Times New Roman"/>
          <w:sz w:val="18"/>
          <w:szCs w:val="18"/>
          <w:b w:val="1"/>
          <w:bCs w:val="1"/>
          <w:i w:val="1"/>
          <w:iCs w:val="1"/>
          <w:color w:val="auto"/>
        </w:rPr>
        <w:t>Minimum Cash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2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Holders the aggregate sum of $64,000.00 on January 15, 2025, to be paid pro rata to each Holder depending on the principal amount of Term Notes held of record on the preceding January 1 (whether or not such day is a Trading Day).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explicitly contemplated and amended hereby, the Transaction Documents shall remain in full force and effect without change and each is hereby confirmed. Upon the effectiveness of this Amendment, each reference in the Transaction Documents to the “Term Notes,” the prefix “herein,” “hereof,” or words of similar import, and each reference in the Transaction Documents to the Term Notes, shall mean and be a reference to the Term Notes as amended hereby. This Amendment may be executed in separate counterparts, each of which taken together shall be one and the same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first date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SPRINGBIG HOLDINGS,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SHALCOR MANAGEMENT INC., in its capacity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for Holders</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Shawn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First Amendment to the SpringBig Holdings, Inc. Senior Secured Convertible Promissory Note (the “Amendment”), dated as of November 11, 2024 (the “Amendment Date”), is hereby made and entered into by and among SpringBig Holdings, Inc., a Delaware corporation (the “Maker” or the “Company”), and Shalcor Management Inc., a corporation existing pursuant to the laws of Alberta, in its capacity as collateral agent (the “Collateral Agent”) on behalf of purchasers of SpringBig Holdings, Inc. Senior Secured Convertible Notes (the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Collateral Agent and Holders are parties to a Note Purchase Agreement, Senior Secured Convertible Promissory Notes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Intercreditor and Collateral Agency Agreement (the “Collateral Agency Agreement”) and other related documents each dated as of January 23, 2024, (collectively the “Transaction Documents”) whereby Maker issued Notes to the Holders in aggregate totaling $6,400,000 pursuant to the terms of the Transaction Documents. Capitalized terms used but not otherwise defined herein shall have the meanings given to such terms in the Transaction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AND WHEREAS</w:t>
      </w:r>
      <w:r>
        <w:rPr>
          <w:rFonts w:ascii="Times New Roman" w:cs="Times New Roman" w:eastAsia="Times New Roman" w:hAnsi="Times New Roman"/>
          <w:sz w:val="18"/>
          <w:szCs w:val="18"/>
          <w:color w:val="auto"/>
        </w:rPr>
        <w:t>, Maker desires to amend the terms of the Notes;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AND WHEREAS</w:t>
      </w:r>
      <w:r>
        <w:rPr>
          <w:rFonts w:ascii="Times New Roman" w:cs="Times New Roman" w:eastAsia="Times New Roman" w:hAnsi="Times New Roman"/>
          <w:sz w:val="18"/>
          <w:szCs w:val="18"/>
          <w:color w:val="auto"/>
        </w:rPr>
        <w:t>, pursuant to the Collateral Agency Agreement, the Collateral Agent, having received the Required Noteholder Consent,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directed by the Holders, to enter into an amendment to the terms of the Notes as permitted by Section 2.6(b) of the Collateral Agency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consideration of the foregoing, and for other good and valuable consideration, the receipt and sufficiency of which is hereby acknowledged, Maker and Collateral Agent, on behalf of Holders, hereby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sentence of the Note in which the term “Maturity Date” is defined shall be amended and restated in its entirety to read as follows:</w:t>
      </w:r>
    </w:p>
    <w:p>
      <w:pPr>
        <w:spacing w:after="0" w:line="22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The Maturity Date of this Note shall be 36 months from the Original Issuance Date of this Note, unless the Required Holders have given notice to the Maker that it elects to accelerate the Maturity Date to the extent explicitly permitted by this Note (the “Maturity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Section 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of the Note is hereby amended and restated in its entirety to read as follows:</w:t>
      </w:r>
    </w:p>
    <w:p>
      <w:pPr>
        <w:spacing w:after="0" w:line="22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1.2 </w:t>
      </w:r>
      <w:r>
        <w:rPr>
          <w:rFonts w:ascii="Times New Roman" w:cs="Times New Roman" w:eastAsia="Times New Roman" w:hAnsi="Times New Roman"/>
          <w:sz w:val="18"/>
          <w:szCs w:val="18"/>
          <w:i w:val="1"/>
          <w:iCs w:val="1"/>
          <w:u w:val="single" w:color="auto"/>
          <w:color w:val="auto"/>
        </w:rPr>
        <w:t>Interest</w:t>
      </w:r>
      <w:r>
        <w:rPr>
          <w:rFonts w:ascii="Times New Roman" w:cs="Times New Roman" w:eastAsia="Times New Roman" w:hAnsi="Times New Roman"/>
          <w:sz w:val="18"/>
          <w:szCs w:val="18"/>
          <w:i w:val="1"/>
          <w:iCs w:val="1"/>
          <w:color w:val="auto"/>
        </w:rPr>
        <w:t>. Interest on this Note shall commence accruing (i) from the period beginning on the Original Issuance Date and ending on but excluding the Amendment Date, at 8% per annum and (ii) from the Amendment Date onwards, at 13% per annum (the “Interest Rate”) calculated based on the outstanding Obligations, shall be computed on the basis of a 360-day year assuming a 30-day month (i.e. 30/360 basis) and shall be payable by the Company to the Holders. Interest is payable semi-annually in arrears on each January 15 and July 15, commencing on July 15, 2024, to Holders of record at the close of business on the preceding January 1 and July 1 (whether or not such day is a Trading Day), respectively. Interest on this Note shall be payable by increasing the principal amount of the outstanding Note by an amount equal to the amount of Interest for the applicable interest period (rounded up to the nearest $1.00). Following an increase in the principal amount of this Note as a result of an Interest payment, this Note will bear interest on such increased principal amount from and after the date of such Interest payment. Unless the context requires otherwise, references to this Note or the “Principal” or the “Principal amount” of Notes including for any purpose includes any increase in the principal amount of the Notes as a result of the Interest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Interest Rate shall reduce by 0.75% for each three-month period that the Company reports on an earnings release furnished with the Securities and Exchange Commission as an exhibit to a Current Report on Form 8-K an Adjusted EBITDA (as defined in such earnings release) exceeding $900,000 starting with the three months ending March 31, 2025, subject to the Interest Rate being no less than 10% at any time regardless of any further reductions under this Section. Any reduction in the Interest Rate pursuant to this clause shall be effective from date of the applicable earnings release.</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Notwithstanding any other provision of this Note or any other Loan Document, upon the occurrence of any Default which is continuing, the Borrowers shall pay interest and fees on the Obligations at a rate (payable on Demand as well after as before judgement) equal to the Interest rate then payable in accordance with this Agreement plus 8.0% per annum (such increased rate to be effective on the date of such Default and thereafter until the date such Default has been cured or waived in writing by the Required Holders) which shall compensate the Holders for the additional risk being assumed in connection with the outstanding Obligations during the continuance of such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Section 5.1(o) of the Note is hereby amended and restated in its entirety to read as follows:</w:t>
      </w:r>
    </w:p>
    <w:p>
      <w:pPr>
        <w:spacing w:after="0" w:line="22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Minimum Cash Balance. The Company shall not permit its total cash balance in the Company Deposit Accounts to be less than One Million Dollars ($,1,000,000) as of the end of any calendar month commencing on or after February 1, 2025 (the “</w:t>
      </w:r>
      <w:r>
        <w:rPr>
          <w:rFonts w:ascii="Times New Roman" w:cs="Times New Roman" w:eastAsia="Times New Roman" w:hAnsi="Times New Roman"/>
          <w:sz w:val="18"/>
          <w:szCs w:val="18"/>
          <w:b w:val="1"/>
          <w:bCs w:val="1"/>
          <w:i w:val="1"/>
          <w:iCs w:val="1"/>
          <w:color w:val="auto"/>
        </w:rPr>
        <w:t>Minimum Cash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ind w:firstLine="8"/>
        <w:spacing w:after="0" w:line="266" w:lineRule="auto"/>
        <w:tabs>
          <w:tab w:leader="none" w:pos="1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the Amendment Date, the Company agrees to increase the principal amount of the outstanding Convertible Notes by an aggregate amount equal to $265,791, as applied on a pro rata basis to each Holder depending on the principal amount of Convertible Notes held of record on the business day immediately preceding the Amendment Date</w:t>
      </w:r>
    </w:p>
    <w:p>
      <w:pPr>
        <w:spacing w:after="0" w:line="3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explicitly contemplated and amended hereby, the Transaction Documents shall remain in full force and effect without change and each is hereby confirmed. Upon the effectiveness of this Amendment, each reference in the Transaction Documents to the “Convertible Notes,” the prefix “herein,” “hereof,” or words of similar import, and each reference in the Transaction Documents to the Convertible Notes, shall mean and be a reference to the Convertible Notes as amended hereby. This Amendment may be executed in separate counterparts, each of which taken together shall be one and the same Amendment.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first date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SPRINGBIG HOLDINGS,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SHALCOR MANAGEMENT INC., in its capacity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for Holders</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Shawn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Harris,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2024,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Sykes,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2024,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Sykes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Jeffrey Harris, hereby certify that, to the best of my knowledge, SpringBig Holdings, Inc’s Quarterly Report on Form 10-Q for the three months ended September 30, 2024 (the Report), as filed with the Securities and Exchange Commission on November 13,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Harris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Harris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r>
    </w:tbl>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Paul Sykes, hereby certify that, to the best of my knowledge, SpringBig Holdings, Inc’s Quarterly Report on Form 10-Q for the three months ended September 30, 2024 (the Report), as filed with the Securities and Exchange Commission on November 13,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Sykes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Sykes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60" Type="http://schemas.openxmlformats.org/officeDocument/2006/relationships/hyperlink" Target="http://www.sec.gov/Archives/edgar/data/1801602/000162828024013998/exhibit31certificateofinco.htm" TargetMode="External"/><Relationship Id="rId61" Type="http://schemas.openxmlformats.org/officeDocument/2006/relationships/hyperlink" Target="http://www.sec.gov/Archives/edgar/data/1801602/000162828024013998/exhibit32bylaw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2024-11-13T16:43:09Z</dcterms:created>
  <dcterms:modified xsi:type="dcterms:W3CDTF">2024-11-13T16:43:09Z</dcterms:modified>
</cp:coreProperties>
</file>