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2540635</wp:posOffset>
            </wp:positionH>
            <wp:positionV relativeFrom="paragraph">
              <wp:posOffset>60325</wp:posOffset>
            </wp:positionV>
            <wp:extent cx="20935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93595" cy="6985"/>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2540635</wp:posOffset>
            </wp:positionH>
            <wp:positionV relativeFrom="paragraph">
              <wp:posOffset>66675</wp:posOffset>
            </wp:positionV>
            <wp:extent cx="20935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3595" cy="698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29" w:lineRule="exact"/>
        <w:rPr>
          <w:sz w:val="24"/>
          <w:szCs w:val="24"/>
          <w:color w:val="auto"/>
        </w:rPr>
      </w:pPr>
    </w:p>
    <w:p>
      <w:pPr>
        <w:ind w:left="580" w:hanging="363"/>
        <w:spacing w:after="0"/>
        <w:tabs>
          <w:tab w:leader="none" w:pos="580" w:val="left"/>
        </w:tabs>
        <w:numPr>
          <w:ilvl w:val="0"/>
          <w:numId w:val="1"/>
        </w:numPr>
        <w:rPr>
          <w:rFonts w:ascii="MS PGothic" w:cs="MS PGothic" w:eastAsia="MS PGothic" w:hAnsi="MS PGothic"/>
          <w:sz w:val="14"/>
          <w:szCs w:val="14"/>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 ended September 30, 2022</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ind w:left="600" w:hanging="383"/>
        <w:spacing w:after="0" w:line="238" w:lineRule="auto"/>
        <w:tabs>
          <w:tab w:leader="none" w:pos="600" w:val="left"/>
        </w:tabs>
        <w:numPr>
          <w:ilvl w:val="0"/>
          <w:numId w:val="2"/>
        </w:numPr>
        <w:rPr>
          <w:rFonts w:ascii="MS PGothic" w:cs="MS PGothic" w:eastAsia="MS PGothic" w:hAnsi="MS PGothic"/>
          <w:sz w:val="28"/>
          <w:szCs w:val="28"/>
          <w:color w:val="auto"/>
          <w:vertAlign w:val="superscript"/>
        </w:rPr>
      </w:pPr>
      <w:r>
        <w:rPr>
          <w:rFonts w:ascii="Arial" w:cs="Arial" w:eastAsia="Arial" w:hAnsi="Arial"/>
          <w:sz w:val="13"/>
          <w:szCs w:val="13"/>
          <w:b w:val="1"/>
          <w:bCs w:val="1"/>
          <w:color w:val="auto"/>
        </w:rPr>
        <w:t>TRANSITION REPORT PURSUANT TO SECTION 13 OR 15(d) OF THE SECURITIES EXCHANGE ACT OF 1934</w:t>
      </w:r>
    </w:p>
    <w:p>
      <w:pPr>
        <w:spacing w:after="0" w:line="113"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001-40049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1450340</wp:posOffset>
            </wp:positionH>
            <wp:positionV relativeFrom="paragraph">
              <wp:posOffset>182880</wp:posOffset>
            </wp:positionV>
            <wp:extent cx="42741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4185" cy="698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SPRINGBIG HOLDINGS, INC.</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56" w:lineRule="exact"/>
        <w:rPr>
          <w:sz w:val="24"/>
          <w:szCs w:val="24"/>
          <w:color w:val="auto"/>
        </w:rPr>
      </w:pPr>
    </w:p>
    <w:tbl>
      <w:tblPr>
        <w:tblLayout w:type="fixed"/>
        <w:tblInd w:w="1920" w:type="dxa"/>
        <w:tblCellMar>
          <w:top w:w="0" w:type="dxa"/>
          <w:left w:w="0" w:type="dxa"/>
          <w:bottom w:w="0" w:type="dxa"/>
          <w:right w:w="0" w:type="dxa"/>
        </w:tblCellMar>
      </w:tblPr>
      <w:tr>
        <w:trPr>
          <w:trHeight w:val="184"/>
        </w:trPr>
        <w:tc>
          <w:tcPr>
            <w:tcW w:w="310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b w:val="1"/>
                <w:bCs w:val="1"/>
                <w:color w:val="auto"/>
                <w:w w:val="91"/>
              </w:rPr>
              <w:t>Delaware</w:t>
            </w:r>
          </w:p>
        </w:tc>
        <w:tc>
          <w:tcPr>
            <w:tcW w:w="3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1489"/>
              <w:spacing w:after="0"/>
              <w:rPr>
                <w:sz w:val="20"/>
                <w:szCs w:val="20"/>
                <w:color w:val="auto"/>
              </w:rPr>
            </w:pPr>
            <w:r>
              <w:rPr>
                <w:rFonts w:ascii="Arial" w:cs="Arial" w:eastAsia="Arial" w:hAnsi="Arial"/>
                <w:sz w:val="14"/>
                <w:szCs w:val="14"/>
                <w:b w:val="1"/>
                <w:bCs w:val="1"/>
                <w:color w:val="auto"/>
              </w:rPr>
              <w:t>88-2789488</w:t>
            </w:r>
          </w:p>
        </w:tc>
      </w:tr>
      <w:tr>
        <w:trPr>
          <w:trHeight w:val="171"/>
        </w:trPr>
        <w:tc>
          <w:tcPr>
            <w:tcW w:w="3100" w:type="dxa"/>
            <w:vAlign w:val="bottom"/>
          </w:tcPr>
          <w:p>
            <w:pPr>
              <w:jc w:val="center"/>
              <w:ind w:left="269"/>
              <w:spacing w:after="0"/>
              <w:rPr>
                <w:sz w:val="20"/>
                <w:szCs w:val="20"/>
                <w:color w:val="auto"/>
              </w:rPr>
            </w:pPr>
            <w:r>
              <w:rPr>
                <w:rFonts w:ascii="Arial" w:cs="Arial" w:eastAsia="Arial" w:hAnsi="Arial"/>
                <w:sz w:val="14"/>
                <w:szCs w:val="14"/>
                <w:color w:val="auto"/>
                <w:w w:val="93"/>
              </w:rPr>
              <w:t>(State or other jurisdiction of incorporation)</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40" w:type="dxa"/>
            <w:vAlign w:val="bottom"/>
          </w:tcPr>
          <w:p>
            <w:pPr>
              <w:jc w:val="center"/>
              <w:ind w:right="369"/>
              <w:spacing w:after="0"/>
              <w:rPr>
                <w:sz w:val="20"/>
                <w:szCs w:val="20"/>
                <w:color w:val="auto"/>
              </w:rPr>
            </w:pPr>
            <w:r>
              <w:rPr>
                <w:rFonts w:ascii="Arial" w:cs="Arial" w:eastAsia="Arial" w:hAnsi="Arial"/>
                <w:sz w:val="14"/>
                <w:szCs w:val="14"/>
                <w:color w:val="auto"/>
                <w:w w:val="95"/>
              </w:rPr>
              <w:t>(I.R.S Employer Identification No.)</w:t>
            </w:r>
          </w:p>
        </w:tc>
      </w:tr>
      <w:tr>
        <w:trPr>
          <w:trHeight w:val="452"/>
        </w:trPr>
        <w:tc>
          <w:tcPr>
            <w:tcW w:w="3100" w:type="dxa"/>
            <w:vAlign w:val="bottom"/>
          </w:tcPr>
          <w:p>
            <w:pPr>
              <w:jc w:val="center"/>
              <w:ind w:left="1429"/>
              <w:spacing w:after="0"/>
              <w:rPr>
                <w:sz w:val="20"/>
                <w:szCs w:val="20"/>
                <w:color w:val="auto"/>
              </w:rPr>
            </w:pPr>
            <w:r>
              <w:rPr>
                <w:rFonts w:ascii="Arial" w:cs="Arial" w:eastAsia="Arial" w:hAnsi="Arial"/>
                <w:sz w:val="14"/>
                <w:szCs w:val="14"/>
                <w:b w:val="1"/>
                <w:bCs w:val="1"/>
                <w:color w:val="auto"/>
                <w:w w:val="94"/>
              </w:rPr>
              <w:t>621 NW 53rd Street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80"/>
        </w:trPr>
        <w:tc>
          <w:tcPr>
            <w:tcW w:w="3100" w:type="dxa"/>
            <w:vAlign w:val="bottom"/>
          </w:tcPr>
          <w:p>
            <w:pPr>
              <w:jc w:val="center"/>
              <w:ind w:left="1429"/>
              <w:spacing w:after="0"/>
              <w:rPr>
                <w:sz w:val="20"/>
                <w:szCs w:val="20"/>
                <w:color w:val="auto"/>
              </w:rPr>
            </w:pPr>
            <w:r>
              <w:rPr>
                <w:rFonts w:ascii="Arial" w:cs="Arial" w:eastAsia="Arial" w:hAnsi="Arial"/>
                <w:sz w:val="14"/>
                <w:szCs w:val="14"/>
                <w:b w:val="1"/>
                <w:bCs w:val="1"/>
                <w:color w:val="auto"/>
                <w:w w:val="90"/>
              </w:rPr>
              <w:t>Ste. 260</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340" w:type="dxa"/>
            <w:vAlign w:val="bottom"/>
          </w:tcPr>
          <w:p>
            <w:pPr>
              <w:spacing w:after="0"/>
              <w:rPr>
                <w:sz w:val="15"/>
                <w:szCs w:val="15"/>
                <w:color w:val="auto"/>
              </w:rPr>
            </w:pPr>
          </w:p>
        </w:tc>
      </w:tr>
      <w:tr>
        <w:trPr>
          <w:trHeight w:val="184"/>
        </w:trPr>
        <w:tc>
          <w:tcPr>
            <w:tcW w:w="3100" w:type="dxa"/>
            <w:vAlign w:val="bottom"/>
          </w:tcPr>
          <w:p>
            <w:pPr>
              <w:ind w:left="780"/>
              <w:spacing w:after="0"/>
              <w:rPr>
                <w:sz w:val="20"/>
                <w:szCs w:val="20"/>
                <w:color w:val="auto"/>
              </w:rPr>
            </w:pPr>
            <w:r>
              <w:rPr>
                <w:rFonts w:ascii="Arial" w:cs="Arial" w:eastAsia="Arial" w:hAnsi="Arial"/>
                <w:sz w:val="14"/>
                <w:szCs w:val="14"/>
                <w:b w:val="1"/>
                <w:bCs w:val="1"/>
                <w:color w:val="auto"/>
              </w:rPr>
              <w:t>Boca Raton,</w:t>
            </w: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Florida</w:t>
            </w:r>
          </w:p>
        </w:tc>
        <w:tc>
          <w:tcPr>
            <w:tcW w:w="3340" w:type="dxa"/>
            <w:vAlign w:val="bottom"/>
          </w:tcPr>
          <w:p>
            <w:pPr>
              <w:jc w:val="right"/>
              <w:ind w:right="989"/>
              <w:spacing w:after="0"/>
              <w:rPr>
                <w:sz w:val="20"/>
                <w:szCs w:val="20"/>
                <w:color w:val="auto"/>
              </w:rPr>
            </w:pPr>
            <w:r>
              <w:rPr>
                <w:rFonts w:ascii="Arial" w:cs="Arial" w:eastAsia="Arial" w:hAnsi="Arial"/>
                <w:sz w:val="14"/>
                <w:szCs w:val="14"/>
                <w:b w:val="1"/>
                <w:bCs w:val="1"/>
                <w:color w:val="auto"/>
              </w:rPr>
              <w:t>33487</w:t>
            </w:r>
          </w:p>
        </w:tc>
      </w:tr>
      <w:tr>
        <w:trPr>
          <w:trHeight w:val="180"/>
        </w:trPr>
        <w:tc>
          <w:tcPr>
            <w:tcW w:w="4100" w:type="dxa"/>
            <w:vAlign w:val="bottom"/>
            <w:gridSpan w:val="4"/>
          </w:tcPr>
          <w:p>
            <w:pPr>
              <w:jc w:val="center"/>
              <w:ind w:left="429"/>
              <w:spacing w:after="0"/>
              <w:rPr>
                <w:sz w:val="20"/>
                <w:szCs w:val="20"/>
                <w:color w:val="auto"/>
              </w:rPr>
            </w:pPr>
            <w:r>
              <w:rPr>
                <w:rFonts w:ascii="Arial" w:cs="Arial" w:eastAsia="Arial" w:hAnsi="Arial"/>
                <w:sz w:val="14"/>
                <w:szCs w:val="14"/>
                <w:color w:val="auto"/>
                <w:w w:val="93"/>
              </w:rPr>
              <w:t>(Address of principal executive offices)</w:t>
            </w:r>
          </w:p>
        </w:tc>
        <w:tc>
          <w:tcPr>
            <w:tcW w:w="3340" w:type="dxa"/>
            <w:vAlign w:val="bottom"/>
          </w:tcPr>
          <w:p>
            <w:pPr>
              <w:jc w:val="center"/>
              <w:ind w:left="789"/>
              <w:spacing w:after="0"/>
              <w:rPr>
                <w:sz w:val="20"/>
                <w:szCs w:val="20"/>
                <w:color w:val="auto"/>
              </w:rPr>
            </w:pPr>
            <w:r>
              <w:rPr>
                <w:rFonts w:ascii="Arial" w:cs="Arial" w:eastAsia="Arial" w:hAnsi="Arial"/>
                <w:sz w:val="14"/>
                <w:szCs w:val="14"/>
                <w:color w:val="auto"/>
                <w:w w:val="91"/>
              </w:rPr>
              <w:t>(zip code)</w:t>
            </w:r>
          </w:p>
        </w:tc>
      </w:tr>
    </w:tbl>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180"/>
        </w:trPr>
        <w:tc>
          <w:tcPr>
            <w:tcW w:w="7700" w:type="dxa"/>
            <w:vAlign w:val="bottom"/>
            <w:gridSpan w:val="5"/>
          </w:tcPr>
          <w:p>
            <w:pPr>
              <w:jc w:val="center"/>
              <w:ind w:left="3535"/>
              <w:spacing w:after="0"/>
              <w:rPr>
                <w:sz w:val="20"/>
                <w:szCs w:val="20"/>
                <w:color w:val="auto"/>
              </w:rPr>
            </w:pPr>
            <w:r>
              <w:rPr>
                <w:rFonts w:ascii="Arial" w:cs="Arial" w:eastAsia="Arial" w:hAnsi="Arial"/>
                <w:sz w:val="14"/>
                <w:szCs w:val="14"/>
                <w:color w:val="auto"/>
                <w:w w:val="91"/>
              </w:rPr>
              <w:t>Registrant’s telephone number, including area code (800) 972-9172</w:t>
            </w:r>
          </w:p>
        </w:tc>
        <w:tc>
          <w:tcPr>
            <w:tcW w:w="3580" w:type="dxa"/>
            <w:vAlign w:val="bottom"/>
          </w:tcPr>
          <w:p>
            <w:pPr>
              <w:spacing w:after="0"/>
              <w:rPr>
                <w:sz w:val="15"/>
                <w:szCs w:val="15"/>
                <w:color w:val="auto"/>
              </w:rPr>
            </w:pPr>
          </w:p>
        </w:tc>
      </w:tr>
      <w:tr>
        <w:trPr>
          <w:trHeight w:val="371"/>
        </w:trPr>
        <w:tc>
          <w:tcPr>
            <w:tcW w:w="7700" w:type="dxa"/>
            <w:vAlign w:val="bottom"/>
            <w:gridSpan w:val="5"/>
          </w:tcPr>
          <w:p>
            <w:pPr>
              <w:jc w:val="center"/>
              <w:ind w:left="3535"/>
              <w:spacing w:after="0"/>
              <w:rPr>
                <w:sz w:val="20"/>
                <w:szCs w:val="20"/>
                <w:color w:val="auto"/>
              </w:rPr>
            </w:pPr>
            <w:r>
              <w:rPr>
                <w:rFonts w:ascii="Arial" w:cs="Arial" w:eastAsia="Arial" w:hAnsi="Arial"/>
                <w:sz w:val="14"/>
                <w:szCs w:val="14"/>
                <w:color w:val="auto"/>
                <w:w w:val="91"/>
              </w:rPr>
              <w:t>Securities registered pursuant to Section 12(b) of the Act:</w:t>
            </w:r>
          </w:p>
        </w:tc>
        <w:tc>
          <w:tcPr>
            <w:tcW w:w="3580" w:type="dxa"/>
            <w:vAlign w:val="bottom"/>
          </w:tcPr>
          <w:p>
            <w:pPr>
              <w:spacing w:after="0"/>
              <w:rPr>
                <w:sz w:val="24"/>
                <w:szCs w:val="24"/>
                <w:color w:val="auto"/>
              </w:rPr>
            </w:pPr>
          </w:p>
        </w:tc>
      </w:tr>
      <w:tr>
        <w:trPr>
          <w:trHeight w:val="286"/>
        </w:trPr>
        <w:tc>
          <w:tcPr>
            <w:tcW w:w="4880" w:type="dxa"/>
            <w:vAlign w:val="bottom"/>
            <w:gridSpan w:val="2"/>
          </w:tcPr>
          <w:p>
            <w:pPr>
              <w:ind w:left="1860"/>
              <w:spacing w:after="0"/>
              <w:rPr>
                <w:sz w:val="20"/>
                <w:szCs w:val="20"/>
                <w:color w:val="auto"/>
              </w:rPr>
            </w:pPr>
            <w:r>
              <w:rPr>
                <w:rFonts w:ascii="Arial" w:cs="Arial" w:eastAsia="Arial" w:hAnsi="Arial"/>
                <w:sz w:val="14"/>
                <w:szCs w:val="14"/>
                <w:b w:val="1"/>
                <w:bCs w:val="1"/>
                <w:color w:val="auto"/>
              </w:rPr>
              <w:t>Title of each class</w:t>
            </w:r>
          </w:p>
        </w:tc>
        <w:tc>
          <w:tcPr>
            <w:tcW w:w="282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91"/>
              </w:rPr>
              <w:t>Trading Symbol(s)</w:t>
            </w:r>
          </w:p>
        </w:tc>
        <w:tc>
          <w:tcPr>
            <w:tcW w:w="3580" w:type="dxa"/>
            <w:vAlign w:val="bottom"/>
          </w:tcPr>
          <w:p>
            <w:pPr>
              <w:jc w:val="center"/>
              <w:ind w:right="619"/>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35"/>
        </w:trPr>
        <w:tc>
          <w:tcPr>
            <w:tcW w:w="478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rPr>
              <w:t>Class A common stock, par value $0.0001 per share</w:t>
            </w:r>
          </w:p>
        </w:tc>
        <w:tc>
          <w:tcPr>
            <w:tcW w:w="100" w:type="dxa"/>
            <w:vAlign w:val="bottom"/>
          </w:tcPr>
          <w:p>
            <w:pPr>
              <w:spacing w:after="0"/>
              <w:rPr>
                <w:sz w:val="11"/>
                <w:szCs w:val="11"/>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8"/>
              </w:rPr>
              <w:t>SBIG</w:t>
            </w: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580" w:type="dxa"/>
            <w:vAlign w:val="bottom"/>
            <w:tcBorders>
              <w:top w:val="single" w:sz="8" w:color="auto"/>
            </w:tcBorders>
          </w:tcPr>
          <w:p>
            <w:pPr>
              <w:jc w:val="center"/>
              <w:ind w:right="599"/>
              <w:spacing w:after="0"/>
              <w:rPr>
                <w:sz w:val="20"/>
                <w:szCs w:val="20"/>
                <w:color w:val="auto"/>
              </w:rPr>
            </w:pPr>
            <w:r>
              <w:rPr>
                <w:rFonts w:ascii="Arial" w:cs="Arial" w:eastAsia="Arial" w:hAnsi="Arial"/>
                <w:sz w:val="11"/>
                <w:szCs w:val="11"/>
                <w:color w:val="auto"/>
                <w:w w:val="94"/>
              </w:rPr>
              <w:t>The Nasdaq Global Market</w:t>
            </w:r>
          </w:p>
        </w:tc>
      </w:tr>
      <w:tr>
        <w:trPr>
          <w:trHeight w:val="154"/>
        </w:trPr>
        <w:tc>
          <w:tcPr>
            <w:tcW w:w="4880" w:type="dxa"/>
            <w:vAlign w:val="bottom"/>
            <w:gridSpan w:val="2"/>
          </w:tcPr>
          <w:p>
            <w:pPr>
              <w:ind w:left="20"/>
              <w:spacing w:after="0"/>
              <w:rPr>
                <w:sz w:val="20"/>
                <w:szCs w:val="20"/>
                <w:color w:val="auto"/>
              </w:rPr>
            </w:pPr>
            <w:r>
              <w:rPr>
                <w:rFonts w:ascii="Arial" w:cs="Arial" w:eastAsia="Arial" w:hAnsi="Arial"/>
                <w:sz w:val="11"/>
                <w:szCs w:val="11"/>
                <w:color w:val="auto"/>
                <w:w w:val="98"/>
              </w:rPr>
              <w:t>Warrants, each exercisable for one share of Common Stock, at an exercise price of $11.50 per share</w:t>
            </w:r>
          </w:p>
        </w:tc>
        <w:tc>
          <w:tcPr>
            <w:tcW w:w="2820" w:type="dxa"/>
            <w:vAlign w:val="bottom"/>
            <w:gridSpan w:val="3"/>
          </w:tcPr>
          <w:p>
            <w:pPr>
              <w:jc w:val="center"/>
              <w:ind w:right="740"/>
              <w:spacing w:after="0"/>
              <w:rPr>
                <w:sz w:val="20"/>
                <w:szCs w:val="20"/>
                <w:color w:val="auto"/>
              </w:rPr>
            </w:pPr>
            <w:r>
              <w:rPr>
                <w:rFonts w:ascii="Arial" w:cs="Arial" w:eastAsia="Arial" w:hAnsi="Arial"/>
                <w:sz w:val="11"/>
                <w:szCs w:val="11"/>
                <w:color w:val="auto"/>
                <w:w w:val="98"/>
              </w:rPr>
              <w:t>SBIGW</w:t>
            </w:r>
          </w:p>
        </w:tc>
        <w:tc>
          <w:tcPr>
            <w:tcW w:w="3580" w:type="dxa"/>
            <w:vAlign w:val="bottom"/>
          </w:tcPr>
          <w:p>
            <w:pPr>
              <w:jc w:val="center"/>
              <w:ind w:right="599"/>
              <w:spacing w:after="0"/>
              <w:rPr>
                <w:sz w:val="20"/>
                <w:szCs w:val="20"/>
                <w:color w:val="auto"/>
              </w:rPr>
            </w:pPr>
            <w:r>
              <w:rPr>
                <w:rFonts w:ascii="Arial" w:cs="Arial" w:eastAsia="Arial" w:hAnsi="Arial"/>
                <w:sz w:val="11"/>
                <w:szCs w:val="11"/>
                <w:color w:val="auto"/>
                <w:w w:val="94"/>
              </w:rPr>
              <w:t>The Nasdaq Global Market</w:t>
            </w:r>
          </w:p>
        </w:tc>
      </w:tr>
    </w:tbl>
    <w:p>
      <w:pPr>
        <w:spacing w:after="0" w:line="301" w:lineRule="exact"/>
        <w:rPr>
          <w:sz w:val="24"/>
          <w:szCs w:val="24"/>
          <w:color w:val="auto"/>
        </w:rPr>
      </w:pPr>
    </w:p>
    <w:p>
      <w:pPr>
        <w:ind w:right="160"/>
        <w:spacing w:after="0" w:line="351"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1" w:lineRule="exact"/>
        <w:rPr>
          <w:sz w:val="24"/>
          <w:szCs w:val="24"/>
          <w:color w:val="auto"/>
        </w:rPr>
      </w:pPr>
    </w:p>
    <w:p>
      <w:pPr>
        <w:ind w:right="20"/>
        <w:spacing w:after="0" w:line="396" w:lineRule="auto"/>
        <w:rPr>
          <w:sz w:val="20"/>
          <w:szCs w:val="20"/>
          <w:color w:val="auto"/>
        </w:rPr>
      </w:pPr>
      <w:r>
        <w:rPr>
          <w:rFonts w:ascii="Arial" w:cs="Arial" w:eastAsia="Arial" w:hAnsi="Arial"/>
          <w:sz w:val="11"/>
          <w:szCs w:val="11"/>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391795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15" w:right="31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p>
      <w:pPr>
        <w:spacing w:after="0" w:line="37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1" w:lineRule="exact"/>
        <w:rPr>
          <w:sz w:val="20"/>
          <w:szCs w:val="20"/>
          <w:color w:val="auto"/>
        </w:rPr>
      </w:pPr>
    </w:p>
    <w:tbl>
      <w:tblPr>
        <w:tblLayout w:type="fixed"/>
        <w:tblInd w:w="2300" w:type="dxa"/>
        <w:tblCellMar>
          <w:top w:w="0" w:type="dxa"/>
          <w:left w:w="0" w:type="dxa"/>
          <w:bottom w:w="0" w:type="dxa"/>
          <w:right w:w="0" w:type="dxa"/>
        </w:tblCellMar>
      </w:tblPr>
      <w:tr>
        <w:trPr>
          <w:trHeight w:val="155"/>
        </w:trPr>
        <w:tc>
          <w:tcPr>
            <w:tcW w:w="180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1580" w:type="dxa"/>
            <w:vAlign w:val="bottom"/>
          </w:tcPr>
          <w:p>
            <w:pPr>
              <w:spacing w:after="0"/>
              <w:rPr>
                <w:sz w:val="13"/>
                <w:szCs w:val="13"/>
                <w:color w:val="auto"/>
              </w:rPr>
            </w:pPr>
          </w:p>
        </w:tc>
        <w:tc>
          <w:tcPr>
            <w:tcW w:w="2760" w:type="dxa"/>
            <w:vAlign w:val="bottom"/>
          </w:tcPr>
          <w:p>
            <w:pPr>
              <w:jc w:val="center"/>
              <w:ind w:right="44"/>
              <w:spacing w:after="0"/>
              <w:rPr>
                <w:sz w:val="20"/>
                <w:szCs w:val="20"/>
                <w:color w:val="auto"/>
              </w:rPr>
            </w:pPr>
            <w:r>
              <w:rPr>
                <w:rFonts w:ascii="Arial" w:cs="Arial" w:eastAsia="Arial" w:hAnsi="Arial"/>
                <w:sz w:val="11"/>
                <w:szCs w:val="11"/>
                <w:color w:val="auto"/>
                <w:w w:val="93"/>
              </w:rPr>
              <w:t>Accelerated filer</w:t>
            </w:r>
          </w:p>
        </w:tc>
        <w:tc>
          <w:tcPr>
            <w:tcW w:w="920" w:type="dxa"/>
            <w:vAlign w:val="bottom"/>
          </w:tcPr>
          <w:p>
            <w:pPr>
              <w:spacing w:after="0"/>
              <w:rPr>
                <w:sz w:val="13"/>
                <w:szCs w:val="13"/>
                <w:color w:val="auto"/>
              </w:rPr>
            </w:pPr>
          </w:p>
        </w:tc>
      </w:tr>
      <w:tr>
        <w:trPr>
          <w:trHeight w:val="213"/>
        </w:trPr>
        <w:tc>
          <w:tcPr>
            <w:tcW w:w="1800" w:type="dxa"/>
            <w:vAlign w:val="bottom"/>
          </w:tcPr>
          <w:p>
            <w:pPr>
              <w:spacing w:after="0"/>
              <w:rPr>
                <w:sz w:val="20"/>
                <w:szCs w:val="20"/>
                <w:color w:val="auto"/>
              </w:rPr>
            </w:pPr>
            <w:r>
              <w:rPr>
                <w:rFonts w:ascii="Arial" w:cs="Arial" w:eastAsia="Arial" w:hAnsi="Arial"/>
                <w:sz w:val="11"/>
                <w:szCs w:val="11"/>
                <w:color w:val="auto"/>
              </w:rPr>
              <w:t>Non-accelerated filer</w:t>
            </w:r>
          </w:p>
        </w:tc>
        <w:tc>
          <w:tcPr>
            <w:tcW w:w="1580" w:type="dxa"/>
            <w:vAlign w:val="bottom"/>
          </w:tcPr>
          <w:p>
            <w:pPr>
              <w:ind w:left="780"/>
              <w:spacing w:after="0" w:line="111" w:lineRule="exact"/>
              <w:rPr>
                <w:sz w:val="20"/>
                <w:szCs w:val="20"/>
                <w:color w:val="auto"/>
              </w:rPr>
            </w:pPr>
            <w:r>
              <w:rPr>
                <w:rFonts w:ascii="MS PGothic" w:cs="MS PGothic" w:eastAsia="MS PGothic" w:hAnsi="MS PGothic"/>
                <w:sz w:val="11"/>
                <w:szCs w:val="11"/>
                <w:color w:val="auto"/>
                <w:highlight w:val="black"/>
              </w:rPr>
              <w:t>☒</w:t>
            </w:r>
          </w:p>
        </w:tc>
        <w:tc>
          <w:tcPr>
            <w:tcW w:w="2760" w:type="dxa"/>
            <w:vAlign w:val="bottom"/>
          </w:tcPr>
          <w:p>
            <w:pPr>
              <w:jc w:val="center"/>
              <w:ind w:right="44"/>
              <w:spacing w:after="0"/>
              <w:rPr>
                <w:sz w:val="20"/>
                <w:szCs w:val="20"/>
                <w:color w:val="auto"/>
              </w:rPr>
            </w:pPr>
            <w:r>
              <w:rPr>
                <w:rFonts w:ascii="Arial" w:cs="Arial" w:eastAsia="Arial" w:hAnsi="Arial"/>
                <w:sz w:val="11"/>
                <w:szCs w:val="11"/>
                <w:color w:val="auto"/>
                <w:w w:val="92"/>
              </w:rPr>
              <w:t>Smaller reporting company</w:t>
            </w:r>
          </w:p>
        </w:tc>
        <w:tc>
          <w:tcPr>
            <w:tcW w:w="920" w:type="dxa"/>
            <w:vAlign w:val="bottom"/>
          </w:tcPr>
          <w:p>
            <w:pPr>
              <w:ind w:left="800"/>
              <w:spacing w:after="0" w:line="111" w:lineRule="exact"/>
              <w:rPr>
                <w:sz w:val="20"/>
                <w:szCs w:val="20"/>
                <w:color w:val="auto"/>
              </w:rPr>
            </w:pPr>
            <w:r>
              <w:rPr>
                <w:rFonts w:ascii="MS PGothic" w:cs="MS PGothic" w:eastAsia="MS PGothic" w:hAnsi="MS PGothic"/>
                <w:sz w:val="11"/>
                <w:szCs w:val="11"/>
                <w:color w:val="auto"/>
                <w:highlight w:val="black"/>
                <w:w w:val="90"/>
              </w:rPr>
              <w:t>☒</w:t>
            </w:r>
          </w:p>
        </w:tc>
      </w:tr>
      <w:tr>
        <w:trPr>
          <w:trHeight w:val="212"/>
        </w:trPr>
        <w:tc>
          <w:tcPr>
            <w:tcW w:w="18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60" w:type="dxa"/>
            <w:vAlign w:val="bottom"/>
          </w:tcPr>
          <w:p>
            <w:pPr>
              <w:jc w:val="center"/>
              <w:ind w:right="44"/>
              <w:spacing w:after="0"/>
              <w:rPr>
                <w:sz w:val="20"/>
                <w:szCs w:val="20"/>
                <w:color w:val="auto"/>
              </w:rPr>
            </w:pPr>
            <w:r>
              <w:rPr>
                <w:rFonts w:ascii="Arial" w:cs="Arial" w:eastAsia="Arial" w:hAnsi="Arial"/>
                <w:sz w:val="11"/>
                <w:szCs w:val="11"/>
                <w:color w:val="auto"/>
                <w:w w:val="93"/>
              </w:rPr>
              <w:t>Emerging growth company</w:t>
            </w:r>
          </w:p>
        </w:tc>
        <w:tc>
          <w:tcPr>
            <w:tcW w:w="920" w:type="dxa"/>
            <w:vAlign w:val="bottom"/>
          </w:tcPr>
          <w:p>
            <w:pPr>
              <w:ind w:left="800"/>
              <w:spacing w:after="0" w:line="111" w:lineRule="exact"/>
              <w:rPr>
                <w:sz w:val="20"/>
                <w:szCs w:val="20"/>
                <w:color w:val="auto"/>
              </w:rPr>
            </w:pPr>
            <w:r>
              <w:rPr>
                <w:rFonts w:ascii="MS PGothic" w:cs="MS PGothic" w:eastAsia="MS PGothic" w:hAnsi="MS PGothic"/>
                <w:sz w:val="11"/>
                <w:szCs w:val="11"/>
                <w:color w:val="auto"/>
                <w:highlight w:val="black"/>
                <w:w w:val="90"/>
              </w:rPr>
              <w:t>☒</w:t>
            </w:r>
          </w:p>
        </w:tc>
      </w:tr>
    </w:tbl>
    <w:p>
      <w:pPr>
        <w:spacing w:after="0" w:line="200" w:lineRule="exact"/>
        <w:rPr>
          <w:sz w:val="20"/>
          <w:szCs w:val="20"/>
          <w:color w:val="auto"/>
        </w:rPr>
      </w:pPr>
    </w:p>
    <w:p>
      <w:pPr>
        <w:spacing w:after="0" w:line="269" w:lineRule="exact"/>
        <w:rPr>
          <w:sz w:val="20"/>
          <w:szCs w:val="20"/>
          <w:color w:val="auto"/>
        </w:rPr>
      </w:pPr>
    </w:p>
    <w:p>
      <w:pPr>
        <w:ind w:right="80"/>
        <w:spacing w:after="0" w:line="316" w:lineRule="auto"/>
        <w:rPr>
          <w:sz w:val="20"/>
          <w:szCs w:val="20"/>
          <w:color w:val="auto"/>
        </w:rPr>
      </w:pPr>
      <w:r>
        <w:rPr>
          <w:rFonts w:ascii="Arial" w:cs="Arial" w:eastAsia="Arial" w:hAnsi="Arial"/>
          <w:sz w:val="11"/>
          <w:szCs w:val="11"/>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9" w:lineRule="exact"/>
        <w:rPr>
          <w:sz w:val="20"/>
          <w:szCs w:val="20"/>
          <w:color w:val="auto"/>
        </w:rPr>
      </w:pPr>
    </w:p>
    <w:p>
      <w:pPr>
        <w:spacing w:after="0"/>
        <w:tabs>
          <w:tab w:leader="none" w:pos="4780" w:val="left"/>
          <w:tab w:leader="none" w:pos="5060" w:val="left"/>
        </w:tabs>
        <w:rPr>
          <w:sz w:val="20"/>
          <w:szCs w:val="20"/>
          <w:color w:val="auto"/>
        </w:rPr>
      </w:pPr>
      <w:r>
        <w:rPr>
          <w:rFonts w:ascii="Arial" w:cs="Arial" w:eastAsia="Arial" w:hAnsi="Arial"/>
          <w:sz w:val="10"/>
          <w:szCs w:val="10"/>
          <w:color w:val="auto"/>
        </w:rPr>
        <w:t>Indicate by check mark whether the registrant is a shell company (as defined in Rule 12b-2 of the Act).</w:t>
      </w:r>
      <w:r>
        <w:rPr>
          <w:sz w:val="20"/>
          <w:szCs w:val="20"/>
          <w:color w:val="auto"/>
        </w:rPr>
        <w:tab/>
      </w:r>
      <w:r>
        <w:rPr>
          <w:rFonts w:ascii="Arial" w:cs="Arial" w:eastAsia="Arial" w:hAnsi="Arial"/>
          <w:sz w:val="11"/>
          <w:szCs w:val="11"/>
          <w:color w:val="auto"/>
        </w:rPr>
        <w:t>Yes</w:t>
      </w:r>
      <w:r>
        <w:rPr>
          <w:sz w:val="20"/>
          <w:szCs w:val="20"/>
          <w:color w:val="auto"/>
        </w:rPr>
        <w:tab/>
      </w:r>
      <w:r>
        <w:rPr>
          <w:rFonts w:ascii="Arial" w:cs="Arial" w:eastAsia="Arial" w:hAnsi="Arial"/>
          <w:sz w:val="10"/>
          <w:szCs w:val="10"/>
          <w:color w:val="auto"/>
        </w:rPr>
        <w:t>No</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color w:val="auto"/>
        </w:rPr>
        <w:t>As of November 14, 2022, there were 26,211,914 shares of common stock, $0.0001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1014095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124460</wp:posOffset>
            </wp:positionV>
            <wp:extent cx="716153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33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SPRINGBIG,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20" w:type="dxa"/>
            <w:vAlign w:val="bottom"/>
            <w:tcBorders>
              <w:lef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Page</w:t>
            </w:r>
          </w:p>
        </w:tc>
      </w:tr>
      <w:tr>
        <w:trPr>
          <w:trHeight w:val="167"/>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80" w:type="dxa"/>
            <w:vAlign w:val="bottom"/>
            <w:gridSpan w:val="6"/>
          </w:tcPr>
          <w:p>
            <w:pPr>
              <w:jc w:val="center"/>
              <w:ind w:right="1400"/>
              <w:spacing w:after="0"/>
              <w:rPr>
                <w:sz w:val="20"/>
                <w:szCs w:val="20"/>
                <w:color w:val="auto"/>
              </w:rPr>
            </w:pPr>
            <w:r>
              <w:rPr>
                <w:rFonts w:ascii="Arial" w:cs="Arial" w:eastAsia="Arial" w:hAnsi="Arial"/>
                <w:sz w:val="13"/>
                <w:szCs w:val="13"/>
                <w:b w:val="1"/>
                <w:bCs w:val="1"/>
                <w:color w:val="auto"/>
                <w:w w:val="91"/>
              </w:rPr>
              <w:t>Part I – Financial Information</w:t>
            </w: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0"/>
        </w:trPr>
        <w:tc>
          <w:tcPr>
            <w:tcW w:w="740" w:type="dxa"/>
            <w:vAlign w:val="bottom"/>
            <w:gridSpan w:val="3"/>
            <w:shd w:val="clear" w:color="auto" w:fill="CCEEFF"/>
          </w:tcPr>
          <w:p>
            <w:pPr>
              <w:ind w:left="20"/>
              <w:spacing w:after="0" w:line="120" w:lineRule="exact"/>
              <w:rPr>
                <w:sz w:val="20"/>
                <w:szCs w:val="20"/>
                <w:color w:val="auto"/>
              </w:rPr>
            </w:pPr>
            <w:r>
              <w:rPr>
                <w:rFonts w:ascii="Arial" w:cs="Arial" w:eastAsia="Arial" w:hAnsi="Arial"/>
                <w:sz w:val="13"/>
                <w:szCs w:val="13"/>
                <w:color w:val="0000FF"/>
              </w:rPr>
              <w:t>Item 1.</w:t>
            </w:r>
          </w:p>
        </w:tc>
        <w:tc>
          <w:tcPr>
            <w:tcW w:w="8180" w:type="dxa"/>
            <w:vAlign w:val="bottom"/>
            <w:gridSpan w:val="16"/>
            <w:shd w:val="clear" w:color="auto" w:fill="CCEEFF"/>
          </w:tcPr>
          <w:p>
            <w:pPr>
              <w:ind w:left="260"/>
              <w:spacing w:after="0" w:line="120" w:lineRule="exact"/>
              <w:rPr>
                <w:sz w:val="20"/>
                <w:szCs w:val="20"/>
                <w:color w:val="auto"/>
              </w:rPr>
            </w:pPr>
            <w:r>
              <w:rPr>
                <w:rFonts w:ascii="Arial" w:cs="Arial" w:eastAsia="Arial" w:hAnsi="Arial"/>
                <w:sz w:val="13"/>
                <w:szCs w:val="13"/>
                <w:color w:val="0000FF"/>
              </w:rPr>
              <w:t>Financial Statements (Unaudited)</w:t>
            </w:r>
          </w:p>
        </w:tc>
        <w:tc>
          <w:tcPr>
            <w:tcW w:w="236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3"/>
                <w:szCs w:val="13"/>
                <w:color w:val="0000FF"/>
              </w:rPr>
              <w:t>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60" w:type="dxa"/>
            <w:vAlign w:val="bottom"/>
            <w:gridSpan w:val="10"/>
          </w:tcPr>
          <w:p>
            <w:pPr>
              <w:spacing w:after="0" w:line="120" w:lineRule="exact"/>
              <w:rPr>
                <w:sz w:val="20"/>
                <w:szCs w:val="20"/>
                <w:color w:val="auto"/>
              </w:rPr>
            </w:pPr>
            <w:r>
              <w:rPr>
                <w:rFonts w:ascii="Arial" w:cs="Arial" w:eastAsia="Arial" w:hAnsi="Arial"/>
                <w:sz w:val="13"/>
                <w:szCs w:val="13"/>
                <w:color w:val="0000FF"/>
                <w:w w:val="86"/>
              </w:rPr>
              <w:t>Consolidated Balance Sheets as of September 30, 2022 and December 31, 2021</w:t>
            </w:r>
          </w:p>
        </w:tc>
        <w:tc>
          <w:tcPr>
            <w:tcW w:w="3860" w:type="dxa"/>
            <w:vAlign w:val="bottom"/>
            <w:gridSpan w:val="5"/>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0000FF"/>
                <w:w w:val="71"/>
              </w:rPr>
              <w:t>1</w:t>
            </w: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920" w:type="dxa"/>
            <w:vAlign w:val="bottom"/>
            <w:gridSpan w:val="15"/>
            <w:shd w:val="clear" w:color="auto" w:fill="CCEEFF"/>
          </w:tcPr>
          <w:p>
            <w:pPr>
              <w:spacing w:after="0" w:line="155" w:lineRule="exact"/>
              <w:rPr>
                <w:sz w:val="20"/>
                <w:szCs w:val="20"/>
                <w:color w:val="auto"/>
              </w:rPr>
            </w:pPr>
            <w:r>
              <w:rPr>
                <w:rFonts w:ascii="Arial" w:cs="Arial" w:eastAsia="Arial" w:hAnsi="Arial"/>
                <w:sz w:val="13"/>
                <w:szCs w:val="13"/>
                <w:color w:val="0000FF"/>
              </w:rPr>
              <w:t xml:space="preserve">Consolidated Statements of Operations for the three and nine months </w:t>
            </w:r>
            <w:r>
              <w:rPr>
                <w:rFonts w:ascii="Arial" w:cs="Arial" w:eastAsia="Arial" w:hAnsi="Arial"/>
                <w:sz w:val="14"/>
                <w:szCs w:val="14"/>
                <w:color w:val="0000FF"/>
              </w:rPr>
              <w:t>ended</w:t>
            </w:r>
            <w:r>
              <w:rPr>
                <w:rFonts w:ascii="Arial" w:cs="Arial" w:eastAsia="Arial" w:hAnsi="Arial"/>
                <w:sz w:val="13"/>
                <w:szCs w:val="13"/>
                <w:color w:val="0000FF"/>
              </w:rPr>
              <w:t xml:space="preserve"> September 30, 2022 and 2021</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0000FF"/>
              </w:rPr>
              <w:t>2</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280" w:type="dxa"/>
            <w:vAlign w:val="bottom"/>
            <w:tcBorders>
              <w:right w:val="single" w:sz="8" w:color="CCEEFF"/>
            </w:tcBorders>
            <w:shd w:val="clear" w:color="auto" w:fill="CCEE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r>
      <w:tr>
        <w:trPr>
          <w:trHeight w:val="138"/>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40" w:type="dxa"/>
            <w:vAlign w:val="bottom"/>
            <w:gridSpan w:val="14"/>
          </w:tcPr>
          <w:p>
            <w:pPr>
              <w:spacing w:after="0" w:line="138" w:lineRule="exact"/>
              <w:rPr>
                <w:sz w:val="20"/>
                <w:szCs w:val="20"/>
                <w:color w:val="auto"/>
              </w:rPr>
            </w:pPr>
            <w:r>
              <w:rPr>
                <w:rFonts w:ascii="Arial" w:cs="Arial" w:eastAsia="Arial" w:hAnsi="Arial"/>
                <w:sz w:val="13"/>
                <w:szCs w:val="13"/>
                <w:color w:val="0000FF"/>
                <w:w w:val="87"/>
              </w:rPr>
              <w:t>Consolidated Statements of Changes in Stockholder’s Equity for nine months ended September 30, 2022 and 2021</w:t>
            </w:r>
          </w:p>
        </w:tc>
        <w:tc>
          <w:tcPr>
            <w:tcW w:w="20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0000FF"/>
                <w:w w:val="71"/>
              </w:rPr>
              <w:t>3</w:t>
            </w: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r>
      <w:tr>
        <w:trPr>
          <w:trHeight w:val="144"/>
        </w:trPr>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40" w:type="dxa"/>
            <w:vAlign w:val="bottom"/>
            <w:gridSpan w:val="14"/>
            <w:shd w:val="clear" w:color="auto" w:fill="CCEEFF"/>
          </w:tcPr>
          <w:p>
            <w:pPr>
              <w:spacing w:after="0" w:line="144" w:lineRule="exact"/>
              <w:rPr>
                <w:sz w:val="20"/>
                <w:szCs w:val="20"/>
                <w:color w:val="auto"/>
              </w:rPr>
            </w:pPr>
            <w:r>
              <w:rPr>
                <w:rFonts w:ascii="Arial" w:cs="Arial" w:eastAsia="Arial" w:hAnsi="Arial"/>
                <w:sz w:val="13"/>
                <w:szCs w:val="13"/>
                <w:color w:val="0000FF"/>
              </w:rPr>
              <w:t>Consolidated Statements of Cash Flows for the nine months ended September 30, 2022 and 2021</w:t>
            </w:r>
          </w:p>
        </w:tc>
        <w:tc>
          <w:tcPr>
            <w:tcW w:w="2080" w:type="dxa"/>
            <w:vAlign w:val="bottom"/>
            <w:shd w:val="clear" w:color="auto" w:fill="CCEEFF"/>
          </w:tcPr>
          <w:p>
            <w:pPr>
              <w:spacing w:after="0"/>
              <w:rPr>
                <w:sz w:val="12"/>
                <w:szCs w:val="12"/>
                <w:color w:val="auto"/>
              </w:rPr>
            </w:pPr>
          </w:p>
        </w:tc>
        <w:tc>
          <w:tcPr>
            <w:tcW w:w="22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0000FF"/>
                <w:w w:val="71"/>
              </w:rPr>
              <w:t>5</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280" w:type="dxa"/>
            <w:vAlign w:val="bottom"/>
            <w:tcBorders>
              <w:right w:val="single" w:sz="8" w:color="CCEEFF"/>
            </w:tcBorders>
            <w:shd w:val="clear" w:color="auto" w:fill="CCEE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r>
      <w:tr>
        <w:trPr>
          <w:trHeight w:val="138"/>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20" w:type="dxa"/>
            <w:vAlign w:val="bottom"/>
            <w:gridSpan w:val="8"/>
          </w:tcPr>
          <w:p>
            <w:pPr>
              <w:spacing w:after="0" w:line="138" w:lineRule="exact"/>
              <w:rPr>
                <w:sz w:val="20"/>
                <w:szCs w:val="20"/>
                <w:color w:val="auto"/>
              </w:rPr>
            </w:pPr>
            <w:r>
              <w:rPr>
                <w:rFonts w:ascii="Arial" w:cs="Arial" w:eastAsia="Arial" w:hAnsi="Arial"/>
                <w:sz w:val="13"/>
                <w:szCs w:val="13"/>
                <w:color w:val="0000FF"/>
                <w:w w:val="87"/>
              </w:rPr>
              <w:t>Notes to the Consolidated Financial Statements</w:t>
            </w:r>
          </w:p>
        </w:tc>
        <w:tc>
          <w:tcPr>
            <w:tcW w:w="2520" w:type="dxa"/>
            <w:vAlign w:val="bottom"/>
            <w:gridSpan w:val="4"/>
          </w:tcPr>
          <w:p>
            <w:pPr>
              <w:spacing w:after="0"/>
              <w:rPr>
                <w:sz w:val="11"/>
                <w:szCs w:val="11"/>
                <w:color w:val="auto"/>
              </w:rPr>
            </w:pPr>
          </w:p>
        </w:tc>
        <w:tc>
          <w:tcPr>
            <w:tcW w:w="2980" w:type="dxa"/>
            <w:vAlign w:val="bottom"/>
            <w:gridSpan w:val="3"/>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0000FF"/>
                <w:w w:val="71"/>
              </w:rPr>
              <w:t>6</w:t>
            </w: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r>
      <w:tr>
        <w:trPr>
          <w:trHeight w:val="144"/>
        </w:trPr>
        <w:tc>
          <w:tcPr>
            <w:tcW w:w="740" w:type="dxa"/>
            <w:vAlign w:val="bottom"/>
            <w:gridSpan w:val="3"/>
            <w:shd w:val="clear" w:color="auto" w:fill="CCEEFF"/>
          </w:tcPr>
          <w:p>
            <w:pPr>
              <w:ind w:left="20"/>
              <w:spacing w:after="0" w:line="144" w:lineRule="exact"/>
              <w:rPr>
                <w:sz w:val="20"/>
                <w:szCs w:val="20"/>
                <w:color w:val="auto"/>
              </w:rPr>
            </w:pPr>
            <w:r>
              <w:rPr>
                <w:rFonts w:ascii="Arial" w:cs="Arial" w:eastAsia="Arial" w:hAnsi="Arial"/>
                <w:sz w:val="13"/>
                <w:szCs w:val="13"/>
                <w:color w:val="auto"/>
              </w:rPr>
              <w:t>Item 2.</w:t>
            </w:r>
          </w:p>
        </w:tc>
        <w:tc>
          <w:tcPr>
            <w:tcW w:w="260" w:type="dxa"/>
            <w:vAlign w:val="bottom"/>
            <w:shd w:val="clear" w:color="auto" w:fill="CCEEFF"/>
          </w:tcPr>
          <w:p>
            <w:pPr>
              <w:spacing w:after="0"/>
              <w:rPr>
                <w:sz w:val="12"/>
                <w:szCs w:val="12"/>
                <w:color w:val="auto"/>
              </w:rPr>
            </w:pPr>
          </w:p>
        </w:tc>
        <w:tc>
          <w:tcPr>
            <w:tcW w:w="7920" w:type="dxa"/>
            <w:vAlign w:val="bottom"/>
            <w:gridSpan w:val="15"/>
            <w:shd w:val="clear" w:color="auto" w:fill="CCEEFF"/>
          </w:tcPr>
          <w:p>
            <w:pPr>
              <w:spacing w:after="0" w:line="144" w:lineRule="exact"/>
              <w:rPr>
                <w:sz w:val="20"/>
                <w:szCs w:val="20"/>
                <w:color w:val="auto"/>
              </w:rPr>
            </w:pPr>
            <w:r>
              <w:rPr>
                <w:rFonts w:ascii="Arial" w:cs="Arial" w:eastAsia="Arial" w:hAnsi="Arial"/>
                <w:sz w:val="13"/>
                <w:szCs w:val="13"/>
                <w:color w:val="0000FF"/>
              </w:rPr>
              <w:t>Management’s Discussion and Analysis of Financial Condition and Results of Operations</w:t>
            </w:r>
          </w:p>
        </w:tc>
        <w:tc>
          <w:tcPr>
            <w:tcW w:w="23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0000FF"/>
              </w:rPr>
              <w:t>25</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280" w:type="dxa"/>
            <w:vAlign w:val="bottom"/>
            <w:tcBorders>
              <w:right w:val="single" w:sz="8" w:color="0000FF"/>
            </w:tcBorders>
            <w:shd w:val="clear" w:color="auto" w:fill="CCEE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r>
      <w:tr>
        <w:trPr>
          <w:trHeight w:val="138"/>
        </w:trPr>
        <w:tc>
          <w:tcPr>
            <w:tcW w:w="740" w:type="dxa"/>
            <w:vAlign w:val="bottom"/>
            <w:gridSpan w:val="3"/>
          </w:tcPr>
          <w:p>
            <w:pPr>
              <w:ind w:left="20"/>
              <w:spacing w:after="0" w:line="138" w:lineRule="exact"/>
              <w:rPr>
                <w:sz w:val="20"/>
                <w:szCs w:val="20"/>
                <w:color w:val="auto"/>
              </w:rPr>
            </w:pPr>
            <w:r>
              <w:rPr>
                <w:rFonts w:ascii="Arial" w:cs="Arial" w:eastAsia="Arial" w:hAnsi="Arial"/>
                <w:sz w:val="13"/>
                <w:szCs w:val="13"/>
                <w:color w:val="auto"/>
              </w:rPr>
              <w:t>Item 3.</w:t>
            </w:r>
          </w:p>
        </w:tc>
        <w:tc>
          <w:tcPr>
            <w:tcW w:w="260" w:type="dxa"/>
            <w:vAlign w:val="bottom"/>
          </w:tcPr>
          <w:p>
            <w:pPr>
              <w:spacing w:after="0"/>
              <w:rPr>
                <w:sz w:val="11"/>
                <w:szCs w:val="11"/>
                <w:color w:val="auto"/>
              </w:rPr>
            </w:pPr>
          </w:p>
        </w:tc>
        <w:tc>
          <w:tcPr>
            <w:tcW w:w="3040" w:type="dxa"/>
            <w:vAlign w:val="bottom"/>
            <w:gridSpan w:val="9"/>
          </w:tcPr>
          <w:p>
            <w:pPr>
              <w:spacing w:after="0" w:line="138" w:lineRule="exact"/>
              <w:rPr>
                <w:sz w:val="20"/>
                <w:szCs w:val="20"/>
                <w:color w:val="auto"/>
              </w:rPr>
            </w:pPr>
            <w:r>
              <w:rPr>
                <w:rFonts w:ascii="Arial" w:cs="Arial" w:eastAsia="Arial" w:hAnsi="Arial"/>
                <w:sz w:val="13"/>
                <w:szCs w:val="13"/>
                <w:color w:val="0000FF"/>
                <w:w w:val="89"/>
              </w:rPr>
              <w:t>Quantitative and Qualitative Disclosure About Market Risk</w:t>
            </w:r>
          </w:p>
        </w:tc>
        <w:tc>
          <w:tcPr>
            <w:tcW w:w="1520" w:type="dxa"/>
            <w:vAlign w:val="bottom"/>
            <w:gridSpan w:val="2"/>
          </w:tcPr>
          <w:p>
            <w:pPr>
              <w:spacing w:after="0"/>
              <w:rPr>
                <w:sz w:val="11"/>
                <w:szCs w:val="11"/>
                <w:color w:val="auto"/>
              </w:rPr>
            </w:pPr>
          </w:p>
        </w:tc>
        <w:tc>
          <w:tcPr>
            <w:tcW w:w="3360" w:type="dxa"/>
            <w:vAlign w:val="bottom"/>
            <w:gridSpan w:val="4"/>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5"/>
                <w:szCs w:val="5"/>
                <w:color w:val="0000FF"/>
                <w:w w:val="71"/>
              </w:rPr>
              <w:t>36</w:t>
            </w: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80" w:type="dxa"/>
            <w:vAlign w:val="bottom"/>
            <w:tcBorders>
              <w:right w:val="single" w:sz="8" w:color="0000FF"/>
            </w:tcBorders>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r>
      <w:tr>
        <w:trPr>
          <w:trHeight w:val="156"/>
        </w:trPr>
        <w:tc>
          <w:tcPr>
            <w:tcW w:w="740" w:type="dxa"/>
            <w:vAlign w:val="bottom"/>
            <w:gridSpan w:val="3"/>
            <w:shd w:val="clear" w:color="auto" w:fill="CCEEFF"/>
          </w:tcPr>
          <w:p>
            <w:pPr>
              <w:ind w:left="20"/>
              <w:spacing w:after="0" w:line="144" w:lineRule="exact"/>
              <w:rPr>
                <w:sz w:val="20"/>
                <w:szCs w:val="20"/>
                <w:color w:val="auto"/>
              </w:rPr>
            </w:pPr>
            <w:r>
              <w:rPr>
                <w:rFonts w:ascii="Arial" w:cs="Arial" w:eastAsia="Arial" w:hAnsi="Arial"/>
                <w:sz w:val="13"/>
                <w:szCs w:val="13"/>
                <w:color w:val="auto"/>
              </w:rPr>
              <w:t>Item 4.</w:t>
            </w:r>
          </w:p>
        </w:tc>
        <w:tc>
          <w:tcPr>
            <w:tcW w:w="260" w:type="dxa"/>
            <w:vAlign w:val="bottom"/>
            <w:shd w:val="clear" w:color="auto" w:fill="CCEEFF"/>
          </w:tcPr>
          <w:p>
            <w:pPr>
              <w:spacing w:after="0"/>
              <w:rPr>
                <w:sz w:val="13"/>
                <w:szCs w:val="13"/>
                <w:color w:val="auto"/>
              </w:rPr>
            </w:pPr>
          </w:p>
        </w:tc>
        <w:tc>
          <w:tcPr>
            <w:tcW w:w="30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0000FF"/>
              </w:rPr>
              <w:t>Controls and Procedures</w:t>
            </w:r>
          </w:p>
        </w:tc>
        <w:tc>
          <w:tcPr>
            <w:tcW w:w="4880" w:type="dxa"/>
            <w:vAlign w:val="bottom"/>
            <w:tcBorders>
              <w:left w:val="single" w:sz="8" w:color="CCEEFF"/>
            </w:tcBorders>
            <w:gridSpan w:val="6"/>
            <w:shd w:val="clear" w:color="auto" w:fill="CCEEFF"/>
          </w:tcPr>
          <w:p>
            <w:pPr>
              <w:spacing w:after="0"/>
              <w:rPr>
                <w:sz w:val="13"/>
                <w:szCs w:val="13"/>
                <w:color w:val="auto"/>
              </w:rPr>
            </w:pPr>
          </w:p>
        </w:tc>
        <w:tc>
          <w:tcPr>
            <w:tcW w:w="228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5"/>
                <w:szCs w:val="5"/>
                <w:color w:val="0000FF"/>
                <w:w w:val="71"/>
              </w:rPr>
              <w:t>36</w:t>
            </w:r>
          </w:p>
        </w:tc>
      </w:tr>
      <w:tr>
        <w:trPr>
          <w:trHeight w:val="167"/>
        </w:trPr>
        <w:tc>
          <w:tcPr>
            <w:tcW w:w="2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620" w:type="dxa"/>
            <w:vAlign w:val="bottom"/>
            <w:tcBorders>
              <w:top w:val="single" w:sz="8" w:color="CCEEFF"/>
            </w:tcBorders>
          </w:tcPr>
          <w:p>
            <w:pPr>
              <w:spacing w:after="0"/>
              <w:rPr>
                <w:sz w:val="14"/>
                <w:szCs w:val="14"/>
                <w:color w:val="auto"/>
              </w:rPr>
            </w:pPr>
          </w:p>
        </w:tc>
        <w:tc>
          <w:tcPr>
            <w:tcW w:w="4880" w:type="dxa"/>
            <w:vAlign w:val="bottom"/>
            <w:tcBorders>
              <w:top w:val="single" w:sz="8" w:color="CCEEFF"/>
            </w:tcBorders>
            <w:gridSpan w:val="6"/>
          </w:tcPr>
          <w:p>
            <w:pPr>
              <w:jc w:val="center"/>
              <w:ind w:right="1400"/>
              <w:spacing w:after="0"/>
              <w:rPr>
                <w:sz w:val="20"/>
                <w:szCs w:val="20"/>
                <w:color w:val="auto"/>
              </w:rPr>
            </w:pPr>
            <w:r>
              <w:rPr>
                <w:rFonts w:ascii="Arial" w:cs="Arial" w:eastAsia="Arial" w:hAnsi="Arial"/>
                <w:sz w:val="13"/>
                <w:szCs w:val="13"/>
                <w:b w:val="1"/>
                <w:bCs w:val="1"/>
                <w:color w:val="auto"/>
                <w:w w:val="94"/>
              </w:rPr>
              <w:t>Part II – Other Information</w:t>
            </w:r>
          </w:p>
        </w:tc>
        <w:tc>
          <w:tcPr>
            <w:tcW w:w="22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140"/>
        </w:trPr>
        <w:tc>
          <w:tcPr>
            <w:tcW w:w="740" w:type="dxa"/>
            <w:vAlign w:val="bottom"/>
            <w:gridSpan w:val="3"/>
            <w:shd w:val="clear" w:color="auto" w:fill="CCEEFF"/>
          </w:tcPr>
          <w:p>
            <w:pPr>
              <w:ind w:left="20"/>
              <w:spacing w:after="0" w:line="140" w:lineRule="exact"/>
              <w:rPr>
                <w:sz w:val="20"/>
                <w:szCs w:val="20"/>
                <w:color w:val="auto"/>
              </w:rPr>
            </w:pPr>
            <w:r>
              <w:rPr>
                <w:rFonts w:ascii="Arial" w:cs="Arial" w:eastAsia="Arial" w:hAnsi="Arial"/>
                <w:sz w:val="13"/>
                <w:szCs w:val="13"/>
                <w:color w:val="auto"/>
              </w:rPr>
              <w:t>Item 1.</w:t>
            </w:r>
          </w:p>
        </w:tc>
        <w:tc>
          <w:tcPr>
            <w:tcW w:w="260" w:type="dxa"/>
            <w:vAlign w:val="bottom"/>
            <w:shd w:val="clear" w:color="auto" w:fill="CCEEFF"/>
          </w:tcPr>
          <w:p>
            <w:pPr>
              <w:spacing w:after="0"/>
              <w:rPr>
                <w:sz w:val="12"/>
                <w:szCs w:val="12"/>
                <w:color w:val="auto"/>
              </w:rPr>
            </w:pPr>
          </w:p>
        </w:tc>
        <w:tc>
          <w:tcPr>
            <w:tcW w:w="7920" w:type="dxa"/>
            <w:vAlign w:val="bottom"/>
            <w:gridSpan w:val="15"/>
            <w:shd w:val="clear" w:color="auto" w:fill="CCEEFF"/>
          </w:tcPr>
          <w:p>
            <w:pPr>
              <w:spacing w:after="0" w:line="140" w:lineRule="exact"/>
              <w:rPr>
                <w:sz w:val="20"/>
                <w:szCs w:val="20"/>
                <w:color w:val="auto"/>
              </w:rPr>
            </w:pPr>
            <w:r>
              <w:rPr>
                <w:rFonts w:ascii="Arial" w:cs="Arial" w:eastAsia="Arial" w:hAnsi="Arial"/>
                <w:sz w:val="13"/>
                <w:szCs w:val="13"/>
                <w:color w:val="0000FF"/>
              </w:rPr>
              <w:t>Legal Proceedings</w:t>
            </w:r>
          </w:p>
        </w:tc>
        <w:tc>
          <w:tcPr>
            <w:tcW w:w="23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0000FF"/>
              </w:rPr>
              <w:t>36</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2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280" w:type="dxa"/>
            <w:vAlign w:val="bottom"/>
            <w:tcBorders>
              <w:right w:val="single" w:sz="8" w:color="0000FF"/>
            </w:tcBorders>
            <w:shd w:val="clear" w:color="auto" w:fill="CCEE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r>
      <w:tr>
        <w:trPr>
          <w:trHeight w:val="138"/>
        </w:trPr>
        <w:tc>
          <w:tcPr>
            <w:tcW w:w="740" w:type="dxa"/>
            <w:vAlign w:val="bottom"/>
            <w:gridSpan w:val="3"/>
          </w:tcPr>
          <w:p>
            <w:pPr>
              <w:ind w:left="20"/>
              <w:spacing w:after="0" w:line="138" w:lineRule="exact"/>
              <w:rPr>
                <w:sz w:val="20"/>
                <w:szCs w:val="20"/>
                <w:color w:val="auto"/>
              </w:rPr>
            </w:pPr>
            <w:r>
              <w:rPr>
                <w:rFonts w:ascii="Arial" w:cs="Arial" w:eastAsia="Arial" w:hAnsi="Arial"/>
                <w:sz w:val="13"/>
                <w:szCs w:val="13"/>
                <w:color w:val="auto"/>
              </w:rPr>
              <w:t>Item 1A.</w:t>
            </w:r>
          </w:p>
        </w:tc>
        <w:tc>
          <w:tcPr>
            <w:tcW w:w="260" w:type="dxa"/>
            <w:vAlign w:val="bottom"/>
          </w:tcPr>
          <w:p>
            <w:pPr>
              <w:spacing w:after="0"/>
              <w:rPr>
                <w:sz w:val="11"/>
                <w:szCs w:val="11"/>
                <w:color w:val="auto"/>
              </w:rPr>
            </w:pPr>
          </w:p>
        </w:tc>
        <w:tc>
          <w:tcPr>
            <w:tcW w:w="940" w:type="dxa"/>
            <w:vAlign w:val="bottom"/>
            <w:gridSpan w:val="4"/>
          </w:tcPr>
          <w:p>
            <w:pPr>
              <w:spacing w:after="0" w:line="138" w:lineRule="exact"/>
              <w:rPr>
                <w:sz w:val="20"/>
                <w:szCs w:val="20"/>
                <w:color w:val="auto"/>
              </w:rPr>
            </w:pPr>
            <w:r>
              <w:rPr>
                <w:rFonts w:ascii="Arial" w:cs="Arial" w:eastAsia="Arial" w:hAnsi="Arial"/>
                <w:sz w:val="13"/>
                <w:szCs w:val="13"/>
                <w:color w:val="0000FF"/>
              </w:rPr>
              <w:t>Risk Factors</w:t>
            </w:r>
          </w:p>
        </w:tc>
        <w:tc>
          <w:tcPr>
            <w:tcW w:w="6980" w:type="dxa"/>
            <w:vAlign w:val="bottom"/>
            <w:gridSpan w:val="11"/>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5"/>
                <w:szCs w:val="5"/>
                <w:color w:val="0000FF"/>
                <w:w w:val="71"/>
              </w:rPr>
              <w:t>36</w:t>
            </w: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80" w:type="dxa"/>
            <w:vAlign w:val="bottom"/>
            <w:tcBorders>
              <w:right w:val="single" w:sz="8" w:color="0000FF"/>
            </w:tcBorders>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r>
      <w:tr>
        <w:trPr>
          <w:trHeight w:val="144"/>
        </w:trPr>
        <w:tc>
          <w:tcPr>
            <w:tcW w:w="740" w:type="dxa"/>
            <w:vAlign w:val="bottom"/>
            <w:gridSpan w:val="3"/>
            <w:shd w:val="clear" w:color="auto" w:fill="CCEEFF"/>
          </w:tcPr>
          <w:p>
            <w:pPr>
              <w:ind w:left="20"/>
              <w:spacing w:after="0" w:line="144" w:lineRule="exact"/>
              <w:rPr>
                <w:sz w:val="20"/>
                <w:szCs w:val="20"/>
                <w:color w:val="auto"/>
              </w:rPr>
            </w:pPr>
            <w:r>
              <w:rPr>
                <w:rFonts w:ascii="Arial" w:cs="Arial" w:eastAsia="Arial" w:hAnsi="Arial"/>
                <w:sz w:val="13"/>
                <w:szCs w:val="13"/>
                <w:color w:val="auto"/>
              </w:rPr>
              <w:t>Item 2.</w:t>
            </w:r>
          </w:p>
        </w:tc>
        <w:tc>
          <w:tcPr>
            <w:tcW w:w="260" w:type="dxa"/>
            <w:vAlign w:val="bottom"/>
            <w:shd w:val="clear" w:color="auto" w:fill="CCEEFF"/>
          </w:tcPr>
          <w:p>
            <w:pPr>
              <w:spacing w:after="0"/>
              <w:rPr>
                <w:sz w:val="12"/>
                <w:szCs w:val="12"/>
                <w:color w:val="auto"/>
              </w:rPr>
            </w:pPr>
          </w:p>
        </w:tc>
        <w:tc>
          <w:tcPr>
            <w:tcW w:w="3040" w:type="dxa"/>
            <w:vAlign w:val="bottom"/>
            <w:gridSpan w:val="9"/>
            <w:shd w:val="clear" w:color="auto" w:fill="CCEEFF"/>
          </w:tcPr>
          <w:p>
            <w:pPr>
              <w:spacing w:after="0" w:line="144" w:lineRule="exact"/>
              <w:rPr>
                <w:sz w:val="20"/>
                <w:szCs w:val="20"/>
                <w:color w:val="auto"/>
              </w:rPr>
            </w:pPr>
            <w:r>
              <w:rPr>
                <w:rFonts w:ascii="Arial" w:cs="Arial" w:eastAsia="Arial" w:hAnsi="Arial"/>
                <w:sz w:val="13"/>
                <w:szCs w:val="13"/>
                <w:color w:val="0000FF"/>
                <w:w w:val="85"/>
              </w:rPr>
              <w:t>Unregistered Sales of Equity Securities and Use of Proceeds</w:t>
            </w:r>
          </w:p>
        </w:tc>
        <w:tc>
          <w:tcPr>
            <w:tcW w:w="4880" w:type="dxa"/>
            <w:vAlign w:val="bottom"/>
            <w:tcBorders>
              <w:left w:val="single" w:sz="8" w:color="CCEEFF"/>
            </w:tcBorders>
            <w:gridSpan w:val="6"/>
            <w:shd w:val="clear" w:color="auto" w:fill="CCEEFF"/>
          </w:tcPr>
          <w:p>
            <w:pPr>
              <w:spacing w:after="0"/>
              <w:rPr>
                <w:sz w:val="12"/>
                <w:szCs w:val="12"/>
                <w:color w:val="auto"/>
              </w:rPr>
            </w:pPr>
          </w:p>
        </w:tc>
        <w:tc>
          <w:tcPr>
            <w:tcW w:w="22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5"/>
                <w:szCs w:val="5"/>
                <w:color w:val="0000FF"/>
                <w:w w:val="71"/>
              </w:rPr>
              <w:t>36</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020" w:type="dxa"/>
            <w:vAlign w:val="bottom"/>
            <w:tcBorders>
              <w:left w:val="single" w:sz="8" w:color="0000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280" w:type="dxa"/>
            <w:vAlign w:val="bottom"/>
            <w:tcBorders>
              <w:right w:val="single" w:sz="8" w:color="0000FF"/>
            </w:tcBorders>
            <w:shd w:val="clear" w:color="auto" w:fill="CCEE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r>
      <w:tr>
        <w:trPr>
          <w:trHeight w:val="138"/>
        </w:trPr>
        <w:tc>
          <w:tcPr>
            <w:tcW w:w="740" w:type="dxa"/>
            <w:vAlign w:val="bottom"/>
            <w:gridSpan w:val="3"/>
          </w:tcPr>
          <w:p>
            <w:pPr>
              <w:ind w:left="20"/>
              <w:spacing w:after="0" w:line="138" w:lineRule="exact"/>
              <w:rPr>
                <w:sz w:val="20"/>
                <w:szCs w:val="20"/>
                <w:color w:val="auto"/>
              </w:rPr>
            </w:pPr>
            <w:r>
              <w:rPr>
                <w:rFonts w:ascii="Arial" w:cs="Arial" w:eastAsia="Arial" w:hAnsi="Arial"/>
                <w:sz w:val="13"/>
                <w:szCs w:val="13"/>
                <w:color w:val="auto"/>
              </w:rPr>
              <w:t>Item 3.</w:t>
            </w:r>
          </w:p>
        </w:tc>
        <w:tc>
          <w:tcPr>
            <w:tcW w:w="260" w:type="dxa"/>
            <w:vAlign w:val="bottom"/>
          </w:tcPr>
          <w:p>
            <w:pPr>
              <w:spacing w:after="0"/>
              <w:rPr>
                <w:sz w:val="11"/>
                <w:szCs w:val="11"/>
                <w:color w:val="auto"/>
              </w:rPr>
            </w:pPr>
          </w:p>
        </w:tc>
        <w:tc>
          <w:tcPr>
            <w:tcW w:w="3040" w:type="dxa"/>
            <w:vAlign w:val="bottom"/>
            <w:gridSpan w:val="9"/>
          </w:tcPr>
          <w:p>
            <w:pPr>
              <w:spacing w:after="0" w:line="138" w:lineRule="exact"/>
              <w:rPr>
                <w:sz w:val="20"/>
                <w:szCs w:val="20"/>
                <w:color w:val="auto"/>
              </w:rPr>
            </w:pPr>
            <w:r>
              <w:rPr>
                <w:rFonts w:ascii="Arial" w:cs="Arial" w:eastAsia="Arial" w:hAnsi="Arial"/>
                <w:sz w:val="13"/>
                <w:szCs w:val="13"/>
                <w:color w:val="0000FF"/>
              </w:rPr>
              <w:t>Defaults Upon Senior Securities</w:t>
            </w:r>
          </w:p>
        </w:tc>
        <w:tc>
          <w:tcPr>
            <w:tcW w:w="4880" w:type="dxa"/>
            <w:vAlign w:val="bottom"/>
            <w:gridSpan w:val="6"/>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5"/>
                <w:szCs w:val="5"/>
                <w:color w:val="0000FF"/>
                <w:w w:val="71"/>
              </w:rPr>
              <w:t>37</w:t>
            </w: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80" w:type="dxa"/>
            <w:vAlign w:val="bottom"/>
            <w:tcBorders>
              <w:right w:val="single" w:sz="8" w:color="0000FF"/>
            </w:tcBorders>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r>
      <w:tr>
        <w:trPr>
          <w:trHeight w:val="144"/>
        </w:trPr>
        <w:tc>
          <w:tcPr>
            <w:tcW w:w="740" w:type="dxa"/>
            <w:vAlign w:val="bottom"/>
            <w:gridSpan w:val="3"/>
            <w:shd w:val="clear" w:color="auto" w:fill="CCEEFF"/>
          </w:tcPr>
          <w:p>
            <w:pPr>
              <w:ind w:left="20"/>
              <w:spacing w:after="0" w:line="144" w:lineRule="exact"/>
              <w:rPr>
                <w:sz w:val="20"/>
                <w:szCs w:val="20"/>
                <w:color w:val="auto"/>
              </w:rPr>
            </w:pPr>
            <w:r>
              <w:rPr>
                <w:rFonts w:ascii="Arial" w:cs="Arial" w:eastAsia="Arial" w:hAnsi="Arial"/>
                <w:sz w:val="13"/>
                <w:szCs w:val="13"/>
                <w:color w:val="auto"/>
              </w:rPr>
              <w:t>Item 4.</w:t>
            </w:r>
          </w:p>
        </w:tc>
        <w:tc>
          <w:tcPr>
            <w:tcW w:w="260" w:type="dxa"/>
            <w:vAlign w:val="bottom"/>
            <w:shd w:val="clear" w:color="auto" w:fill="CCEEFF"/>
          </w:tcPr>
          <w:p>
            <w:pPr>
              <w:spacing w:after="0"/>
              <w:rPr>
                <w:sz w:val="12"/>
                <w:szCs w:val="12"/>
                <w:color w:val="auto"/>
              </w:rPr>
            </w:pPr>
          </w:p>
        </w:tc>
        <w:tc>
          <w:tcPr>
            <w:tcW w:w="1260" w:type="dxa"/>
            <w:vAlign w:val="bottom"/>
            <w:gridSpan w:val="5"/>
            <w:shd w:val="clear" w:color="auto" w:fill="CCEEFF"/>
          </w:tcPr>
          <w:p>
            <w:pPr>
              <w:spacing w:after="0" w:line="144" w:lineRule="exact"/>
              <w:rPr>
                <w:sz w:val="20"/>
                <w:szCs w:val="20"/>
                <w:color w:val="auto"/>
              </w:rPr>
            </w:pPr>
            <w:r>
              <w:rPr>
                <w:rFonts w:ascii="Arial" w:cs="Arial" w:eastAsia="Arial" w:hAnsi="Arial"/>
                <w:sz w:val="13"/>
                <w:szCs w:val="13"/>
                <w:color w:val="0000FF"/>
                <w:w w:val="88"/>
              </w:rPr>
              <w:t>Mine Safety Disclosures</w:t>
            </w:r>
          </w:p>
        </w:tc>
        <w:tc>
          <w:tcPr>
            <w:tcW w:w="380" w:type="dxa"/>
            <w:vAlign w:val="bottom"/>
            <w:shd w:val="clear" w:color="auto" w:fill="CCEEFF"/>
          </w:tcPr>
          <w:p>
            <w:pPr>
              <w:spacing w:after="0"/>
              <w:rPr>
                <w:sz w:val="12"/>
                <w:szCs w:val="12"/>
                <w:color w:val="auto"/>
              </w:rPr>
            </w:pPr>
          </w:p>
        </w:tc>
        <w:tc>
          <w:tcPr>
            <w:tcW w:w="6280" w:type="dxa"/>
            <w:vAlign w:val="bottom"/>
            <w:gridSpan w:val="9"/>
            <w:shd w:val="clear" w:color="auto" w:fill="CCEEFF"/>
          </w:tcPr>
          <w:p>
            <w:pPr>
              <w:spacing w:after="0"/>
              <w:rPr>
                <w:sz w:val="12"/>
                <w:szCs w:val="12"/>
                <w:color w:val="auto"/>
              </w:rPr>
            </w:pPr>
          </w:p>
        </w:tc>
        <w:tc>
          <w:tcPr>
            <w:tcW w:w="22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5"/>
                <w:szCs w:val="5"/>
                <w:color w:val="0000FF"/>
                <w:w w:val="71"/>
              </w:rPr>
              <w:t>37</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2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280" w:type="dxa"/>
            <w:vAlign w:val="bottom"/>
            <w:tcBorders>
              <w:right w:val="single" w:sz="8" w:color="0000FF"/>
            </w:tcBorders>
            <w:shd w:val="clear" w:color="auto" w:fill="CCEE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r>
      <w:tr>
        <w:trPr>
          <w:trHeight w:val="138"/>
        </w:trPr>
        <w:tc>
          <w:tcPr>
            <w:tcW w:w="740" w:type="dxa"/>
            <w:vAlign w:val="bottom"/>
            <w:gridSpan w:val="3"/>
          </w:tcPr>
          <w:p>
            <w:pPr>
              <w:ind w:left="20"/>
              <w:spacing w:after="0" w:line="138" w:lineRule="exact"/>
              <w:rPr>
                <w:sz w:val="20"/>
                <w:szCs w:val="20"/>
                <w:color w:val="auto"/>
              </w:rPr>
            </w:pPr>
            <w:r>
              <w:rPr>
                <w:rFonts w:ascii="Arial" w:cs="Arial" w:eastAsia="Arial" w:hAnsi="Arial"/>
                <w:sz w:val="13"/>
                <w:szCs w:val="13"/>
                <w:color w:val="auto"/>
              </w:rPr>
              <w:t>Item 5.</w:t>
            </w:r>
          </w:p>
        </w:tc>
        <w:tc>
          <w:tcPr>
            <w:tcW w:w="260" w:type="dxa"/>
            <w:vAlign w:val="bottom"/>
          </w:tcPr>
          <w:p>
            <w:pPr>
              <w:spacing w:after="0"/>
              <w:rPr>
                <w:sz w:val="11"/>
                <w:szCs w:val="11"/>
                <w:color w:val="auto"/>
              </w:rPr>
            </w:pPr>
          </w:p>
        </w:tc>
        <w:tc>
          <w:tcPr>
            <w:tcW w:w="940" w:type="dxa"/>
            <w:vAlign w:val="bottom"/>
            <w:gridSpan w:val="4"/>
          </w:tcPr>
          <w:p>
            <w:pPr>
              <w:spacing w:after="0" w:line="138" w:lineRule="exact"/>
              <w:rPr>
                <w:sz w:val="20"/>
                <w:szCs w:val="20"/>
                <w:color w:val="auto"/>
              </w:rPr>
            </w:pPr>
            <w:r>
              <w:rPr>
                <w:rFonts w:ascii="Arial" w:cs="Arial" w:eastAsia="Arial" w:hAnsi="Arial"/>
                <w:sz w:val="13"/>
                <w:szCs w:val="13"/>
                <w:color w:val="0000FF"/>
                <w:w w:val="90"/>
              </w:rPr>
              <w:t>Other Information</w:t>
            </w:r>
          </w:p>
        </w:tc>
        <w:tc>
          <w:tcPr>
            <w:tcW w:w="320" w:type="dxa"/>
            <w:vAlign w:val="bottom"/>
          </w:tcPr>
          <w:p>
            <w:pPr>
              <w:spacing w:after="0"/>
              <w:rPr>
                <w:sz w:val="11"/>
                <w:szCs w:val="11"/>
                <w:color w:val="auto"/>
              </w:rPr>
            </w:pPr>
          </w:p>
        </w:tc>
        <w:tc>
          <w:tcPr>
            <w:tcW w:w="6660" w:type="dxa"/>
            <w:vAlign w:val="bottom"/>
            <w:gridSpan w:val="10"/>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5"/>
                <w:szCs w:val="5"/>
                <w:color w:val="0000FF"/>
                <w:w w:val="71"/>
              </w:rPr>
              <w:t>37</w:t>
            </w: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80" w:type="dxa"/>
            <w:vAlign w:val="bottom"/>
            <w:tcBorders>
              <w:right w:val="single" w:sz="8" w:color="0000FF"/>
            </w:tcBorders>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r>
      <w:tr>
        <w:trPr>
          <w:trHeight w:val="144"/>
        </w:trPr>
        <w:tc>
          <w:tcPr>
            <w:tcW w:w="740" w:type="dxa"/>
            <w:vAlign w:val="bottom"/>
            <w:gridSpan w:val="3"/>
            <w:shd w:val="clear" w:color="auto" w:fill="CCEEFF"/>
          </w:tcPr>
          <w:p>
            <w:pPr>
              <w:ind w:left="20"/>
              <w:spacing w:after="0" w:line="144" w:lineRule="exact"/>
              <w:rPr>
                <w:sz w:val="20"/>
                <w:szCs w:val="20"/>
                <w:color w:val="auto"/>
              </w:rPr>
            </w:pPr>
            <w:r>
              <w:rPr>
                <w:rFonts w:ascii="Arial" w:cs="Arial" w:eastAsia="Arial" w:hAnsi="Arial"/>
                <w:sz w:val="13"/>
                <w:szCs w:val="13"/>
                <w:color w:val="auto"/>
              </w:rPr>
              <w:t>Item 6.</w:t>
            </w:r>
          </w:p>
        </w:tc>
        <w:tc>
          <w:tcPr>
            <w:tcW w:w="260" w:type="dxa"/>
            <w:vAlign w:val="bottom"/>
            <w:shd w:val="clear" w:color="auto" w:fill="CCEEFF"/>
          </w:tcPr>
          <w:p>
            <w:pPr>
              <w:spacing w:after="0"/>
              <w:rPr>
                <w:sz w:val="12"/>
                <w:szCs w:val="12"/>
                <w:color w:val="auto"/>
              </w:rPr>
            </w:pPr>
          </w:p>
        </w:tc>
        <w:tc>
          <w:tcPr>
            <w:tcW w:w="940" w:type="dxa"/>
            <w:vAlign w:val="bottom"/>
            <w:gridSpan w:val="4"/>
            <w:shd w:val="clear" w:color="auto" w:fill="CCEEFF"/>
          </w:tcPr>
          <w:p>
            <w:pPr>
              <w:spacing w:after="0" w:line="144" w:lineRule="exact"/>
              <w:rPr>
                <w:sz w:val="20"/>
                <w:szCs w:val="20"/>
                <w:color w:val="auto"/>
              </w:rPr>
            </w:pPr>
            <w:r>
              <w:rPr>
                <w:rFonts w:ascii="Arial" w:cs="Arial" w:eastAsia="Arial" w:hAnsi="Arial"/>
                <w:sz w:val="13"/>
                <w:szCs w:val="13"/>
                <w:color w:val="0000FF"/>
              </w:rPr>
              <w:t>Exhibits</w:t>
            </w:r>
          </w:p>
        </w:tc>
        <w:tc>
          <w:tcPr>
            <w:tcW w:w="6980" w:type="dxa"/>
            <w:vAlign w:val="bottom"/>
            <w:gridSpan w:val="11"/>
            <w:shd w:val="clear" w:color="auto" w:fill="CCEEFF"/>
          </w:tcPr>
          <w:p>
            <w:pPr>
              <w:spacing w:after="0"/>
              <w:rPr>
                <w:sz w:val="12"/>
                <w:szCs w:val="12"/>
                <w:color w:val="auto"/>
              </w:rPr>
            </w:pPr>
          </w:p>
        </w:tc>
        <w:tc>
          <w:tcPr>
            <w:tcW w:w="22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5"/>
                <w:szCs w:val="5"/>
                <w:color w:val="0000FF"/>
                <w:w w:val="71"/>
              </w:rPr>
              <w:t>37</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2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2280" w:type="dxa"/>
            <w:vAlign w:val="bottom"/>
            <w:tcBorders>
              <w:right w:val="single" w:sz="8" w:color="0000FF"/>
            </w:tcBorders>
            <w:shd w:val="clear" w:color="auto" w:fill="CCEE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r>
      <w:tr>
        <w:trPr>
          <w:trHeight w:val="138"/>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920" w:type="dxa"/>
            <w:vAlign w:val="bottom"/>
            <w:gridSpan w:val="15"/>
          </w:tcPr>
          <w:p>
            <w:pPr>
              <w:spacing w:after="0" w:line="138" w:lineRule="exact"/>
              <w:rPr>
                <w:sz w:val="20"/>
                <w:szCs w:val="20"/>
                <w:color w:val="auto"/>
              </w:rPr>
            </w:pPr>
            <w:r>
              <w:rPr>
                <w:rFonts w:ascii="Arial" w:cs="Arial" w:eastAsia="Arial" w:hAnsi="Arial"/>
                <w:sz w:val="13"/>
                <w:szCs w:val="13"/>
                <w:color w:val="0000FF"/>
              </w:rPr>
              <w:t>Signatures</w:t>
            </w:r>
          </w:p>
        </w:tc>
        <w:tc>
          <w:tcPr>
            <w:tcW w:w="2360" w:type="dxa"/>
            <w:vAlign w:val="bottom"/>
            <w:gridSpan w:val="2"/>
          </w:tcPr>
          <w:p>
            <w:pPr>
              <w:jc w:val="right"/>
              <w:spacing w:after="0" w:line="138" w:lineRule="exact"/>
              <w:rPr>
                <w:sz w:val="20"/>
                <w:szCs w:val="20"/>
                <w:color w:val="auto"/>
              </w:rPr>
            </w:pPr>
            <w:r>
              <w:rPr>
                <w:rFonts w:ascii="Arial" w:cs="Arial" w:eastAsia="Arial" w:hAnsi="Arial"/>
                <w:sz w:val="13"/>
                <w:szCs w:val="13"/>
                <w:color w:val="0000FF"/>
              </w:rPr>
              <w:t>39</w:t>
            </w:r>
          </w:p>
        </w:tc>
      </w:tr>
      <w:tr>
        <w:trPr>
          <w:trHeight w:val="1190"/>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Forward Looking Statements</w:t>
      </w:r>
    </w:p>
    <w:p>
      <w:pPr>
        <w:spacing w:after="0" w:line="178" w:lineRule="exact"/>
        <w:rPr>
          <w:sz w:val="20"/>
          <w:szCs w:val="20"/>
          <w:color w:val="auto"/>
        </w:rPr>
      </w:pPr>
    </w:p>
    <w:p>
      <w:pPr>
        <w:jc w:val="both"/>
        <w:ind w:firstLine="254"/>
        <w:spacing w:after="0" w:line="247" w:lineRule="auto"/>
        <w:rPr>
          <w:sz w:val="20"/>
          <w:szCs w:val="20"/>
          <w:color w:val="auto"/>
        </w:rPr>
      </w:pPr>
      <w:r>
        <w:rPr>
          <w:rFonts w:ascii="Arial" w:cs="Arial" w:eastAsia="Arial" w:hAnsi="Arial"/>
          <w:sz w:val="13"/>
          <w:szCs w:val="13"/>
          <w:color w:val="auto"/>
        </w:rPr>
        <w:t>This Quarterly Report on Form 10-Q contains forward looking statements that are subject to risks and uncertainties. All statements other than statements of historical fact included in this Quarterly Report on Form 10-Q are forward looking statements. Forward looking statements include our current expectations and projections relating to our financial condition, results of operations,</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plans, objectives, future performance and business. You can identify forward 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w:t>
      </w:r>
    </w:p>
    <w:p>
      <w:pPr>
        <w:spacing w:after="0"/>
        <w:rPr>
          <w:sz w:val="20"/>
          <w:szCs w:val="20"/>
          <w:color w:val="auto"/>
        </w:rPr>
      </w:pPr>
      <w:r>
        <w:rPr>
          <w:rFonts w:ascii="Arial" w:cs="Arial" w:eastAsia="Arial" w:hAnsi="Arial"/>
          <w:sz w:val="13"/>
          <w:szCs w:val="13"/>
          <w:color w:val="auto"/>
        </w:rPr>
        <w:t>any discussion of the timing or nature of future cash flows, operating or financial performance or other events. These forward looking statements are not historical facts, and are based on current</w:t>
      </w:r>
    </w:p>
    <w:p>
      <w:pPr>
        <w:jc w:val="both"/>
        <w:spacing w:after="0" w:line="248" w:lineRule="auto"/>
        <w:rPr>
          <w:sz w:val="20"/>
          <w:szCs w:val="20"/>
          <w:color w:val="auto"/>
        </w:rPr>
      </w:pPr>
      <w:r>
        <w:rPr>
          <w:rFonts w:ascii="Arial" w:cs="Arial" w:eastAsia="Arial" w:hAnsi="Arial"/>
          <w:sz w:val="12"/>
          <w:szCs w:val="12"/>
          <w:color w:val="auto"/>
        </w:rPr>
        <w:t>expectations, estimates and projections about our industry and Company, management’s beliefs and certain assumptions made by management, many of which, by their nature, are inherently uncertain and beyond our control. Accordingly, readers are cautioned that any such forward looking statements are not guarantees of future performance and are subject to certain risks, uncertainties</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4"/>
          <w:szCs w:val="14"/>
          <w:color w:val="auto"/>
        </w:rPr>
        <w:t>and assumptions that are difficult to predict. Although we believe that the expectations reflected in such forward looking statements are reasonable as of the date made, results may prove to be materially different. Unless otherwise required by law, we disclaim any obligation to update our view of any such risks or uncertainties or to announce publicly the result of any revisions to the forward-looking statements made in this report.</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Factors that could cause our actual results and our financial condition to differ materially from those indicated in our forward looking statements include, but are not limited to, the following:</w:t>
      </w:r>
    </w:p>
    <w:p>
      <w:pPr>
        <w:spacing w:after="0" w:line="206" w:lineRule="exact"/>
        <w:rPr>
          <w:sz w:val="20"/>
          <w:szCs w:val="20"/>
          <w:color w:val="auto"/>
        </w:rPr>
      </w:pPr>
    </w:p>
    <w:p>
      <w:pPr>
        <w:ind w:left="500" w:hanging="241"/>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4"/>
          <w:szCs w:val="14"/>
          <w:color w:val="auto"/>
        </w:rPr>
        <w:t>trends in the cannabis industry and SpringBig’s market size, including with respect to the potential total addressable market in the industry;</w:t>
      </w:r>
    </w:p>
    <w:p>
      <w:pPr>
        <w:spacing w:after="0" w:line="8" w:lineRule="exact"/>
        <w:rPr>
          <w:rFonts w:ascii="Arial" w:cs="Arial" w:eastAsia="Arial" w:hAnsi="Arial"/>
          <w:sz w:val="17"/>
          <w:szCs w:val="17"/>
          <w:color w:val="auto"/>
        </w:rPr>
      </w:pPr>
    </w:p>
    <w:p>
      <w:pPr>
        <w:ind w:left="500" w:hanging="241"/>
        <w:spacing w:after="0" w:line="224"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4"/>
          <w:szCs w:val="14"/>
          <w:color w:val="auto"/>
        </w:rPr>
        <w:t>SpringBig’s growth prospects;</w:t>
      </w:r>
    </w:p>
    <w:p>
      <w:pPr>
        <w:spacing w:after="0" w:line="8" w:lineRule="exact"/>
        <w:rPr>
          <w:rFonts w:ascii="Arial" w:cs="Arial" w:eastAsia="Arial" w:hAnsi="Arial"/>
          <w:sz w:val="17"/>
          <w:szCs w:val="17"/>
          <w:color w:val="auto"/>
        </w:rPr>
      </w:pPr>
    </w:p>
    <w:p>
      <w:pPr>
        <w:ind w:left="500" w:hanging="241"/>
        <w:spacing w:after="0" w:line="224"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4"/>
          <w:szCs w:val="14"/>
          <w:color w:val="auto"/>
        </w:rPr>
        <w:t>new product and service offerings SpringBig may introduce in the future;</w:t>
      </w:r>
    </w:p>
    <w:p>
      <w:pPr>
        <w:spacing w:after="0" w:line="11" w:lineRule="exact"/>
        <w:rPr>
          <w:rFonts w:ascii="Arial" w:cs="Arial" w:eastAsia="Arial" w:hAnsi="Arial"/>
          <w:sz w:val="17"/>
          <w:szCs w:val="17"/>
          <w:color w:val="auto"/>
        </w:rPr>
      </w:pPr>
    </w:p>
    <w:p>
      <w:pPr>
        <w:ind w:left="520" w:hanging="261"/>
        <w:spacing w:after="0" w:line="228" w:lineRule="auto"/>
        <w:tabs>
          <w:tab w:leader="none" w:pos="516" w:val="left"/>
        </w:tabs>
        <w:numPr>
          <w:ilvl w:val="0"/>
          <w:numId w:val="3"/>
        </w:numPr>
        <w:rPr>
          <w:rFonts w:ascii="Arial" w:cs="Arial" w:eastAsia="Arial" w:hAnsi="Arial"/>
          <w:sz w:val="17"/>
          <w:szCs w:val="17"/>
          <w:color w:val="auto"/>
        </w:rPr>
      </w:pPr>
      <w:r>
        <w:rPr>
          <w:rFonts w:ascii="Arial" w:cs="Arial" w:eastAsia="Arial" w:hAnsi="Arial"/>
          <w:sz w:val="14"/>
          <w:szCs w:val="14"/>
          <w:color w:val="auto"/>
        </w:rPr>
        <w:t>the price of SpringBig’s securities, including volatility resulting from changes in the competitive and highly regulated industry in which SpringBig operates and plans to operate, variations in performance across competitors, changes in laws and regulations affecting SpringBig’s business and changes in the combined capital structure;</w:t>
      </w:r>
    </w:p>
    <w:p>
      <w:pPr>
        <w:spacing w:after="0" w:line="7" w:lineRule="exact"/>
        <w:rPr>
          <w:rFonts w:ascii="Arial" w:cs="Arial" w:eastAsia="Arial" w:hAnsi="Arial"/>
          <w:sz w:val="17"/>
          <w:szCs w:val="17"/>
          <w:color w:val="auto"/>
        </w:rPr>
      </w:pPr>
    </w:p>
    <w:p>
      <w:pPr>
        <w:ind w:left="500" w:hanging="241"/>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3"/>
          <w:szCs w:val="13"/>
          <w:color w:val="auto"/>
        </w:rPr>
        <w:t>the ability to implement business plans, forecasts, and other expectations after the completion of the proposed business combination, and identify and realize additional opportunities; and</w:t>
      </w:r>
    </w:p>
    <w:p>
      <w:pPr>
        <w:spacing w:after="0" w:line="8" w:lineRule="exact"/>
        <w:rPr>
          <w:rFonts w:ascii="Arial" w:cs="Arial" w:eastAsia="Arial" w:hAnsi="Arial"/>
          <w:sz w:val="16"/>
          <w:szCs w:val="16"/>
          <w:color w:val="auto"/>
        </w:rPr>
      </w:pPr>
    </w:p>
    <w:p>
      <w:pPr>
        <w:ind w:left="500" w:hanging="241"/>
        <w:spacing w:after="0" w:line="224"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4"/>
          <w:szCs w:val="14"/>
          <w:color w:val="auto"/>
        </w:rPr>
        <w:t>other risks and uncertainties indicated from time to time in filings made with the Securities and Exchange Commission (the “SEC”).</w:t>
      </w:r>
    </w:p>
    <w:p>
      <w:pPr>
        <w:spacing w:after="0" w:line="160"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2"/>
          <w:szCs w:val="12"/>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made by the management of SpringBig prove incorrect, actual results may vary in material respects from those projected in these</w:t>
      </w:r>
    </w:p>
    <w:p>
      <w:pPr>
        <w:jc w:val="both"/>
        <w:spacing w:after="0" w:line="227" w:lineRule="auto"/>
        <w:rPr>
          <w:sz w:val="20"/>
          <w:szCs w:val="20"/>
          <w:color w:val="auto"/>
        </w:rPr>
      </w:pPr>
      <w:r>
        <w:rPr>
          <w:rFonts w:ascii="Arial" w:cs="Arial" w:eastAsia="Arial" w:hAnsi="Arial"/>
          <w:sz w:val="14"/>
          <w:szCs w:val="14"/>
          <w:color w:val="auto"/>
        </w:rPr>
        <w:t>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www.sec.gov.</w:t>
      </w:r>
    </w:p>
    <w:p>
      <w:pPr>
        <w:spacing w:after="0" w:line="160" w:lineRule="exact"/>
        <w:rPr>
          <w:sz w:val="20"/>
          <w:szCs w:val="20"/>
          <w:color w:val="auto"/>
        </w:rPr>
      </w:pPr>
    </w:p>
    <w:p>
      <w:pPr>
        <w:jc w:val="both"/>
        <w:ind w:firstLine="254"/>
        <w:spacing w:after="0" w:line="249" w:lineRule="auto"/>
        <w:rPr>
          <w:sz w:val="20"/>
          <w:szCs w:val="20"/>
          <w:color w:val="auto"/>
        </w:rPr>
      </w:pPr>
      <w:r>
        <w:rPr>
          <w:rFonts w:ascii="Arial" w:cs="Arial" w:eastAsia="Arial" w:hAnsi="Arial"/>
          <w:sz w:val="14"/>
          <w:szCs w:val="14"/>
          <w:color w:val="auto"/>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145415</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5"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Item 1. Financial Statements</w:t>
      </w:r>
    </w:p>
    <w:p>
      <w:pPr>
        <w:jc w:val="center"/>
        <w:spacing w:after="0" w:line="237" w:lineRule="auto"/>
        <w:rPr>
          <w:sz w:val="20"/>
          <w:szCs w:val="20"/>
          <w:color w:val="auto"/>
        </w:rPr>
      </w:pPr>
      <w:r>
        <w:rPr>
          <w:rFonts w:ascii="Arial" w:cs="Arial" w:eastAsia="Arial" w:hAnsi="Arial"/>
          <w:sz w:val="14"/>
          <w:szCs w:val="14"/>
          <w:b w:val="1"/>
          <w:bCs w:val="1"/>
          <w:color w:val="auto"/>
        </w:rPr>
        <w:t>SPRINGBIG HOLDINGS, INC.</w:t>
      </w: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3"/>
                <w:szCs w:val="13"/>
                <w:b w:val="1"/>
                <w:bCs w:val="1"/>
                <w:color w:val="auto"/>
              </w:rPr>
              <w:t>September 30, 2022</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270"/>
              <w:spacing w:after="0"/>
              <w:rPr>
                <w:sz w:val="20"/>
                <w:szCs w:val="20"/>
                <w:color w:val="auto"/>
              </w:rPr>
            </w:pPr>
            <w:r>
              <w:rPr>
                <w:rFonts w:ascii="Arial" w:cs="Arial" w:eastAsia="Arial" w:hAnsi="Arial"/>
                <w:sz w:val="13"/>
                <w:szCs w:val="13"/>
                <w:b w:val="1"/>
                <w:bCs w:val="1"/>
                <w:color w:val="auto"/>
                <w:w w:val="97"/>
              </w:rPr>
              <w:t>December 31, 2021</w:t>
            </w:r>
          </w:p>
        </w:tc>
      </w:tr>
      <w:tr>
        <w:trPr>
          <w:trHeight w:val="143"/>
        </w:trPr>
        <w:tc>
          <w:tcPr>
            <w:tcW w:w="78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431"/>
              <w:spacing w:after="0"/>
              <w:rPr>
                <w:sz w:val="20"/>
                <w:szCs w:val="20"/>
                <w:color w:val="auto"/>
              </w:rPr>
            </w:pPr>
            <w:r>
              <w:rPr>
                <w:rFonts w:ascii="Arial" w:cs="Arial" w:eastAsia="Arial" w:hAnsi="Arial"/>
                <w:sz w:val="11"/>
                <w:szCs w:val="11"/>
                <w:b w:val="1"/>
                <w:bCs w:val="1"/>
                <w:color w:val="auto"/>
              </w:rPr>
              <w:t>(unaudited)</w:t>
            </w: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jc w:val="right"/>
              <w:ind w:right="750"/>
              <w:spacing w:after="0"/>
              <w:rPr>
                <w:sz w:val="20"/>
                <w:szCs w:val="20"/>
                <w:color w:val="auto"/>
              </w:rPr>
            </w:pPr>
            <w:r>
              <w:rPr>
                <w:rFonts w:ascii="Arial" w:cs="Arial" w:eastAsia="Arial" w:hAnsi="Arial"/>
                <w:sz w:val="11"/>
                <w:szCs w:val="11"/>
                <w:color w:val="auto"/>
              </w:rPr>
              <w:t>*</w:t>
            </w:r>
          </w:p>
        </w:tc>
      </w:tr>
      <w:tr>
        <w:trPr>
          <w:trHeight w:val="186"/>
        </w:trPr>
        <w:tc>
          <w:tcPr>
            <w:tcW w:w="7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60" w:type="dxa"/>
            <w:vAlign w:val="bottom"/>
            <w:gridSpan w:val="4"/>
            <w:shd w:val="clear" w:color="auto" w:fill="CCEEFF"/>
          </w:tcPr>
          <w:p>
            <w:pPr>
              <w:jc w:val="right"/>
              <w:ind w:right="850"/>
              <w:spacing w:after="0"/>
              <w:rPr>
                <w:sz w:val="20"/>
                <w:szCs w:val="20"/>
                <w:color w:val="auto"/>
              </w:rPr>
            </w:pPr>
            <w:r>
              <w:rPr>
                <w:rFonts w:ascii="Arial" w:cs="Arial" w:eastAsia="Arial" w:hAnsi="Arial"/>
                <w:sz w:val="11"/>
                <w:szCs w:val="11"/>
                <w:b w:val="1"/>
                <w:bCs w:val="1"/>
                <w:color w:val="auto"/>
              </w:rPr>
              <w:t>(In thousands except share data)</w:t>
            </w:r>
          </w:p>
        </w:tc>
      </w:tr>
      <w:tr>
        <w:trPr>
          <w:trHeight w:val="180"/>
        </w:trPr>
        <w:tc>
          <w:tcPr>
            <w:tcW w:w="7860" w:type="dxa"/>
            <w:vAlign w:val="bottom"/>
          </w:tcPr>
          <w:p>
            <w:pPr>
              <w:ind w:left="366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7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6,806</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w:t>
            </w:r>
          </w:p>
        </w:tc>
      </w:tr>
      <w:tr>
        <w:trPr>
          <w:trHeight w:val="180"/>
        </w:trPr>
        <w:tc>
          <w:tcPr>
            <w:tcW w:w="7860" w:type="dxa"/>
            <w:vAlign w:val="bottom"/>
          </w:tcPr>
          <w:p>
            <w:pPr>
              <w:ind w:left="10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4,727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3,045</w:t>
            </w:r>
          </w:p>
        </w:tc>
      </w:tr>
      <w:tr>
        <w:trPr>
          <w:trHeight w:val="180"/>
        </w:trPr>
        <w:tc>
          <w:tcPr>
            <w:tcW w:w="7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Contract assets</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r>
      <w:tr>
        <w:trPr>
          <w:trHeight w:val="180"/>
        </w:trPr>
        <w:tc>
          <w:tcPr>
            <w:tcW w:w="78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2,425</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w:t>
            </w:r>
          </w:p>
        </w:tc>
      </w:tr>
      <w:tr>
        <w:trPr>
          <w:trHeight w:val="17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14,306</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6,563</w:t>
            </w: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434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480</w:t>
            </w: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note receivable</w:t>
            </w: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860" w:type="dxa"/>
            <w:vAlign w:val="bottom"/>
          </w:tcPr>
          <w:p>
            <w:pPr>
              <w:ind w:left="180"/>
              <w:spacing w:after="0" w:line="160" w:lineRule="exact"/>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14,996</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7,043</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63"/>
        </w:trPr>
        <w:tc>
          <w:tcPr>
            <w:tcW w:w="7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7860" w:type="dxa"/>
            <w:vAlign w:val="bottom"/>
          </w:tcPr>
          <w:p>
            <w:pPr>
              <w:ind w:left="240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r>
      <w:tr>
        <w:trPr>
          <w:trHeight w:val="180"/>
        </w:trPr>
        <w:tc>
          <w:tcPr>
            <w:tcW w:w="7860" w:type="dxa"/>
            <w:vAlign w:val="bottom"/>
          </w:tcPr>
          <w:p>
            <w:pPr>
              <w:ind w:left="180"/>
              <w:spacing w:after="0"/>
              <w:rPr>
                <w:sz w:val="20"/>
                <w:szCs w:val="20"/>
                <w:color w:val="auto"/>
              </w:rPr>
            </w:pPr>
            <w:r>
              <w:rPr>
                <w:rFonts w:ascii="Arial" w:cs="Arial" w:eastAsia="Arial" w:hAnsi="Arial"/>
                <w:sz w:val="14"/>
                <w:szCs w:val="14"/>
                <w:color w:val="auto"/>
              </w:rPr>
              <w:t>Accrued expense and other current liabilities</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2,518</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1,722</w:t>
            </w:r>
          </w:p>
        </w:tc>
      </w:tr>
      <w:tr>
        <w:trPr>
          <w:trHeight w:val="180"/>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w:t>
            </w:r>
          </w:p>
        </w:tc>
      </w:tr>
      <w:tr>
        <w:trPr>
          <w:trHeight w:val="17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9,093</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w:t>
            </w:r>
          </w:p>
        </w:tc>
      </w:tr>
      <w:tr>
        <w:trPr>
          <w:trHeight w:val="180"/>
        </w:trPr>
        <w:tc>
          <w:tcPr>
            <w:tcW w:w="7860" w:type="dxa"/>
            <w:vAlign w:val="bottom"/>
          </w:tcPr>
          <w:p>
            <w:pPr>
              <w:ind w:left="100"/>
              <w:spacing w:after="0"/>
              <w:rPr>
                <w:sz w:val="20"/>
                <w:szCs w:val="20"/>
                <w:color w:val="auto"/>
              </w:rPr>
            </w:pPr>
            <w:r>
              <w:rPr>
                <w:rFonts w:ascii="Arial" w:cs="Arial" w:eastAsia="Arial" w:hAnsi="Arial"/>
                <w:sz w:val="14"/>
                <w:szCs w:val="14"/>
                <w:color w:val="auto"/>
              </w:rPr>
              <w:t>Notes payable</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5,000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Warrant liabilities</w:t>
            </w: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860" w:type="dxa"/>
            <w:vAlign w:val="bottom"/>
            <w:tcBorders>
              <w:bottom w:val="single" w:sz="8" w:color="CCEEFF"/>
            </w:tcBorders>
          </w:tcPr>
          <w:p>
            <w:pPr>
              <w:ind w:left="20"/>
              <w:spacing w:after="0" w:line="160" w:lineRule="exact"/>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14,898</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2,584</w:t>
            </w:r>
          </w:p>
        </w:tc>
      </w:tr>
      <w:tr>
        <w:trPr>
          <w:trHeight w:val="97"/>
        </w:trPr>
        <w:tc>
          <w:tcPr>
            <w:tcW w:w="78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85"/>
        </w:trPr>
        <w:tc>
          <w:tcPr>
            <w:tcW w:w="78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38"/>
        </w:trPr>
        <w:tc>
          <w:tcPr>
            <w:tcW w:w="78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7"/>
              </w:rPr>
              <w:t xml:space="preserve">Common stock (par value </w:t>
            </w:r>
            <w:r>
              <w:rPr>
                <w:rFonts w:ascii="Arial" w:cs="Arial" w:eastAsia="Arial" w:hAnsi="Arial"/>
                <w:sz w:val="11"/>
                <w:szCs w:val="11"/>
                <w:color w:val="auto"/>
                <w:w w:val="97"/>
              </w:rPr>
              <w:t>$0.0001</w:t>
            </w:r>
            <w:r>
              <w:rPr>
                <w:rFonts w:ascii="Arial" w:cs="Arial" w:eastAsia="Arial" w:hAnsi="Arial"/>
                <w:sz w:val="14"/>
                <w:szCs w:val="14"/>
                <w:color w:val="auto"/>
                <w:w w:val="97"/>
              </w:rPr>
              <w:t xml:space="preserve"> per share, </w:t>
            </w:r>
            <w:r>
              <w:rPr>
                <w:rFonts w:ascii="Arial" w:cs="Arial" w:eastAsia="Arial" w:hAnsi="Arial"/>
                <w:sz w:val="11"/>
                <w:szCs w:val="11"/>
                <w:color w:val="auto"/>
                <w:w w:val="97"/>
              </w:rPr>
              <w:t>300,000,000</w:t>
            </w:r>
            <w:r>
              <w:rPr>
                <w:rFonts w:ascii="Arial" w:cs="Arial" w:eastAsia="Arial" w:hAnsi="Arial"/>
                <w:sz w:val="14"/>
                <w:szCs w:val="14"/>
                <w:color w:val="auto"/>
                <w:w w:val="97"/>
              </w:rPr>
              <w:t xml:space="preserve"> authorized at September 30, 2022; </w:t>
            </w:r>
            <w:r>
              <w:rPr>
                <w:rFonts w:ascii="Arial" w:cs="Arial" w:eastAsia="Arial" w:hAnsi="Arial"/>
                <w:sz w:val="11"/>
                <w:szCs w:val="11"/>
                <w:color w:val="auto"/>
                <w:w w:val="97"/>
              </w:rPr>
              <w:t>26,211,914</w:t>
            </w:r>
            <w:r>
              <w:rPr>
                <w:rFonts w:ascii="Arial" w:cs="Arial" w:eastAsia="Arial" w:hAnsi="Arial"/>
                <w:sz w:val="14"/>
                <w:szCs w:val="14"/>
                <w:color w:val="auto"/>
                <w:w w:val="97"/>
              </w:rPr>
              <w:t xml:space="preserve"> issued and outstanding as of</w:t>
            </w:r>
          </w:p>
        </w:tc>
        <w:tc>
          <w:tcPr>
            <w:tcW w:w="1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r>
      <w:tr>
        <w:trPr>
          <w:trHeight w:val="148"/>
        </w:trPr>
        <w:tc>
          <w:tcPr>
            <w:tcW w:w="7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 xml:space="preserve">September 30, 2022; (par value </w:t>
            </w:r>
            <w:r>
              <w:rPr>
                <w:rFonts w:ascii="Arial" w:cs="Arial" w:eastAsia="Arial" w:hAnsi="Arial"/>
                <w:sz w:val="11"/>
                <w:szCs w:val="11"/>
                <w:color w:val="auto"/>
                <w:w w:val="94"/>
              </w:rPr>
              <w:t>$0.0001</w:t>
            </w:r>
            <w:r>
              <w:rPr>
                <w:rFonts w:ascii="Arial" w:cs="Arial" w:eastAsia="Arial" w:hAnsi="Arial"/>
                <w:sz w:val="14"/>
                <w:szCs w:val="14"/>
                <w:color w:val="auto"/>
                <w:w w:val="94"/>
              </w:rPr>
              <w:t xml:space="preserve"> per share, </w:t>
            </w:r>
            <w:r>
              <w:rPr>
                <w:rFonts w:ascii="Arial" w:cs="Arial" w:eastAsia="Arial" w:hAnsi="Arial"/>
                <w:sz w:val="11"/>
                <w:szCs w:val="11"/>
                <w:color w:val="auto"/>
                <w:w w:val="94"/>
              </w:rPr>
              <w:t>22,764,527</w:t>
            </w:r>
            <w:r>
              <w:rPr>
                <w:rFonts w:ascii="Arial" w:cs="Arial" w:eastAsia="Arial" w:hAnsi="Arial"/>
                <w:sz w:val="14"/>
                <w:szCs w:val="14"/>
                <w:color w:val="auto"/>
                <w:w w:val="94"/>
              </w:rPr>
              <w:t xml:space="preserve"> authorized at December 31, 2021; </w:t>
            </w:r>
            <w:r>
              <w:rPr>
                <w:rFonts w:ascii="Arial" w:cs="Arial" w:eastAsia="Arial" w:hAnsi="Arial"/>
                <w:sz w:val="11"/>
                <w:szCs w:val="11"/>
                <w:color w:val="auto"/>
                <w:w w:val="94"/>
              </w:rPr>
              <w:t>17,862,108</w:t>
            </w:r>
            <w:r>
              <w:rPr>
                <w:rFonts w:ascii="Arial" w:cs="Arial" w:eastAsia="Arial" w:hAnsi="Arial"/>
                <w:sz w:val="14"/>
                <w:szCs w:val="14"/>
                <w:color w:val="auto"/>
                <w:w w:val="94"/>
              </w:rPr>
              <w:t xml:space="preserve"> issued and outstanding as of</w:t>
            </w: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91"/>
        </w:trPr>
        <w:tc>
          <w:tcPr>
            <w:tcW w:w="7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December 31, 2021;</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0"/>
        </w:trPr>
        <w:tc>
          <w:tcPr>
            <w:tcW w:w="7860" w:type="dxa"/>
            <w:vAlign w:val="bottom"/>
          </w:tcPr>
          <w:p>
            <w:pPr>
              <w:ind w:left="100"/>
              <w:spacing w:after="0"/>
              <w:rPr>
                <w:sz w:val="20"/>
                <w:szCs w:val="20"/>
                <w:color w:val="auto"/>
              </w:rPr>
            </w:pPr>
            <w:r>
              <w:rPr>
                <w:rFonts w:ascii="Arial" w:cs="Arial" w:eastAsia="Arial" w:hAnsi="Arial"/>
                <w:sz w:val="14"/>
                <w:szCs w:val="14"/>
                <w:color w:val="auto"/>
              </w:rPr>
              <w:t>Additional paid-in-capital</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21,855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17,682</w:t>
            </w:r>
          </w:p>
        </w:tc>
      </w:tr>
      <w:tr>
        <w:trPr>
          <w:trHeight w:val="180"/>
        </w:trPr>
        <w:tc>
          <w:tcPr>
            <w:tcW w:w="7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(21,760)</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(13,225)</w:t>
            </w:r>
          </w:p>
        </w:tc>
      </w:tr>
      <w:tr>
        <w:trPr>
          <w:trHeight w:val="171"/>
        </w:trPr>
        <w:tc>
          <w:tcPr>
            <w:tcW w:w="7860" w:type="dxa"/>
            <w:vAlign w:val="bottom"/>
            <w:tcBorders>
              <w:bottom w:val="single" w:sz="8" w:color="CCEEFF"/>
            </w:tcBorders>
          </w:tcPr>
          <w:p>
            <w:pPr>
              <w:ind w:left="20"/>
              <w:spacing w:after="0" w:line="160" w:lineRule="exact"/>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4,459</w:t>
            </w:r>
          </w:p>
        </w:tc>
      </w:tr>
      <w:tr>
        <w:trPr>
          <w:trHeight w:val="196"/>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14,996</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8"/>
          <w:szCs w:val="8"/>
          <w:color w:val="auto"/>
        </w:rPr>
        <w:t>*Derived from 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w:t>
      </w:r>
    </w:p>
    <w:p>
      <w:pPr>
        <w:spacing w:after="0" w:line="1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08"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SPRINGBIG HOLDINGS,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(UNAUDITED)</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780" w:type="dxa"/>
            <w:vAlign w:val="bottom"/>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September 30, 2022</w:t>
            </w:r>
          </w:p>
        </w:tc>
        <w:tc>
          <w:tcPr>
            <w:tcW w:w="200" w:type="dxa"/>
            <w:vAlign w:val="bottom"/>
            <w:shd w:val="clear" w:color="auto" w:fill="CCEEFF"/>
          </w:tcPr>
          <w:p>
            <w:pPr>
              <w:spacing w:after="0"/>
              <w:rPr>
                <w:sz w:val="15"/>
                <w:szCs w:val="15"/>
                <w:color w:val="auto"/>
              </w:rPr>
            </w:pPr>
          </w:p>
        </w:tc>
        <w:tc>
          <w:tcPr>
            <w:tcW w:w="2540" w:type="dxa"/>
            <w:vAlign w:val="bottom"/>
            <w:gridSpan w:val="4"/>
            <w:shd w:val="clear" w:color="auto" w:fill="CCEEFF"/>
          </w:tcPr>
          <w:p>
            <w:pPr>
              <w:jc w:val="right"/>
              <w:ind w:right="249"/>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80"/>
        </w:trPr>
        <w:tc>
          <w:tcPr>
            <w:tcW w:w="56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50"/>
        </w:trPr>
        <w:tc>
          <w:tcPr>
            <w:tcW w:w="5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740" w:type="dxa"/>
            <w:vAlign w:val="bottom"/>
            <w:gridSpan w:val="5"/>
            <w:shd w:val="clear" w:color="auto" w:fill="CCEEFF"/>
          </w:tcPr>
          <w:p>
            <w:pPr>
              <w:ind w:left="80"/>
              <w:spacing w:after="0"/>
              <w:rPr>
                <w:sz w:val="20"/>
                <w:szCs w:val="20"/>
                <w:color w:val="auto"/>
              </w:rPr>
            </w:pPr>
            <w:r>
              <w:rPr>
                <w:rFonts w:ascii="Arial" w:cs="Arial" w:eastAsia="Arial" w:hAnsi="Arial"/>
                <w:sz w:val="11"/>
                <w:szCs w:val="11"/>
                <w:b w:val="1"/>
                <w:bCs w:val="1"/>
                <w:color w:val="auto"/>
              </w:rPr>
              <w:t>(In thousands, except share and per share data)</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7,456</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20,404</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17,028</w:t>
            </w:r>
          </w:p>
        </w:tc>
        <w:tc>
          <w:tcPr>
            <w:tcW w:w="0" w:type="dxa"/>
            <w:vAlign w:val="bottom"/>
          </w:tcPr>
          <w:p>
            <w:pPr>
              <w:spacing w:after="0"/>
              <w:rPr>
                <w:sz w:val="1"/>
                <w:szCs w:val="1"/>
                <w:color w:val="auto"/>
              </w:rPr>
            </w:pPr>
          </w:p>
        </w:tc>
      </w:tr>
      <w:tr>
        <w:trPr>
          <w:trHeight w:val="18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revenues</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1,912</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1,560</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5,754</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4,913</w:t>
            </w:r>
          </w:p>
        </w:tc>
        <w:tc>
          <w:tcPr>
            <w:tcW w:w="0" w:type="dxa"/>
            <w:vAlign w:val="bottom"/>
          </w:tcPr>
          <w:p>
            <w:pPr>
              <w:spacing w:after="0"/>
              <w:rPr>
                <w:sz w:val="1"/>
                <w:szCs w:val="1"/>
                <w:color w:val="auto"/>
              </w:rPr>
            </w:pPr>
          </w:p>
        </w:tc>
      </w:tr>
      <w:tr>
        <w:trPr>
          <w:trHeight w:val="171"/>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5,544</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4,561</w:t>
            </w:r>
          </w:p>
        </w:tc>
        <w:tc>
          <w:tcPr>
            <w:tcW w:w="1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14,650</w:t>
            </w:r>
          </w:p>
        </w:tc>
        <w:tc>
          <w:tcPr>
            <w:tcW w:w="14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12,115</w:t>
            </w:r>
          </w:p>
        </w:tc>
        <w:tc>
          <w:tcPr>
            <w:tcW w:w="0" w:type="dxa"/>
            <w:vAlign w:val="bottom"/>
          </w:tcPr>
          <w:p>
            <w:pPr>
              <w:spacing w:after="0"/>
              <w:rPr>
                <w:sz w:val="1"/>
                <w:szCs w:val="1"/>
                <w:color w:val="auto"/>
              </w:rPr>
            </w:pPr>
          </w:p>
        </w:tc>
      </w:tr>
      <w:tr>
        <w:trPr>
          <w:trHeight w:val="160"/>
        </w:trPr>
        <w:tc>
          <w:tcPr>
            <w:tcW w:w="5640" w:type="dxa"/>
            <w:vAlign w:val="bottom"/>
          </w:tcPr>
          <w:p>
            <w:pPr>
              <w:ind w:left="20"/>
              <w:spacing w:after="0" w:line="160" w:lineRule="exact"/>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Selling, servicing and marketing</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9,103</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6,993</w:t>
            </w:r>
          </w:p>
        </w:tc>
        <w:tc>
          <w:tcPr>
            <w:tcW w:w="0" w:type="dxa"/>
            <w:vAlign w:val="bottom"/>
          </w:tcPr>
          <w:p>
            <w:pPr>
              <w:spacing w:after="0"/>
              <w:rPr>
                <w:sz w:val="1"/>
                <w:szCs w:val="1"/>
                <w:color w:val="auto"/>
              </w:rPr>
            </w:pPr>
          </w:p>
        </w:tc>
      </w:tr>
      <w:tr>
        <w:trPr>
          <w:trHeight w:val="180"/>
        </w:trPr>
        <w:tc>
          <w:tcPr>
            <w:tcW w:w="5640" w:type="dxa"/>
            <w:vAlign w:val="bottom"/>
          </w:tcPr>
          <w:p>
            <w:pPr>
              <w:ind w:left="80"/>
              <w:spacing w:after="0"/>
              <w:rPr>
                <w:sz w:val="20"/>
                <w:szCs w:val="20"/>
                <w:color w:val="auto"/>
              </w:rPr>
            </w:pPr>
            <w:r>
              <w:rPr>
                <w:rFonts w:ascii="Arial" w:cs="Arial" w:eastAsia="Arial" w:hAnsi="Arial"/>
                <w:sz w:val="14"/>
                <w:szCs w:val="14"/>
                <w:color w:val="auto"/>
              </w:rPr>
              <w:t>Technology and software development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2,811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1,916</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8,358</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4,747</w:t>
            </w:r>
          </w:p>
        </w:tc>
        <w:tc>
          <w:tcPr>
            <w:tcW w:w="0" w:type="dxa"/>
            <w:vAlign w:val="bottom"/>
          </w:tcPr>
          <w:p>
            <w:pPr>
              <w:spacing w:after="0"/>
              <w:rPr>
                <w:sz w:val="1"/>
                <w:szCs w:val="1"/>
                <w:color w:val="auto"/>
              </w:rPr>
            </w:pPr>
          </w:p>
        </w:tc>
      </w:tr>
      <w:tr>
        <w:trPr>
          <w:trHeight w:val="180"/>
        </w:trPr>
        <w:tc>
          <w:tcPr>
            <w:tcW w:w="5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General and administrative</w:t>
            </w:r>
          </w:p>
        </w:tc>
        <w:tc>
          <w:tcPr>
            <w:tcW w:w="1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3,215</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1,510</w:t>
            </w:r>
          </w:p>
        </w:tc>
        <w:tc>
          <w:tcPr>
            <w:tcW w:w="1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8,790</w:t>
            </w:r>
          </w:p>
        </w:tc>
        <w:tc>
          <w:tcPr>
            <w:tcW w:w="1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4,383</w:t>
            </w:r>
          </w:p>
        </w:tc>
        <w:tc>
          <w:tcPr>
            <w:tcW w:w="0" w:type="dxa"/>
            <w:vAlign w:val="bottom"/>
          </w:tcPr>
          <w:p>
            <w:pPr>
              <w:spacing w:after="0"/>
              <w:rPr>
                <w:sz w:val="1"/>
                <w:szCs w:val="1"/>
                <w:color w:val="auto"/>
              </w:rPr>
            </w:pPr>
          </w:p>
        </w:tc>
      </w:tr>
      <w:tr>
        <w:trPr>
          <w:trHeight w:val="171"/>
        </w:trPr>
        <w:tc>
          <w:tcPr>
            <w:tcW w:w="5640" w:type="dxa"/>
            <w:vAlign w:val="bottom"/>
            <w:tcBorders>
              <w:bottom w:val="single" w:sz="8" w:color="CCEEFF"/>
            </w:tcBorders>
          </w:tcPr>
          <w:p>
            <w:pPr>
              <w:ind w:left="20"/>
              <w:spacing w:after="0" w:line="160"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9,101</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5,996</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26,251</w:t>
            </w: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16,123</w:t>
            </w:r>
          </w:p>
        </w:tc>
        <w:tc>
          <w:tcPr>
            <w:tcW w:w="0" w:type="dxa"/>
            <w:vAlign w:val="bottom"/>
          </w:tcPr>
          <w:p>
            <w:pPr>
              <w:spacing w:after="0"/>
              <w:rPr>
                <w:sz w:val="1"/>
                <w:szCs w:val="1"/>
                <w:color w:val="auto"/>
              </w:rPr>
            </w:pPr>
          </w:p>
        </w:tc>
      </w:tr>
      <w:tr>
        <w:trPr>
          <w:trHeight w:val="65"/>
        </w:trPr>
        <w:tc>
          <w:tcPr>
            <w:tcW w:w="5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564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(3,557)</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(1,435)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(11,601)</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(4,008)</w:t>
            </w:r>
          </w:p>
        </w:tc>
        <w:tc>
          <w:tcPr>
            <w:tcW w:w="0" w:type="dxa"/>
            <w:vAlign w:val="bottom"/>
          </w:tcPr>
          <w:p>
            <w:pPr>
              <w:spacing w:after="0"/>
              <w:rPr>
                <w:sz w:val="1"/>
                <w:szCs w:val="1"/>
                <w:color w:val="auto"/>
              </w:rPr>
            </w:pPr>
          </w:p>
        </w:tc>
      </w:tr>
      <w:tr>
        <w:trPr>
          <w:trHeight w:val="180"/>
        </w:trPr>
        <w:tc>
          <w:tcPr>
            <w:tcW w:w="5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5640" w:type="dxa"/>
            <w:vAlign w:val="bottom"/>
          </w:tcPr>
          <w:p>
            <w:pPr>
              <w:ind w:left="10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0"/>
        </w:trPr>
        <w:tc>
          <w:tcPr>
            <w:tcW w:w="5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Change in fair value of warrants</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3,691</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640" w:type="dxa"/>
            <w:vAlign w:val="bottom"/>
          </w:tcPr>
          <w:p>
            <w:pPr>
              <w:ind w:left="80"/>
              <w:spacing w:after="0"/>
              <w:rPr>
                <w:sz w:val="20"/>
                <w:szCs w:val="20"/>
                <w:color w:val="auto"/>
              </w:rPr>
            </w:pPr>
            <w:r>
              <w:rPr>
                <w:rFonts w:ascii="Arial" w:cs="Arial" w:eastAsia="Arial" w:hAnsi="Arial"/>
                <w:sz w:val="14"/>
                <w:szCs w:val="14"/>
                <w:color w:val="auto"/>
              </w:rPr>
              <w:t>Forgiveness of PPP loan</w:t>
            </w:r>
          </w:p>
        </w:tc>
        <w:tc>
          <w:tcPr>
            <w:tcW w:w="12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781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71"/>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income tax</w:t>
            </w: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(3,059)</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(8,535)</w:t>
            </w:r>
          </w:p>
        </w:tc>
        <w:tc>
          <w:tcPr>
            <w:tcW w:w="1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(3,230)</w:t>
            </w:r>
          </w:p>
        </w:tc>
        <w:tc>
          <w:tcPr>
            <w:tcW w:w="0" w:type="dxa"/>
            <w:vAlign w:val="bottom"/>
          </w:tcPr>
          <w:p>
            <w:pPr>
              <w:spacing w:after="0"/>
              <w:rPr>
                <w:sz w:val="1"/>
                <w:szCs w:val="1"/>
                <w:color w:val="auto"/>
              </w:rPr>
            </w:pPr>
          </w:p>
        </w:tc>
      </w:tr>
      <w:tr>
        <w:trPr>
          <w:trHeight w:val="180"/>
        </w:trPr>
        <w:tc>
          <w:tcPr>
            <w:tcW w:w="5640" w:type="dxa"/>
            <w:vAlign w:val="bottom"/>
          </w:tcPr>
          <w:p>
            <w:pPr>
              <w:ind w:left="180"/>
              <w:spacing w:after="0"/>
              <w:rPr>
                <w:sz w:val="20"/>
                <w:szCs w:val="20"/>
                <w:color w:val="auto"/>
              </w:rPr>
            </w:pPr>
            <w:r>
              <w:rPr>
                <w:rFonts w:ascii="Arial" w:cs="Arial" w:eastAsia="Arial" w:hAnsi="Arial"/>
                <w:sz w:val="14"/>
                <w:szCs w:val="14"/>
                <w:color w:val="auto"/>
              </w:rPr>
              <w:t>Income tax expense</w:t>
            </w:r>
          </w:p>
        </w:tc>
        <w:tc>
          <w:tcPr>
            <w:tcW w:w="12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(3,059)</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(8,535)</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(3,230)</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per common share: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6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5640" w:type="dxa"/>
            <w:vAlign w:val="bottom"/>
            <w:tcBorders>
              <w:bottom w:val="single" w:sz="8" w:color="CCEEFF"/>
            </w:tcBorders>
            <w:shd w:val="clear" w:color="auto" w:fill="CCEEFF"/>
          </w:tcPr>
          <w:p>
            <w:pPr>
              <w:ind w:left="180"/>
              <w:spacing w:after="0" w:line="159" w:lineRule="exact"/>
              <w:rPr>
                <w:sz w:val="20"/>
                <w:szCs w:val="20"/>
                <w:color w:val="auto"/>
              </w:rPr>
            </w:pPr>
            <w:r>
              <w:rPr>
                <w:rFonts w:ascii="Arial" w:cs="Arial" w:eastAsia="Arial" w:hAnsi="Arial"/>
                <w:sz w:val="14"/>
                <w:szCs w:val="14"/>
                <w:color w:val="auto"/>
              </w:rPr>
              <w:t>Basic and diluted</w:t>
            </w:r>
          </w:p>
        </w:tc>
        <w:tc>
          <w:tcPr>
            <w:tcW w:w="1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(0.12)</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9"/>
              <w:spacing w:after="0" w:line="159"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(0.04)</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9"/>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(0.41)</w:t>
            </w:r>
          </w:p>
        </w:tc>
        <w:tc>
          <w:tcPr>
            <w:tcW w:w="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9"/>
              <w:spacing w:after="0" w:line="15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5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common shares outstanding</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640" w:type="dxa"/>
            <w:vAlign w:val="bottom"/>
          </w:tcPr>
          <w:p>
            <w:pPr>
              <w:ind w:left="180"/>
              <w:spacing w:after="0" w:line="159" w:lineRule="exact"/>
              <w:rPr>
                <w:sz w:val="20"/>
                <w:szCs w:val="20"/>
                <w:color w:val="auto"/>
              </w:rPr>
            </w:pPr>
            <w:r>
              <w:rPr>
                <w:rFonts w:ascii="Arial" w:cs="Arial" w:eastAsia="Arial" w:hAnsi="Arial"/>
                <w:sz w:val="14"/>
                <w:szCs w:val="14"/>
                <w:color w:val="auto"/>
              </w:rPr>
              <w:t>Basic and diluted</w:t>
            </w: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25,629,910</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17,771,134</w:t>
            </w: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20,928,363</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17,757,363</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2</w:t>
      </w:r>
    </w:p>
    <w:p>
      <w:pPr>
        <w:spacing w:after="0" w:line="12"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45085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05"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SPRINGBIG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STOCKHOLDER’S EQUITY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5"/>
                <w:szCs w:val="15"/>
                <w:color w:val="auto"/>
              </w:rPr>
            </w:pPr>
          </w:p>
        </w:tc>
        <w:tc>
          <w:tcPr>
            <w:tcW w:w="4260" w:type="dxa"/>
            <w:vAlign w:val="bottom"/>
            <w:gridSpan w:val="6"/>
          </w:tcPr>
          <w:p>
            <w:pPr>
              <w:ind w:left="1260"/>
              <w:spacing w:after="0"/>
              <w:rPr>
                <w:sz w:val="20"/>
                <w:szCs w:val="20"/>
                <w:color w:val="auto"/>
              </w:rPr>
            </w:pPr>
            <w:r>
              <w:rPr>
                <w:rFonts w:ascii="Arial" w:cs="Arial" w:eastAsia="Arial" w:hAnsi="Arial"/>
                <w:sz w:val="14"/>
                <w:szCs w:val="14"/>
                <w:b w:val="1"/>
                <w:bCs w:val="1"/>
                <w:color w:val="auto"/>
              </w:rPr>
              <w:t>Three Months Ended September 30, 2022</w:t>
            </w: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2"/>
        </w:trPr>
        <w:tc>
          <w:tcPr>
            <w:tcW w:w="3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80"/>
        </w:trPr>
        <w:tc>
          <w:tcPr>
            <w:tcW w:w="3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b w:val="1"/>
                <w:bCs w:val="1"/>
                <w:color w:val="auto"/>
                <w:w w:val="89"/>
              </w:rPr>
              <w:t>Common Stock</w:t>
            </w:r>
          </w:p>
        </w:tc>
        <w:tc>
          <w:tcPr>
            <w:tcW w:w="10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Additional Paid-in- Capital</w:t>
            </w:r>
          </w:p>
        </w:tc>
        <w:tc>
          <w:tcPr>
            <w:tcW w:w="1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340"/>
              <w:spacing w:after="0"/>
              <w:rPr>
                <w:sz w:val="20"/>
                <w:szCs w:val="20"/>
                <w:color w:val="auto"/>
              </w:rPr>
            </w:pPr>
            <w:r>
              <w:rPr>
                <w:rFonts w:ascii="Arial" w:cs="Arial" w:eastAsia="Arial" w:hAnsi="Arial"/>
                <w:sz w:val="11"/>
                <w:szCs w:val="11"/>
                <w:b w:val="1"/>
                <w:bCs w:val="1"/>
                <w:color w:val="auto"/>
                <w:w w:val="92"/>
              </w:rPr>
              <w:t>Accumulated Deficit</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529"/>
              <w:spacing w:after="0"/>
              <w:rPr>
                <w:sz w:val="20"/>
                <w:szCs w:val="20"/>
                <w:color w:val="auto"/>
              </w:rPr>
            </w:pPr>
            <w:r>
              <w:rPr>
                <w:rFonts w:ascii="Arial" w:cs="Arial" w:eastAsia="Arial" w:hAnsi="Arial"/>
                <w:sz w:val="14"/>
                <w:szCs w:val="14"/>
                <w:b w:val="1"/>
                <w:bCs w:val="1"/>
                <w:color w:val="auto"/>
              </w:rPr>
              <w:t>Total</w:t>
            </w:r>
          </w:p>
        </w:tc>
      </w:tr>
      <w:tr>
        <w:trPr>
          <w:trHeight w:val="180"/>
        </w:trPr>
        <w:tc>
          <w:tcPr>
            <w:tcW w:w="314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9"/>
              </w:rPr>
              <w:t>Shares</w:t>
            </w: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Amount</w:t>
            </w:r>
          </w:p>
        </w:tc>
      </w:tr>
      <w:tr>
        <w:trPr>
          <w:trHeight w:val="192"/>
        </w:trPr>
        <w:tc>
          <w:tcPr>
            <w:tcW w:w="3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0"/>
        </w:trPr>
        <w:tc>
          <w:tcPr>
            <w:tcW w:w="314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1500" w:type="dxa"/>
            <w:vAlign w:val="bottom"/>
          </w:tcPr>
          <w:p>
            <w:pPr>
              <w:jc w:val="right"/>
              <w:spacing w:after="0"/>
              <w:rPr>
                <w:sz w:val="20"/>
                <w:szCs w:val="20"/>
                <w:color w:val="auto"/>
              </w:rPr>
            </w:pPr>
            <w:r>
              <w:rPr>
                <w:rFonts w:ascii="Arial" w:cs="Arial" w:eastAsia="Arial" w:hAnsi="Arial"/>
                <w:sz w:val="14"/>
                <w:szCs w:val="14"/>
                <w:color w:val="auto"/>
              </w:rPr>
              <w:t>25,290,270</w:t>
            </w:r>
          </w:p>
        </w:tc>
        <w:tc>
          <w:tcPr>
            <w:tcW w:w="100" w:type="dxa"/>
            <w:vAlign w:val="bottom"/>
          </w:tcPr>
          <w:p>
            <w:pPr>
              <w:spacing w:after="0"/>
              <w:rPr>
                <w:sz w:val="15"/>
                <w:szCs w:val="15"/>
                <w:color w:val="auto"/>
              </w:rPr>
            </w:pPr>
          </w:p>
        </w:tc>
        <w:tc>
          <w:tcPr>
            <w:tcW w:w="1060" w:type="dxa"/>
            <w:vAlign w:val="bottom"/>
          </w:tcPr>
          <w:p>
            <w:pPr>
              <w:jc w:val="right"/>
              <w:ind w:right="909"/>
              <w:spacing w:after="0"/>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20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21,825</w:t>
            </w:r>
          </w:p>
        </w:tc>
        <w:tc>
          <w:tcPr>
            <w:tcW w:w="14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(18,701)</w:t>
            </w:r>
          </w:p>
        </w:tc>
        <w:tc>
          <w:tcPr>
            <w:tcW w:w="16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3,127</w:t>
            </w:r>
          </w:p>
        </w:tc>
      </w:tr>
      <w:tr>
        <w:trPr>
          <w:trHeight w:val="180"/>
        </w:trPr>
        <w:tc>
          <w:tcPr>
            <w:tcW w:w="3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Stock-based compensation</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140" w:type="dxa"/>
            <w:vAlign w:val="bottom"/>
          </w:tcPr>
          <w:p>
            <w:pPr>
              <w:ind w:left="100"/>
              <w:spacing w:after="0"/>
              <w:rPr>
                <w:sz w:val="20"/>
                <w:szCs w:val="20"/>
                <w:color w:val="auto"/>
              </w:rPr>
            </w:pPr>
            <w:r>
              <w:rPr>
                <w:rFonts w:ascii="Arial" w:cs="Arial" w:eastAsia="Arial" w:hAnsi="Arial"/>
                <w:sz w:val="14"/>
                <w:szCs w:val="14"/>
                <w:color w:val="auto"/>
              </w:rPr>
              <w:t>Exercise of stock options</w:t>
            </w:r>
          </w:p>
        </w:tc>
        <w:tc>
          <w:tcPr>
            <w:tcW w:w="1500" w:type="dxa"/>
            <w:vAlign w:val="bottom"/>
          </w:tcPr>
          <w:p>
            <w:pPr>
              <w:jc w:val="right"/>
              <w:spacing w:after="0"/>
              <w:rPr>
                <w:sz w:val="20"/>
                <w:szCs w:val="20"/>
                <w:color w:val="auto"/>
              </w:rPr>
            </w:pPr>
            <w:r>
              <w:rPr>
                <w:rFonts w:ascii="Arial" w:cs="Arial" w:eastAsia="Arial" w:hAnsi="Arial"/>
                <w:sz w:val="14"/>
                <w:szCs w:val="14"/>
                <w:color w:val="auto"/>
              </w:rPr>
              <w:t>44,451</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0"/>
        </w:trPr>
        <w:tc>
          <w:tcPr>
            <w:tcW w:w="3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Issue of common stock*</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877,193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140" w:type="dxa"/>
            <w:vAlign w:val="bottom"/>
          </w:tcPr>
          <w:p>
            <w:pPr>
              <w:ind w:left="100"/>
              <w:spacing w:after="0"/>
              <w:rPr>
                <w:sz w:val="20"/>
                <w:szCs w:val="20"/>
                <w:color w:val="auto"/>
              </w:rPr>
            </w:pPr>
            <w:r>
              <w:rPr>
                <w:rFonts w:ascii="Arial" w:cs="Arial" w:eastAsia="Arial" w:hAnsi="Arial"/>
                <w:sz w:val="14"/>
                <w:szCs w:val="14"/>
                <w:color w:val="auto"/>
              </w:rPr>
              <w:t>Net loss</w:t>
            </w:r>
          </w:p>
        </w:tc>
        <w:tc>
          <w:tcPr>
            <w:tcW w:w="1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(3,059)</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(3,059)</w:t>
            </w:r>
          </w:p>
        </w:tc>
      </w:tr>
      <w:tr>
        <w:trPr>
          <w:trHeight w:val="196"/>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2022</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26,211,914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909"/>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21,855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(21,760)</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*During Q3 2022, the Company issued 877,193 shares in relation to a commitment fee for the Cantor Equity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September 30,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3"/>
              </w:rPr>
              <w:t>Additional Paid-in-</w:t>
            </w: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91"/>
        </w:trPr>
        <w:tc>
          <w:tcPr>
            <w:tcW w:w="32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ind w:left="36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100"/>
              <w:spacing w:after="0"/>
              <w:rPr>
                <w:sz w:val="20"/>
                <w:szCs w:val="20"/>
                <w:color w:val="auto"/>
              </w:rPr>
            </w:pPr>
            <w:r>
              <w:rPr>
                <w:rFonts w:ascii="Arial" w:cs="Arial" w:eastAsia="Arial" w:hAnsi="Arial"/>
                <w:sz w:val="11"/>
                <w:szCs w:val="11"/>
                <w:b w:val="1"/>
                <w:bCs w:val="1"/>
                <w:color w:val="auto"/>
              </w:rPr>
              <w:t>Accumulated Deficit</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89"/>
              <w:spacing w:after="0"/>
              <w:rPr>
                <w:sz w:val="20"/>
                <w:szCs w:val="20"/>
                <w:color w:val="auto"/>
              </w:rPr>
            </w:pPr>
            <w:r>
              <w:rPr>
                <w:rFonts w:ascii="Arial" w:cs="Arial" w:eastAsia="Arial" w:hAnsi="Arial"/>
                <w:sz w:val="14"/>
                <w:szCs w:val="14"/>
                <w:b w:val="1"/>
                <w:bCs w:val="1"/>
                <w:color w:val="auto"/>
              </w:rPr>
              <w:t>Total</w:t>
            </w:r>
          </w:p>
        </w:tc>
      </w:tr>
      <w:tr>
        <w:trPr>
          <w:trHeight w:val="180"/>
        </w:trPr>
        <w:tc>
          <w:tcPr>
            <w:tcW w:w="322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r>
        <w:trPr>
          <w:trHeight w:val="192"/>
        </w:trPr>
        <w:tc>
          <w:tcPr>
            <w:tcW w:w="32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80"/>
        </w:trPr>
        <w:tc>
          <w:tcPr>
            <w:tcW w:w="322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1660" w:type="dxa"/>
            <w:vAlign w:val="bottom"/>
          </w:tcPr>
          <w:p>
            <w:pPr>
              <w:jc w:val="right"/>
              <w:spacing w:after="0"/>
              <w:rPr>
                <w:sz w:val="20"/>
                <w:szCs w:val="20"/>
                <w:color w:val="auto"/>
              </w:rPr>
            </w:pPr>
            <w:r>
              <w:rPr>
                <w:rFonts w:ascii="Arial" w:cs="Arial" w:eastAsia="Arial" w:hAnsi="Arial"/>
                <w:sz w:val="14"/>
                <w:szCs w:val="14"/>
                <w:color w:val="auto"/>
              </w:rPr>
              <w:t>17,862,108</w:t>
            </w:r>
          </w:p>
        </w:tc>
        <w:tc>
          <w:tcPr>
            <w:tcW w:w="10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17,682</w:t>
            </w:r>
          </w:p>
        </w:tc>
        <w:tc>
          <w:tcPr>
            <w:tcW w:w="14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(13,225)</w:t>
            </w:r>
          </w:p>
        </w:tc>
        <w:tc>
          <w:tcPr>
            <w:tcW w:w="16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4,459</w:t>
            </w:r>
          </w:p>
        </w:tc>
      </w:tr>
      <w:tr>
        <w:trPr>
          <w:trHeight w:val="180"/>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Stock-based compensation</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r>
      <w:tr>
        <w:trPr>
          <w:trHeight w:val="180"/>
        </w:trPr>
        <w:tc>
          <w:tcPr>
            <w:tcW w:w="3220" w:type="dxa"/>
            <w:vAlign w:val="bottom"/>
          </w:tcPr>
          <w:p>
            <w:pPr>
              <w:ind w:left="100"/>
              <w:spacing w:after="0"/>
              <w:rPr>
                <w:sz w:val="20"/>
                <w:szCs w:val="20"/>
                <w:color w:val="auto"/>
              </w:rPr>
            </w:pPr>
            <w:r>
              <w:rPr>
                <w:rFonts w:ascii="Arial" w:cs="Arial" w:eastAsia="Arial" w:hAnsi="Arial"/>
                <w:sz w:val="14"/>
                <w:szCs w:val="14"/>
                <w:color w:val="auto"/>
              </w:rPr>
              <w:t>Exercise of stock options</w:t>
            </w:r>
          </w:p>
        </w:tc>
        <w:tc>
          <w:tcPr>
            <w:tcW w:w="1660" w:type="dxa"/>
            <w:vAlign w:val="bottom"/>
          </w:tcPr>
          <w:p>
            <w:pPr>
              <w:jc w:val="right"/>
              <w:spacing w:after="0"/>
              <w:rPr>
                <w:sz w:val="20"/>
                <w:szCs w:val="20"/>
                <w:color w:val="auto"/>
              </w:rPr>
            </w:pPr>
            <w:r>
              <w:rPr>
                <w:rFonts w:ascii="Arial" w:cs="Arial" w:eastAsia="Arial" w:hAnsi="Arial"/>
                <w:sz w:val="14"/>
                <w:szCs w:val="14"/>
                <w:color w:val="auto"/>
              </w:rPr>
              <w:t>378,869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180"/>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Recapitalization</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7,093,744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2,835</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2,836</w:t>
            </w:r>
          </w:p>
        </w:tc>
      </w:tr>
      <w:tr>
        <w:trPr>
          <w:trHeight w:val="180"/>
        </w:trPr>
        <w:tc>
          <w:tcPr>
            <w:tcW w:w="3220" w:type="dxa"/>
            <w:vAlign w:val="bottom"/>
          </w:tcPr>
          <w:p>
            <w:pPr>
              <w:ind w:left="100"/>
              <w:spacing w:after="0"/>
              <w:rPr>
                <w:sz w:val="20"/>
                <w:szCs w:val="20"/>
                <w:color w:val="auto"/>
              </w:rPr>
            </w:pPr>
            <w:r>
              <w:rPr>
                <w:rFonts w:ascii="Arial" w:cs="Arial" w:eastAsia="Arial" w:hAnsi="Arial"/>
                <w:sz w:val="14"/>
                <w:szCs w:val="14"/>
                <w:color w:val="auto"/>
              </w:rPr>
              <w:t>Issue of common stock*</w:t>
            </w:r>
          </w:p>
        </w:tc>
        <w:tc>
          <w:tcPr>
            <w:tcW w:w="1660" w:type="dxa"/>
            <w:vAlign w:val="bottom"/>
          </w:tcPr>
          <w:p>
            <w:pPr>
              <w:jc w:val="right"/>
              <w:spacing w:after="0"/>
              <w:rPr>
                <w:sz w:val="20"/>
                <w:szCs w:val="20"/>
                <w:color w:val="auto"/>
              </w:rPr>
            </w:pPr>
            <w:r>
              <w:rPr>
                <w:rFonts w:ascii="Arial" w:cs="Arial" w:eastAsia="Arial" w:hAnsi="Arial"/>
                <w:sz w:val="14"/>
                <w:szCs w:val="14"/>
                <w:color w:val="auto"/>
              </w:rPr>
              <w:t>877,193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4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(8,535)</w:t>
            </w: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(8,535)</w:t>
            </w:r>
          </w:p>
        </w:tc>
      </w:tr>
      <w:tr>
        <w:trPr>
          <w:trHeight w:val="171"/>
        </w:trPr>
        <w:tc>
          <w:tcPr>
            <w:tcW w:w="3220" w:type="dxa"/>
            <w:vAlign w:val="bottom"/>
          </w:tcPr>
          <w:p>
            <w:pPr>
              <w:ind w:left="20"/>
              <w:spacing w:after="0"/>
              <w:rPr>
                <w:sz w:val="20"/>
                <w:szCs w:val="20"/>
                <w:color w:val="auto"/>
              </w:rPr>
            </w:pPr>
            <w:r>
              <w:rPr>
                <w:rFonts w:ascii="Arial" w:cs="Arial" w:eastAsia="Arial" w:hAnsi="Arial"/>
                <w:sz w:val="13"/>
                <w:szCs w:val="13"/>
                <w:b w:val="1"/>
                <w:bCs w:val="1"/>
                <w:color w:val="auto"/>
              </w:rPr>
              <w:t>Balance at September 30, 2022</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26,211,914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21,855</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(21,760)</w:t>
            </w:r>
          </w:p>
        </w:tc>
        <w:tc>
          <w:tcPr>
            <w:tcW w:w="16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3"/>
        </w:trPr>
        <w:tc>
          <w:tcPr>
            <w:tcW w:w="3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bl>
    <w:p>
      <w:pPr>
        <w:ind w:left="20"/>
        <w:spacing w:after="0"/>
        <w:rPr>
          <w:sz w:val="20"/>
          <w:szCs w:val="20"/>
          <w:color w:val="auto"/>
        </w:rPr>
      </w:pPr>
      <w:r>
        <w:rPr>
          <w:rFonts w:ascii="Arial" w:cs="Arial" w:eastAsia="Arial" w:hAnsi="Arial"/>
          <w:sz w:val="14"/>
          <w:szCs w:val="14"/>
          <w:color w:val="auto"/>
        </w:rPr>
        <w:t>*During Q3 2022, the Company issued 877,193 shares in relation to a commitment fee for the Cantor Equity Line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3</w:t>
      </w:r>
    </w:p>
    <w:p>
      <w:pPr>
        <w:spacing w:after="0" w:line="12"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38100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05"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SPRINGBIG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STOCKHOLDER’S EQUITY (UNAUDITED)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00" w:type="dxa"/>
            <w:vAlign w:val="bottom"/>
            <w:gridSpan w:val="11"/>
          </w:tcPr>
          <w:p>
            <w:pPr>
              <w:jc w:val="center"/>
              <w:ind w:left="689"/>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2"/>
        </w:trPr>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80"/>
        </w:trPr>
        <w:tc>
          <w:tcPr>
            <w:tcW w:w="3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20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72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w w:val="96"/>
              </w:rPr>
              <w:t>Additional Paid-in- Capital</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160"/>
              <w:spacing w:after="0"/>
              <w:rPr>
                <w:sz w:val="20"/>
                <w:szCs w:val="20"/>
                <w:color w:val="auto"/>
              </w:rPr>
            </w:pPr>
            <w:r>
              <w:rPr>
                <w:rFonts w:ascii="Arial" w:cs="Arial" w:eastAsia="Arial" w:hAnsi="Arial"/>
                <w:sz w:val="11"/>
                <w:szCs w:val="11"/>
                <w:b w:val="1"/>
                <w:bCs w:val="1"/>
                <w:color w:val="auto"/>
              </w:rPr>
              <w:t>Accumulated Deficit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529"/>
              <w:spacing w:after="0"/>
              <w:rPr>
                <w:sz w:val="20"/>
                <w:szCs w:val="20"/>
                <w:color w:val="auto"/>
              </w:rPr>
            </w:pPr>
            <w:r>
              <w:rPr>
                <w:rFonts w:ascii="Arial" w:cs="Arial" w:eastAsia="Arial" w:hAnsi="Arial"/>
                <w:sz w:val="14"/>
                <w:szCs w:val="14"/>
                <w:b w:val="1"/>
                <w:bCs w:val="1"/>
                <w:color w:val="auto"/>
              </w:rPr>
              <w:t>Total</w:t>
            </w:r>
          </w:p>
        </w:tc>
      </w:tr>
      <w:tr>
        <w:trPr>
          <w:trHeight w:val="180"/>
        </w:trPr>
        <w:tc>
          <w:tcPr>
            <w:tcW w:w="3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w w:val="90"/>
              </w:rPr>
              <w:t>Amount</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Amount</w:t>
            </w:r>
          </w:p>
        </w:tc>
      </w:tr>
      <w:tr>
        <w:trPr>
          <w:trHeight w:val="192"/>
        </w:trPr>
        <w:tc>
          <w:tcPr>
            <w:tcW w:w="3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0"/>
        </w:trPr>
        <w:tc>
          <w:tcPr>
            <w:tcW w:w="314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2021</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17,767,555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17,286</w:t>
            </w:r>
          </w:p>
        </w:tc>
        <w:tc>
          <w:tcPr>
            <w:tcW w:w="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ind w:left="920"/>
              <w:spacing w:after="0"/>
              <w:rPr>
                <w:sz w:val="20"/>
                <w:szCs w:val="20"/>
                <w:color w:val="auto"/>
              </w:rPr>
            </w:pPr>
            <w:r>
              <w:rPr>
                <w:rFonts w:ascii="Arial" w:cs="Arial" w:eastAsia="Arial" w:hAnsi="Arial"/>
                <w:sz w:val="14"/>
                <w:szCs w:val="14"/>
                <w:color w:val="auto"/>
                <w:w w:val="91"/>
              </w:rPr>
              <w:t>(10,047)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7,241</w:t>
            </w:r>
          </w:p>
        </w:tc>
      </w:tr>
      <w:tr>
        <w:trPr>
          <w:trHeight w:val="180"/>
        </w:trPr>
        <w:tc>
          <w:tcPr>
            <w:tcW w:w="3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178</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180"/>
        </w:trPr>
        <w:tc>
          <w:tcPr>
            <w:tcW w:w="3140" w:type="dxa"/>
            <w:vAlign w:val="bottom"/>
          </w:tcPr>
          <w:p>
            <w:pPr>
              <w:ind w:left="100"/>
              <w:spacing w:after="0"/>
              <w:rPr>
                <w:sz w:val="20"/>
                <w:szCs w:val="20"/>
                <w:color w:val="auto"/>
              </w:rPr>
            </w:pPr>
            <w:r>
              <w:rPr>
                <w:rFonts w:ascii="Arial" w:cs="Arial" w:eastAsia="Arial" w:hAnsi="Arial"/>
                <w:sz w:val="14"/>
                <w:szCs w:val="14"/>
                <w:color w:val="auto"/>
              </w:rPr>
              <w:t>Exercise of stock options</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6,052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0"/>
        </w:trPr>
        <w:tc>
          <w:tcPr>
            <w:tcW w:w="3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w:t>
            </w:r>
          </w:p>
        </w:tc>
        <w:tc>
          <w:tcPr>
            <w:tcW w:w="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gridSpan w:val="2"/>
            <w:shd w:val="clear" w:color="auto" w:fill="CCEEFF"/>
          </w:tcPr>
          <w:p>
            <w:pPr>
              <w:ind w:left="1100"/>
              <w:spacing w:after="0"/>
              <w:rPr>
                <w:sz w:val="20"/>
                <w:szCs w:val="20"/>
                <w:color w:val="auto"/>
              </w:rPr>
            </w:pPr>
            <w:r>
              <w:rPr>
                <w:rFonts w:ascii="Arial" w:cs="Arial" w:eastAsia="Arial" w:hAnsi="Arial"/>
                <w:sz w:val="14"/>
                <w:szCs w:val="14"/>
                <w:color w:val="auto"/>
                <w:w w:val="91"/>
              </w:rPr>
              <w:t>(658)</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w:t>
            </w:r>
          </w:p>
        </w:tc>
      </w:tr>
      <w:tr>
        <w:trPr>
          <w:trHeight w:val="171"/>
        </w:trPr>
        <w:tc>
          <w:tcPr>
            <w:tcW w:w="3140" w:type="dxa"/>
            <w:vAlign w:val="bottom"/>
          </w:tcPr>
          <w:p>
            <w:pPr>
              <w:ind w:left="20"/>
              <w:spacing w:after="0"/>
              <w:rPr>
                <w:sz w:val="20"/>
                <w:szCs w:val="20"/>
                <w:color w:val="auto"/>
              </w:rPr>
            </w:pPr>
            <w:r>
              <w:rPr>
                <w:rFonts w:ascii="Arial" w:cs="Arial" w:eastAsia="Arial" w:hAnsi="Arial"/>
                <w:sz w:val="13"/>
                <w:szCs w:val="13"/>
                <w:b w:val="1"/>
                <w:bCs w:val="1"/>
                <w:color w:val="auto"/>
              </w:rPr>
              <w:t>Balance at September 30, 2021</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17,773,607</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17,472</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color w:val="auto"/>
                <w:w w:val="91"/>
              </w:rPr>
              <w:t>(10,705)</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6,769</w:t>
            </w: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3"/>
        </w:trPr>
        <w:tc>
          <w:tcPr>
            <w:tcW w:w="3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434"/>
        </w:trPr>
        <w:tc>
          <w:tcPr>
            <w:tcW w:w="3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00" w:type="dxa"/>
            <w:vAlign w:val="bottom"/>
            <w:gridSpan w:val="11"/>
          </w:tcPr>
          <w:p>
            <w:pPr>
              <w:jc w:val="center"/>
              <w:ind w:left="689"/>
              <w:spacing w:after="0"/>
              <w:rPr>
                <w:sz w:val="20"/>
                <w:szCs w:val="20"/>
                <w:color w:val="auto"/>
              </w:rPr>
            </w:pPr>
            <w:r>
              <w:rPr>
                <w:rFonts w:ascii="Arial" w:cs="Arial" w:eastAsia="Arial" w:hAnsi="Arial"/>
                <w:sz w:val="14"/>
                <w:szCs w:val="14"/>
                <w:b w:val="1"/>
                <w:bCs w:val="1"/>
                <w:color w:val="auto"/>
                <w:w w:val="91"/>
              </w:rPr>
              <w:t>Nine Months Ended September 30, 2021</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2"/>
        </w:trPr>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38"/>
        </w:trPr>
        <w:tc>
          <w:tcPr>
            <w:tcW w:w="3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720" w:type="dxa"/>
            <w:vAlign w:val="bottom"/>
            <w:gridSpan w:val="4"/>
            <w:shd w:val="clear" w:color="auto" w:fill="CCEEFF"/>
          </w:tcPr>
          <w:p>
            <w:pPr>
              <w:jc w:val="center"/>
              <w:ind w:right="240"/>
              <w:spacing w:after="0" w:line="138" w:lineRule="exact"/>
              <w:rPr>
                <w:sz w:val="20"/>
                <w:szCs w:val="20"/>
                <w:color w:val="auto"/>
              </w:rPr>
            </w:pPr>
            <w:r>
              <w:rPr>
                <w:rFonts w:ascii="Arial" w:cs="Arial" w:eastAsia="Arial" w:hAnsi="Arial"/>
                <w:sz w:val="14"/>
                <w:szCs w:val="14"/>
                <w:b w:val="1"/>
                <w:bCs w:val="1"/>
                <w:color w:val="auto"/>
                <w:w w:val="93"/>
              </w:rPr>
              <w:t>Additional Paid-in-</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91"/>
        </w:trPr>
        <w:tc>
          <w:tcPr>
            <w:tcW w:w="3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jc w:val="center"/>
              <w:ind w:left="289"/>
              <w:spacing w:after="0"/>
              <w:rPr>
                <w:sz w:val="20"/>
                <w:szCs w:val="20"/>
                <w:color w:val="auto"/>
              </w:rPr>
            </w:pPr>
            <w:r>
              <w:rPr>
                <w:rFonts w:ascii="Arial" w:cs="Arial" w:eastAsia="Arial" w:hAnsi="Arial"/>
                <w:sz w:val="14"/>
                <w:szCs w:val="14"/>
                <w:b w:val="1"/>
                <w:bCs w:val="1"/>
                <w:color w:val="auto"/>
                <w:w w:val="98"/>
              </w:rPr>
              <w:t>Capital</w:t>
            </w: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Accumulated Deficit</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589"/>
              <w:spacing w:after="0"/>
              <w:rPr>
                <w:sz w:val="20"/>
                <w:szCs w:val="20"/>
                <w:color w:val="auto"/>
              </w:rPr>
            </w:pPr>
            <w:r>
              <w:rPr>
                <w:rFonts w:ascii="Arial" w:cs="Arial" w:eastAsia="Arial" w:hAnsi="Arial"/>
                <w:sz w:val="14"/>
                <w:szCs w:val="14"/>
                <w:b w:val="1"/>
                <w:bCs w:val="1"/>
                <w:color w:val="auto"/>
              </w:rPr>
              <w:t>Total</w:t>
            </w:r>
          </w:p>
        </w:tc>
      </w:tr>
      <w:tr>
        <w:trPr>
          <w:trHeight w:val="180"/>
        </w:trPr>
        <w:tc>
          <w:tcPr>
            <w:tcW w:w="3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92"/>
        </w:trPr>
        <w:tc>
          <w:tcPr>
            <w:tcW w:w="3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0"/>
        </w:trPr>
        <w:tc>
          <w:tcPr>
            <w:tcW w:w="314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1740" w:type="dxa"/>
            <w:vAlign w:val="bottom"/>
            <w:gridSpan w:val="4"/>
          </w:tcPr>
          <w:p>
            <w:pPr>
              <w:jc w:val="right"/>
              <w:spacing w:after="0"/>
              <w:rPr>
                <w:sz w:val="20"/>
                <w:szCs w:val="20"/>
                <w:color w:val="auto"/>
              </w:rPr>
            </w:pPr>
            <w:r>
              <w:rPr>
                <w:rFonts w:ascii="Arial" w:cs="Arial" w:eastAsia="Arial" w:hAnsi="Arial"/>
                <w:sz w:val="14"/>
                <w:szCs w:val="14"/>
                <w:color w:val="auto"/>
              </w:rPr>
              <w:t>17,660,258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8"/>
              </w:rPr>
              <w:t>16,999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(7,475)</w:t>
            </w:r>
          </w:p>
        </w:tc>
        <w:tc>
          <w:tcPr>
            <w:tcW w:w="12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9,526</w:t>
            </w:r>
          </w:p>
        </w:tc>
      </w:tr>
      <w:tr>
        <w:trPr>
          <w:trHeight w:val="180"/>
        </w:trPr>
        <w:tc>
          <w:tcPr>
            <w:tcW w:w="3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r>
      <w:tr>
        <w:trPr>
          <w:trHeight w:val="180"/>
        </w:trPr>
        <w:tc>
          <w:tcPr>
            <w:tcW w:w="3140" w:type="dxa"/>
            <w:vAlign w:val="bottom"/>
          </w:tcPr>
          <w:p>
            <w:pPr>
              <w:ind w:left="100"/>
              <w:spacing w:after="0"/>
              <w:rPr>
                <w:sz w:val="20"/>
                <w:szCs w:val="20"/>
                <w:color w:val="auto"/>
              </w:rPr>
            </w:pPr>
            <w:r>
              <w:rPr>
                <w:rFonts w:ascii="Arial" w:cs="Arial" w:eastAsia="Arial" w:hAnsi="Arial"/>
                <w:sz w:val="14"/>
                <w:szCs w:val="14"/>
                <w:color w:val="auto"/>
              </w:rPr>
              <w:t>Exercise of stock options</w:t>
            </w:r>
          </w:p>
        </w:tc>
        <w:tc>
          <w:tcPr>
            <w:tcW w:w="1740" w:type="dxa"/>
            <w:vAlign w:val="bottom"/>
            <w:gridSpan w:val="4"/>
          </w:tcPr>
          <w:p>
            <w:pPr>
              <w:jc w:val="right"/>
              <w:spacing w:after="0"/>
              <w:rPr>
                <w:sz w:val="20"/>
                <w:szCs w:val="20"/>
                <w:color w:val="auto"/>
              </w:rPr>
            </w:pPr>
            <w:r>
              <w:rPr>
                <w:rFonts w:ascii="Arial" w:cs="Arial" w:eastAsia="Arial" w:hAnsi="Arial"/>
                <w:sz w:val="14"/>
                <w:szCs w:val="14"/>
                <w:color w:val="auto"/>
              </w:rPr>
              <w:t>6,052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0"/>
        </w:trPr>
        <w:tc>
          <w:tcPr>
            <w:tcW w:w="3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Issue of common stock</w:t>
            </w:r>
          </w:p>
        </w:tc>
        <w:tc>
          <w:tcPr>
            <w:tcW w:w="17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107,297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80"/>
        </w:trPr>
        <w:tc>
          <w:tcPr>
            <w:tcW w:w="3140" w:type="dxa"/>
            <w:vAlign w:val="bottom"/>
          </w:tcPr>
          <w:p>
            <w:pPr>
              <w:ind w:left="100"/>
              <w:spacing w:after="0"/>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(3,230)</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(3,230)</w:t>
            </w:r>
          </w:p>
        </w:tc>
      </w:tr>
      <w:tr>
        <w:trPr>
          <w:trHeight w:val="196"/>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2021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17,773,607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17,472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6,769</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4</w:t>
      </w:r>
    </w:p>
    <w:p>
      <w:pPr>
        <w:spacing w:after="0" w:line="12"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38100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05"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SPRINGBIG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 (UNAUDITED)</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00" w:type="dxa"/>
            <w:vAlign w:val="bottom"/>
            <w:shd w:val="clear" w:color="auto" w:fill="CCEEFF"/>
          </w:tcPr>
          <w:p>
            <w:pPr>
              <w:spacing w:after="0"/>
              <w:rPr>
                <w:sz w:val="14"/>
                <w:szCs w:val="14"/>
                <w:color w:val="auto"/>
              </w:rPr>
            </w:pPr>
          </w:p>
        </w:tc>
        <w:tc>
          <w:tcPr>
            <w:tcW w:w="2840" w:type="dxa"/>
            <w:vAlign w:val="bottom"/>
            <w:gridSpan w:val="4"/>
            <w:shd w:val="clear" w:color="auto" w:fill="CCEEFF"/>
          </w:tcPr>
          <w:p>
            <w:pPr>
              <w:jc w:val="right"/>
              <w:ind w:right="129"/>
              <w:spacing w:after="0"/>
              <w:rPr>
                <w:sz w:val="20"/>
                <w:szCs w:val="20"/>
                <w:color w:val="auto"/>
              </w:rPr>
            </w:pPr>
            <w:r>
              <w:rPr>
                <w:rFonts w:ascii="Arial" w:cs="Arial" w:eastAsia="Arial" w:hAnsi="Arial"/>
                <w:sz w:val="13"/>
                <w:szCs w:val="13"/>
                <w:b w:val="1"/>
                <w:bCs w:val="1"/>
                <w:color w:val="auto"/>
              </w:rPr>
              <w:t>Nine Months Ended September 30,</w:t>
            </w:r>
          </w:p>
        </w:tc>
        <w:tc>
          <w:tcPr>
            <w:tcW w:w="540" w:type="dxa"/>
            <w:vAlign w:val="bottom"/>
            <w:shd w:val="clear" w:color="auto" w:fill="CCEEFF"/>
          </w:tcPr>
          <w:p>
            <w:pPr>
              <w:spacing w:after="0"/>
              <w:rPr>
                <w:sz w:val="14"/>
                <w:szCs w:val="14"/>
                <w:color w:val="auto"/>
              </w:rPr>
            </w:pPr>
          </w:p>
        </w:tc>
      </w:tr>
      <w:tr>
        <w:trPr>
          <w:trHeight w:val="180"/>
        </w:trPr>
        <w:tc>
          <w:tcPr>
            <w:tcW w:w="79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r>
      <w:tr>
        <w:trPr>
          <w:trHeight w:val="150"/>
        </w:trPr>
        <w:tc>
          <w:tcPr>
            <w:tcW w:w="79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40" w:type="dxa"/>
            <w:vAlign w:val="bottom"/>
            <w:gridSpan w:val="3"/>
            <w:shd w:val="clear" w:color="auto" w:fill="CCEEFF"/>
          </w:tcPr>
          <w:p>
            <w:pPr>
              <w:jc w:val="right"/>
              <w:ind w:right="729"/>
              <w:spacing w:after="0"/>
              <w:rPr>
                <w:sz w:val="20"/>
                <w:szCs w:val="20"/>
                <w:color w:val="auto"/>
              </w:rPr>
            </w:pPr>
            <w:r>
              <w:rPr>
                <w:rFonts w:ascii="Arial" w:cs="Arial" w:eastAsia="Arial" w:hAnsi="Arial"/>
                <w:sz w:val="11"/>
                <w:szCs w:val="11"/>
                <w:b w:val="1"/>
                <w:bCs w:val="1"/>
                <w:color w:val="auto"/>
              </w:rPr>
              <w:t>(In thousands)</w:t>
            </w:r>
          </w:p>
        </w:tc>
        <w:tc>
          <w:tcPr>
            <w:tcW w:w="540" w:type="dxa"/>
            <w:vAlign w:val="bottom"/>
            <w:shd w:val="clear" w:color="auto" w:fill="CCEEFF"/>
          </w:tcPr>
          <w:p>
            <w:pPr>
              <w:spacing w:after="0"/>
              <w:rPr>
                <w:sz w:val="13"/>
                <w:szCs w:val="13"/>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shd w:val="clear" w:color="auto" w:fill="CCEEFF"/>
          </w:tcPr>
          <w:p>
            <w:pPr>
              <w:jc w:val="right"/>
              <w:ind w:right="851"/>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(8,535)</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(3,230)</w:t>
            </w: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0"/>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Depreciation and amortization</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0"/>
        </w:trPr>
        <w:tc>
          <w:tcPr>
            <w:tcW w:w="7900" w:type="dxa"/>
            <w:vAlign w:val="bottom"/>
          </w:tcPr>
          <w:p>
            <w:pPr>
              <w:ind w:left="180"/>
              <w:spacing w:after="0"/>
              <w:rPr>
                <w:sz w:val="20"/>
                <w:szCs w:val="20"/>
                <w:color w:val="auto"/>
              </w:rPr>
            </w:pPr>
            <w:r>
              <w:rPr>
                <w:rFonts w:ascii="Arial" w:cs="Arial" w:eastAsia="Arial" w:hAnsi="Arial"/>
                <w:sz w:val="14"/>
                <w:szCs w:val="14"/>
                <w:color w:val="auto"/>
              </w:rPr>
              <w:t>Discount amortization on convertible note</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146</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expense</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r>
      <w:tr>
        <w:trPr>
          <w:trHeight w:val="180"/>
        </w:trPr>
        <w:tc>
          <w:tcPr>
            <w:tcW w:w="7900" w:type="dxa"/>
            <w:vAlign w:val="bottom"/>
          </w:tcPr>
          <w:p>
            <w:pPr>
              <w:ind w:left="180"/>
              <w:spacing w:after="0"/>
              <w:rPr>
                <w:sz w:val="20"/>
                <w:szCs w:val="20"/>
                <w:color w:val="auto"/>
              </w:rPr>
            </w:pPr>
            <w:r>
              <w:rPr>
                <w:rFonts w:ascii="Arial" w:cs="Arial" w:eastAsia="Arial" w:hAnsi="Arial"/>
                <w:sz w:val="14"/>
                <w:szCs w:val="14"/>
                <w:color w:val="auto"/>
              </w:rPr>
              <w:t>Forgiveness of PPP Loan</w:t>
            </w:r>
          </w:p>
        </w:tc>
        <w:tc>
          <w:tcPr>
            <w:tcW w:w="1000" w:type="dxa"/>
            <w:vAlign w:val="bottom"/>
          </w:tcPr>
          <w:p>
            <w:pPr>
              <w:spacing w:after="0"/>
              <w:rPr>
                <w:sz w:val="15"/>
                <w:szCs w:val="15"/>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(781)</w:t>
            </w:r>
          </w:p>
        </w:tc>
      </w:tr>
      <w:tr>
        <w:trPr>
          <w:trHeight w:val="180"/>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Bad debt expense</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180"/>
        </w:trPr>
        <w:tc>
          <w:tcPr>
            <w:tcW w:w="7900" w:type="dxa"/>
            <w:vAlign w:val="bottom"/>
          </w:tcPr>
          <w:p>
            <w:pPr>
              <w:ind w:left="180"/>
              <w:spacing w:after="0"/>
              <w:rPr>
                <w:sz w:val="20"/>
                <w:szCs w:val="20"/>
                <w:color w:val="auto"/>
              </w:rPr>
            </w:pPr>
            <w:r>
              <w:rPr>
                <w:rFonts w:ascii="Arial" w:cs="Arial" w:eastAsia="Arial" w:hAnsi="Arial"/>
                <w:sz w:val="14"/>
                <w:szCs w:val="14"/>
                <w:color w:val="auto"/>
              </w:rPr>
              <w:t>Accrued interest on convertible notes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 of warrants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(3,691)</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0"/>
        </w:trPr>
        <w:tc>
          <w:tcPr>
            <w:tcW w:w="79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r>
      <w:tr>
        <w:trPr>
          <w:trHeight w:val="180"/>
        </w:trPr>
        <w:tc>
          <w:tcPr>
            <w:tcW w:w="7900" w:type="dxa"/>
            <w:vAlign w:val="bottom"/>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(1,499)</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(556)</w:t>
            </w:r>
          </w:p>
        </w:tc>
      </w:tr>
      <w:tr>
        <w:trPr>
          <w:trHeight w:val="180"/>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Contract assets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80"/>
        </w:trPr>
        <w:tc>
          <w:tcPr>
            <w:tcW w:w="7900" w:type="dxa"/>
            <w:vAlign w:val="bottom"/>
          </w:tcPr>
          <w:p>
            <w:pPr>
              <w:ind w:left="160"/>
              <w:spacing w:after="0"/>
              <w:rPr>
                <w:sz w:val="20"/>
                <w:szCs w:val="20"/>
                <w:color w:val="auto"/>
              </w:rPr>
            </w:pPr>
            <w:r>
              <w:rPr>
                <w:rFonts w:ascii="Arial" w:cs="Arial" w:eastAsia="Arial" w:hAnsi="Arial"/>
                <w:sz w:val="14"/>
                <w:szCs w:val="14"/>
                <w:color w:val="auto"/>
              </w:rPr>
              <w:t>Accounts payable and other liabilities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1,630</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707</w:t>
            </w:r>
          </w:p>
        </w:tc>
      </w:tr>
      <w:tr>
        <w:trPr>
          <w:trHeight w:val="180"/>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Contract liabilities</w:t>
            </w:r>
          </w:p>
        </w:tc>
        <w:tc>
          <w:tcPr>
            <w:tcW w:w="10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2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171"/>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(12,318)</w:t>
            </w:r>
          </w:p>
        </w:tc>
        <w:tc>
          <w:tcPr>
            <w:tcW w:w="2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(3,886)</w:t>
            </w:r>
          </w:p>
        </w:tc>
      </w:tr>
      <w:tr>
        <w:trPr>
          <w:trHeight w:val="107"/>
        </w:trPr>
        <w:tc>
          <w:tcPr>
            <w:tcW w:w="79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0"/>
        </w:trPr>
        <w:tc>
          <w:tcPr>
            <w:tcW w:w="7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Business combination, net of cash acquired</w:t>
            </w:r>
          </w:p>
        </w:tc>
        <w:tc>
          <w:tcPr>
            <w:tcW w:w="10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80"/>
        </w:trPr>
        <w:tc>
          <w:tcPr>
            <w:tcW w:w="7900" w:type="dxa"/>
            <w:vAlign w:val="bottom"/>
          </w:tcPr>
          <w:p>
            <w:pPr>
              <w:ind w:left="220"/>
              <w:spacing w:after="0"/>
              <w:rPr>
                <w:sz w:val="20"/>
                <w:szCs w:val="20"/>
                <w:color w:val="auto"/>
              </w:rPr>
            </w:pPr>
            <w:r>
              <w:rPr>
                <w:rFonts w:ascii="Arial" w:cs="Arial" w:eastAsia="Arial" w:hAnsi="Arial"/>
                <w:sz w:val="14"/>
                <w:szCs w:val="14"/>
                <w:color w:val="auto"/>
              </w:rPr>
              <w:t>Purchase of convertible note</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(256)</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Purchases of property and equipment</w:t>
            </w:r>
          </w:p>
        </w:tc>
        <w:tc>
          <w:tcPr>
            <w:tcW w:w="10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2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w:t>
            </w:r>
          </w:p>
        </w:tc>
      </w:tr>
      <w:tr>
        <w:trPr>
          <w:trHeight w:val="171"/>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w:t>
            </w:r>
          </w:p>
        </w:tc>
        <w:tc>
          <w:tcPr>
            <w:tcW w:w="2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w:t>
            </w:r>
          </w:p>
        </w:tc>
      </w:tr>
      <w:tr>
        <w:trPr>
          <w:trHeight w:val="97"/>
        </w:trPr>
        <w:tc>
          <w:tcPr>
            <w:tcW w:w="79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0"/>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Business combination, net of issuing cost</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10,185</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900" w:type="dxa"/>
            <w:vAlign w:val="bottom"/>
          </w:tcPr>
          <w:p>
            <w:pPr>
              <w:ind w:left="180"/>
              <w:spacing w:after="0"/>
              <w:rPr>
                <w:sz w:val="20"/>
                <w:szCs w:val="20"/>
                <w:color w:val="auto"/>
              </w:rPr>
            </w:pPr>
            <w:r>
              <w:rPr>
                <w:rFonts w:ascii="Arial" w:cs="Arial" w:eastAsia="Arial" w:hAnsi="Arial"/>
                <w:sz w:val="14"/>
                <w:szCs w:val="14"/>
                <w:color w:val="auto"/>
              </w:rPr>
              <w:t>Proceeds from convertible notes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7,000</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10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2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17,297</w:t>
            </w:r>
          </w:p>
        </w:tc>
        <w:tc>
          <w:tcPr>
            <w:tcW w:w="2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07"/>
        </w:trPr>
        <w:tc>
          <w:tcPr>
            <w:tcW w:w="79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10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4,580</w:t>
            </w:r>
          </w:p>
        </w:tc>
        <w:tc>
          <w:tcPr>
            <w:tcW w:w="220" w:type="dxa"/>
            <w:vAlign w:val="bottom"/>
          </w:tcPr>
          <w:p>
            <w:pPr>
              <w:spacing w:after="0"/>
              <w:rPr>
                <w:sz w:val="15"/>
                <w:szCs w:val="15"/>
                <w:color w:val="auto"/>
              </w:rPr>
            </w:pPr>
          </w:p>
        </w:tc>
        <w:tc>
          <w:tcPr>
            <w:tcW w:w="1040" w:type="dxa"/>
            <w:vAlign w:val="bottom"/>
          </w:tcPr>
          <w:p>
            <w:pPr>
              <w:jc w:val="right"/>
              <w:ind w:right="88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(4,357)</w:t>
            </w:r>
          </w:p>
        </w:tc>
      </w:tr>
      <w:tr>
        <w:trPr>
          <w:trHeight w:val="18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0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2,227</w:t>
            </w:r>
          </w:p>
        </w:tc>
        <w:tc>
          <w:tcPr>
            <w:tcW w:w="2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10,447</w:t>
            </w:r>
          </w:p>
        </w:tc>
      </w:tr>
      <w:tr>
        <w:trPr>
          <w:trHeight w:val="171"/>
        </w:trPr>
        <w:tc>
          <w:tcPr>
            <w:tcW w:w="7900" w:type="dxa"/>
            <w:vAlign w:val="bottom"/>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00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6,807</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6,090</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88"/>
        </w:trPr>
        <w:tc>
          <w:tcPr>
            <w:tcW w:w="79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financing activities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0"/>
        </w:trPr>
        <w:tc>
          <w:tcPr>
            <w:tcW w:w="79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Conversion of convertible note and outstanding interest into common stock</w:t>
            </w:r>
          </w:p>
        </w:tc>
        <w:tc>
          <w:tcPr>
            <w:tcW w:w="1000" w:type="dxa"/>
            <w:vAlign w:val="bottom"/>
            <w:shd w:val="clear" w:color="auto" w:fill="CCEEFF"/>
          </w:tcPr>
          <w:p>
            <w:pPr>
              <w:jc w:val="right"/>
              <w:ind w:right="851"/>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7,305</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900" w:type="dxa"/>
            <w:vAlign w:val="bottom"/>
          </w:tcPr>
          <w:p>
            <w:pPr>
              <w:ind w:left="100"/>
              <w:spacing w:after="0"/>
              <w:rPr>
                <w:sz w:val="20"/>
                <w:szCs w:val="20"/>
                <w:color w:val="auto"/>
              </w:rPr>
            </w:pPr>
            <w:r>
              <w:rPr>
                <w:rFonts w:ascii="Arial" w:cs="Arial" w:eastAsia="Arial" w:hAnsi="Arial"/>
                <w:sz w:val="14"/>
                <w:szCs w:val="14"/>
                <w:color w:val="auto"/>
              </w:rPr>
              <w:t>Warrant assumed in business combination at estimate fair value</w:t>
            </w:r>
          </w:p>
        </w:tc>
        <w:tc>
          <w:tcPr>
            <w:tcW w:w="1000" w:type="dxa"/>
            <w:vAlign w:val="bottom"/>
          </w:tcPr>
          <w:p>
            <w:pPr>
              <w:jc w:val="right"/>
              <w:ind w:right="851"/>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4,496</w:t>
            </w:r>
          </w:p>
        </w:tc>
        <w:tc>
          <w:tcPr>
            <w:tcW w:w="220" w:type="dxa"/>
            <w:vAlign w:val="bottom"/>
          </w:tcPr>
          <w:p>
            <w:pPr>
              <w:spacing w:after="0"/>
              <w:rPr>
                <w:sz w:val="15"/>
                <w:szCs w:val="15"/>
                <w:color w:val="auto"/>
              </w:rPr>
            </w:pPr>
          </w:p>
        </w:tc>
        <w:tc>
          <w:tcPr>
            <w:tcW w:w="1040" w:type="dxa"/>
            <w:vAlign w:val="bottom"/>
          </w:tcPr>
          <w:p>
            <w:pPr>
              <w:jc w:val="right"/>
              <w:ind w:right="88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5</w:t>
      </w:r>
    </w:p>
    <w:p>
      <w:pPr>
        <w:spacing w:after="0" w:line="12"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45085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05"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NOTE 1 – DESCRIPTION OF BUSINESS</w:t>
      </w:r>
    </w:p>
    <w:p>
      <w:pPr>
        <w:spacing w:after="0" w:line="193" w:lineRule="exact"/>
        <w:rPr>
          <w:sz w:val="20"/>
          <w:szCs w:val="20"/>
          <w:color w:val="auto"/>
        </w:rPr>
      </w:pPr>
    </w:p>
    <w:p>
      <w:pPr>
        <w:jc w:val="both"/>
        <w:ind w:firstLine="254"/>
        <w:spacing w:after="0" w:line="279" w:lineRule="auto"/>
        <w:rPr>
          <w:sz w:val="20"/>
          <w:szCs w:val="20"/>
          <w:color w:val="auto"/>
        </w:rPr>
      </w:pPr>
      <w:r>
        <w:rPr>
          <w:rFonts w:ascii="Arial" w:cs="Arial" w:eastAsia="Arial" w:hAnsi="Arial"/>
          <w:sz w:val="13"/>
          <w:szCs w:val="13"/>
          <w:color w:val="auto"/>
        </w:rPr>
        <w:t>SpringBig Holdings, Inc. and its wholly-owned subsidiaries (the “Company,” “we,” “us,” or “SpringBig”) developed a software platform that provides marketing and customer engagement services to cannabis dispensaries and brands throughout the United States and Canada. The Company allows merchants to provide loyalty plans and rewards directly to consumers through an internet portal and mobile applications. Our operational headquarters are in Boca Raton, Florida, with additional offices located in the United States and Canada.</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has one direct wholly-owned subsidiary, SpringBig, Inc.</w:t>
      </w:r>
    </w:p>
    <w:p>
      <w:pPr>
        <w:spacing w:after="0" w:line="189" w:lineRule="exact"/>
        <w:rPr>
          <w:sz w:val="20"/>
          <w:szCs w:val="20"/>
          <w:color w:val="auto"/>
        </w:rPr>
      </w:pPr>
    </w:p>
    <w:p>
      <w:pPr>
        <w:jc w:val="both"/>
        <w:ind w:firstLine="254"/>
        <w:spacing w:after="0" w:line="261" w:lineRule="auto"/>
        <w:rPr>
          <w:sz w:val="20"/>
          <w:szCs w:val="20"/>
          <w:color w:val="auto"/>
        </w:rPr>
      </w:pPr>
      <w:r>
        <w:rPr>
          <w:rFonts w:ascii="Arial" w:cs="Arial" w:eastAsia="Arial" w:hAnsi="Arial"/>
          <w:sz w:val="13"/>
          <w:szCs w:val="13"/>
          <w:color w:val="auto"/>
        </w:rPr>
        <w:t>On June 14, 2022 (the “Closing Date”), SpringBig Holdings, Inc. (formerly known as Tuatara Capital Acquisition Corporation (“Tuatara” or “TCAC”)), consummated the business combination of SpringBig, Inc. (“Legacy SpringBig”) and HighJump Merger Sub, Inc., the wholly-owned subsidiary of Tuatara, pursuant to the Amended and Restated Agreement of Plan Merger, dated as of April 14, 2022, as amended, by and among Tuatara, HighJump Merger Sub, Inc. and Legacy SpringBig. Prior to the closing of the business combination (the “Closing”), Tuatara changed its jurisdiction of incorporation by deregistering as a Cayman Islands exempted company and continuing and domesticating as a corporation incorporated under the laws of the State of Delaware. In connection with the Closing, the registrant changed its name from Tuatara Capital Acquisition Corporation to “SpringBig Holdings, Inc.” SpringBig will continue the existing business operations of Legacy SpringBig as a publicly traded company. See Note 8, Business Combination, to these consolidated financial statements for further information.</w:t>
      </w:r>
    </w:p>
    <w:p>
      <w:pPr>
        <w:spacing w:after="0" w:line="159" w:lineRule="exact"/>
        <w:rPr>
          <w:sz w:val="20"/>
          <w:szCs w:val="20"/>
          <w:color w:val="auto"/>
        </w:rPr>
      </w:pPr>
    </w:p>
    <w:p>
      <w:pPr>
        <w:jc w:val="both"/>
        <w:ind w:firstLine="254"/>
        <w:spacing w:after="0" w:line="261" w:lineRule="auto"/>
        <w:rPr>
          <w:sz w:val="20"/>
          <w:szCs w:val="20"/>
          <w:color w:val="auto"/>
        </w:rPr>
      </w:pPr>
      <w:r>
        <w:rPr>
          <w:rFonts w:ascii="Arial" w:cs="Arial" w:eastAsia="Arial" w:hAnsi="Arial"/>
          <w:sz w:val="13"/>
          <w:szCs w:val="13"/>
          <w:color w:val="auto"/>
        </w:rPr>
        <w:t>While the legal acquirer in the business combination is SpringBig for financial accounting and reporting purposes under U.S. GAAP, Legacy SpringBig is the accounting acquirer, with the merger accounted for as a “reverse recapitalization.” A reverse recapitalization does not result in a new basis of accounting, and the financial statements of the combined entity represent the continuation of the financial statements of Legacy SpringBig. Under this accounting method, SpringBig is treated as the “acquired” company and Legacy SpringBig is the accounting acquirer, with the transaction treated as a recapitalization of Legacy SpringBig. SpringBig’s assets, liabilities and results of operations were consolidated with Legacy SpringBig’s beginning on the date of the business combination. Except for certain warrant liabilities, the assets and liabilities of SpringBig were recognized at historical cost (which is consistent with carrying value) and were not material, with no goodwill or other intangible assets recorded. The warrant liabilities, which are discussed in Note 11, Warrant Liabilities, were recorded at fair value. The consolidated assets, liabilities, and results of operations of Legacy SpringBig became the historical financial statements, and operations prior to the closing of the business combination presented for comparative purposes are those of Legacy SpringBig. Pre-merger shares of common stock and preferred stock of Legacy SpringBig were converted to shares of common stock of the combined company using the conversion ratio of 0.59289 and for comparative purposes, the shares and net loss per share of Legacy SpringBig prior to the merger have been retroactively restated using the conversion ratio.</w:t>
      </w:r>
    </w:p>
    <w:p>
      <w:pPr>
        <w:spacing w:after="0" w:line="159" w:lineRule="exact"/>
        <w:rPr>
          <w:sz w:val="20"/>
          <w:szCs w:val="20"/>
          <w:color w:val="auto"/>
        </w:rPr>
      </w:pPr>
    </w:p>
    <w:p>
      <w:pPr>
        <w:jc w:val="both"/>
        <w:ind w:firstLine="254"/>
        <w:spacing w:after="0" w:line="239" w:lineRule="auto"/>
        <w:rPr>
          <w:sz w:val="20"/>
          <w:szCs w:val="20"/>
          <w:color w:val="auto"/>
        </w:rPr>
      </w:pPr>
      <w:r>
        <w:rPr>
          <w:rFonts w:ascii="Arial" w:cs="Arial" w:eastAsia="Arial" w:hAnsi="Arial"/>
          <w:sz w:val="14"/>
          <w:szCs w:val="14"/>
          <w:color w:val="auto"/>
        </w:rPr>
        <w:t>Beginning June 15, 2022, the ticker symbols for the Company’s common stock and publicly-traded warrants were changed to “SBIG” and “SBIGW,” respectively, and commenced trading on The Nasdaq Global Market. The Company received net proceeds of $18.8 million, with gross proceeds of $25.1 million, which were in addition to the $7.0 million in Convertible Notes proceeds, which were received in February 2022 in connection with Legacy SpringBig’s issuance of such notes (and which Convertible Notes and the interest due thereon were converted into common stock in connection with the business combination. See Note 9, 15% Convertible Promissory Notes, to these consolidated financial statements). Of the amount received at the Closing, approximately $8.8 million represented cash from the TCAC trust related to unredeemed shares; $6.1 million represented proceeds from the subscription for common stock from certain investors (the “PIPE Financing”), and $10.0 million from the Secured Convertible Note (defined below). The Company incurred additional cash and non cash expenses totaling $8.6 million, resulting in net business combination proceeds of $10.2 million.</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Common Stock Purchase Agreement</w:t>
      </w:r>
    </w:p>
    <w:p>
      <w:pPr>
        <w:spacing w:after="0" w:line="178"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color w:val="auto"/>
        </w:rPr>
        <w:t>On April 29, 2022, the Company entered into a Common Stock Purchase Agreement (as amended, the “Stock Purchase Agreement”) with CF Principal Investments LLC ("Cantor"), an affiliate of Cantor Fitzgerald L.P. The Company, in its sole discretion, shall have the right, but not the obligation, to issue and sell to the Cantor, and Cantor shall purchase from the Company, up to $50 million of common shares, par value $0.0001 per share, subject to certain terms and conditions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2"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NOTE 2 – SUMMARY OF SIGNIFICANT ACCOUNTING POLICIES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Principles of Consolidation and Basis of Presentation</w:t>
      </w:r>
    </w:p>
    <w:p>
      <w:pPr>
        <w:spacing w:after="0" w:line="178" w:lineRule="exact"/>
        <w:rPr>
          <w:sz w:val="20"/>
          <w:szCs w:val="20"/>
          <w:color w:val="auto"/>
        </w:rPr>
      </w:pPr>
    </w:p>
    <w:p>
      <w:pPr>
        <w:jc w:val="both"/>
        <w:ind w:firstLine="254"/>
        <w:spacing w:after="0" w:line="304" w:lineRule="auto"/>
        <w:rPr>
          <w:sz w:val="20"/>
          <w:szCs w:val="20"/>
          <w:color w:val="auto"/>
        </w:rPr>
      </w:pPr>
      <w:r>
        <w:rPr>
          <w:rFonts w:ascii="Arial" w:cs="Arial" w:eastAsia="Arial" w:hAnsi="Arial"/>
          <w:sz w:val="13"/>
          <w:szCs w:val="13"/>
          <w:color w:val="auto"/>
        </w:rPr>
        <w:t>The accompanying consolidated financial statements include the accounts of the Company and its wholly owned subsidiaries. All significant intercompany balances and transactions have been eliminated in consolidation. The financial statements are prepared in accordance with accounting principles generally accepted in the United States of America (“GAAP”).</w:t>
      </w:r>
    </w:p>
    <w:p>
      <w:pPr>
        <w:spacing w:after="0" w:line="130" w:lineRule="exact"/>
        <w:rPr>
          <w:sz w:val="20"/>
          <w:szCs w:val="20"/>
          <w:color w:val="auto"/>
        </w:rPr>
      </w:pPr>
    </w:p>
    <w:p>
      <w:pPr>
        <w:jc w:val="both"/>
        <w:ind w:firstLine="254"/>
        <w:spacing w:after="0" w:line="263" w:lineRule="auto"/>
        <w:rPr>
          <w:sz w:val="20"/>
          <w:szCs w:val="20"/>
          <w:color w:val="auto"/>
        </w:rPr>
      </w:pPr>
      <w:r>
        <w:rPr>
          <w:rFonts w:ascii="Arial" w:cs="Arial" w:eastAsia="Arial" w:hAnsi="Arial"/>
          <w:sz w:val="13"/>
          <w:szCs w:val="13"/>
          <w:color w:val="auto"/>
        </w:rPr>
        <w:t>The unaudited consolidated financial statements have been prepared in conformity with the rules and regulations of the SEC for Quarterly Reports on Form 10-Q and therefore do not include certain information, accounting policies, and footnote disclosure information or footnotes necessary for a complete presentation of financial position, results of operations and cash flows in conformity with generally accepted accounting principles. However, all adjustments (consisting of normal recurring accruals), which, in the opinion of management, are necessary for a fair presentation of the financial statements, have been included. Operating results for the three months ended September 30, 2022 and the nine months ended September 30, 2022 are not necessarily indicative of the results that may be expected for future periods or for the year ending December 31, 2022. These interim financial statements should be read in conjunction with the Company's audited consolidated financial statements and accompanying notes included in the Company’s Registration Statement on Form S-1 filed with the SEC on July 22, 2022 and the audited financial statements and notes thereto included in the Annual Report on Form 10-K of Tuatara for the fiscal year ended December 31, 2021.</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Going Concern and Liquidity</w:t>
      </w:r>
    </w:p>
    <w:p>
      <w:pPr>
        <w:spacing w:after="0" w:line="178" w:lineRule="exact"/>
        <w:rPr>
          <w:sz w:val="20"/>
          <w:szCs w:val="20"/>
          <w:color w:val="auto"/>
        </w:rPr>
      </w:pPr>
    </w:p>
    <w:p>
      <w:pPr>
        <w:jc w:val="both"/>
        <w:ind w:firstLine="254"/>
        <w:spacing w:after="0" w:line="246" w:lineRule="auto"/>
        <w:rPr>
          <w:sz w:val="20"/>
          <w:szCs w:val="20"/>
          <w:color w:val="auto"/>
        </w:rPr>
      </w:pPr>
      <w:r>
        <w:rPr>
          <w:rFonts w:ascii="Arial" w:cs="Arial" w:eastAsia="Arial" w:hAnsi="Arial"/>
          <w:sz w:val="14"/>
          <w:szCs w:val="14"/>
          <w:color w:val="auto"/>
        </w:rPr>
        <w:t>Historically, the Company has incurred losses, which has resulted in an accumulated deficit of approximately $21.8 million as of September 30, 2022. Cash flows used in operating activities were $12.3 million and $3.9 million for the nine months ended September 30, 2022 and 2021, respectively. As of September 30, 2022, the Company had approximately $10.2 million in working capital, inclusive of $6.8 million in cash and cash equivalents to cover overhead expenses. Working capital excludes current maturities of long-term debt as those obligations may be satisfied in exchange for stock.</w:t>
      </w:r>
    </w:p>
    <w:p>
      <w:pPr>
        <w:spacing w:after="0" w:line="167" w:lineRule="exact"/>
        <w:rPr>
          <w:sz w:val="20"/>
          <w:szCs w:val="20"/>
          <w:color w:val="auto"/>
        </w:rPr>
      </w:pPr>
    </w:p>
    <w:p>
      <w:pPr>
        <w:jc w:val="both"/>
        <w:ind w:firstLine="254"/>
        <w:spacing w:after="0" w:line="330" w:lineRule="auto"/>
        <w:rPr>
          <w:sz w:val="20"/>
          <w:szCs w:val="20"/>
          <w:color w:val="auto"/>
        </w:rPr>
      </w:pPr>
      <w:r>
        <w:rPr>
          <w:rFonts w:ascii="Arial" w:cs="Arial" w:eastAsia="Arial" w:hAnsi="Arial"/>
          <w:sz w:val="12"/>
          <w:szCs w:val="12"/>
          <w:color w:val="auto"/>
        </w:rPr>
        <w:t>The Company’s ability to continue as a going concern is dependent on its ability to meet its liquidity needs through a combination of factors but not limited to, cash and cash equivalents, the ongoing increase in revenue through increased usage by customers and new customers, its Stock Purchase Agreement and strategic capital raises. The ultimate success to these plans is not guaranteed.</w:t>
      </w:r>
    </w:p>
    <w:p>
      <w:pPr>
        <w:spacing w:after="0" w:line="119"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Based on management projections for increases in revenue and cash on hand, we estimate that our liquidity and capital resources are sufficient for our current and projected financial needs for the next twelve months, at a minimum.</w:t>
      </w:r>
    </w:p>
    <w:p>
      <w:pPr>
        <w:spacing w:after="0" w:line="153"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The accompanying consolidated financial statements are prepared on a going concern basis and do not include any adjustments that might result from uncertainty about the Company’s ability to continue as a going concern.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Foreign Currency</w:t>
      </w:r>
    </w:p>
    <w:p>
      <w:pPr>
        <w:spacing w:after="0" w:line="178"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color w:val="auto"/>
        </w:rPr>
        <w:t>We translate the financial statements of our foreign subsidiaries, which have a functional currency in the respective country’s local currency, to U.S. dollars using month-end exchange rates for assets and liabilities and actual exchange rates for revenue, costs and expenses on the date of the transaction. Translation gains and losses are included within “other comprehensive income” on the consolidated statements of operations. These gains and losses are immaterial to the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Use of Estimates</w:t>
      </w:r>
    </w:p>
    <w:p>
      <w:pPr>
        <w:spacing w:after="0" w:line="189" w:lineRule="exact"/>
        <w:rPr>
          <w:sz w:val="20"/>
          <w:szCs w:val="20"/>
          <w:color w:val="auto"/>
        </w:rPr>
      </w:pPr>
    </w:p>
    <w:p>
      <w:pPr>
        <w:jc w:val="both"/>
        <w:ind w:firstLine="254"/>
        <w:spacing w:after="0" w:line="249" w:lineRule="auto"/>
        <w:rPr>
          <w:sz w:val="20"/>
          <w:szCs w:val="20"/>
          <w:color w:val="auto"/>
        </w:rPr>
      </w:pPr>
      <w:r>
        <w:rPr>
          <w:rFonts w:ascii="Arial" w:cs="Arial" w:eastAsia="Arial" w:hAnsi="Arial"/>
          <w:sz w:val="14"/>
          <w:szCs w:val="14"/>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We base our estimates on historical experience and various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3" w:right="319" w:bottom="1440" w:gutter="0" w:footer="0" w:header="0"/>
        </w:sectPr>
      </w:pPr>
    </w:p>
    <w:bookmarkStart w:id="11" w:name="page12"/>
    <w:bookmarkEnd w:id="11"/>
    <w:p>
      <w:pPr>
        <w:jc w:val="both"/>
        <w:spacing w:after="0" w:line="243" w:lineRule="auto"/>
        <w:rPr>
          <w:sz w:val="20"/>
          <w:szCs w:val="20"/>
          <w:color w:val="auto"/>
        </w:rPr>
      </w:pPr>
      <w:r>
        <w:rPr>
          <w:rFonts w:ascii="Arial" w:cs="Arial" w:eastAsia="Arial" w:hAnsi="Arial"/>
          <w:sz w:val="14"/>
          <w:szCs w:val="14"/>
          <w:color w:val="auto"/>
        </w:rPr>
        <w:t>assumptions that we believe to be reasonable. We believe that the assumptions and estimates associated with revenue recognition, software development costs, income taxes, and equity-based compensation have the greatest potential impact on our consolidated financial statements. Therefore, we consider these to be our critical accounting policies and estimates. For further information on all of our significant accounting policies, see the Company's audited consolidated financial statements and accompanying notes included in the Company’s Registration Statement on Form S-1 filed with the SEC on July 22, 2022 and consolidated Financial Statements and Notes thereto included in Tuatara Capital Acquisition Corporation's Report on Form 10-K for the fiscal year ended December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31, 2021.</w:t>
      </w:r>
    </w:p>
    <w:p>
      <w:pPr>
        <w:spacing w:after="0" w:line="189" w:lineRule="exact"/>
        <w:rPr>
          <w:sz w:val="20"/>
          <w:szCs w:val="20"/>
          <w:color w:val="auto"/>
        </w:rPr>
      </w:pPr>
    </w:p>
    <w:p>
      <w:pPr>
        <w:ind w:right="60" w:firstLine="509"/>
        <w:spacing w:after="0" w:line="266" w:lineRule="auto"/>
        <w:rPr>
          <w:sz w:val="20"/>
          <w:szCs w:val="20"/>
          <w:color w:val="auto"/>
        </w:rPr>
      </w:pPr>
      <w:r>
        <w:rPr>
          <w:rFonts w:ascii="Arial" w:cs="Arial" w:eastAsia="Arial" w:hAnsi="Arial"/>
          <w:sz w:val="14"/>
          <w:szCs w:val="14"/>
          <w:color w:val="auto"/>
        </w:rPr>
        <w:t>Future events and their effects cannot be predicted with certainty; accordingly, accounting estimates require the exercise of judgment. Accounting estimates used in the preparation of these financial statements change as new events occur, as more experience is acquired, as additional information is obtained, and as the operating environment changes. Actual results may differ materially from these estimates.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Concentrations of Credit Risk</w:t>
      </w:r>
    </w:p>
    <w:p>
      <w:pPr>
        <w:spacing w:after="0" w:line="178"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color w:val="auto"/>
        </w:rPr>
        <w:t>Financial instruments that potentially subject us to concentration of credit risk consist principally of cash and cash equivalents and accounts receivable. We place our cash and cash equivalents with high credit-quality financial institutions. Such deposits may be in excess of federally insured limits. To date, we have not experienced any losses on our cash and cash equivalents. We perform periodic evaluations of the relative credit standing of the financial institutions.</w:t>
      </w:r>
    </w:p>
    <w:p>
      <w:pPr>
        <w:spacing w:after="0" w:line="163" w:lineRule="exact"/>
        <w:rPr>
          <w:sz w:val="20"/>
          <w:szCs w:val="20"/>
          <w:color w:val="auto"/>
        </w:rPr>
      </w:pPr>
    </w:p>
    <w:p>
      <w:pPr>
        <w:jc w:val="both"/>
        <w:ind w:firstLine="254"/>
        <w:spacing w:after="0" w:line="245" w:lineRule="auto"/>
        <w:rPr>
          <w:sz w:val="20"/>
          <w:szCs w:val="20"/>
          <w:color w:val="auto"/>
        </w:rPr>
      </w:pPr>
      <w:r>
        <w:rPr>
          <w:rFonts w:ascii="Arial" w:cs="Arial" w:eastAsia="Arial" w:hAnsi="Arial"/>
          <w:sz w:val="14"/>
          <w:szCs w:val="14"/>
          <w:color w:val="auto"/>
        </w:rPr>
        <w:t>We perform ongoing credit evaluations of our customers’ financial condition and require no collateral from our customers. We maintain an allowance for doubtful accounts receivable based upon the expected collectability of accounts receivable balances.</w:t>
      </w:r>
    </w:p>
    <w:p>
      <w:pPr>
        <w:spacing w:after="0" w:line="1" w:lineRule="exact"/>
        <w:rPr>
          <w:sz w:val="20"/>
          <w:szCs w:val="20"/>
          <w:color w:val="auto"/>
        </w:rPr>
      </w:pPr>
    </w:p>
    <w:p>
      <w:pPr>
        <w:jc w:val="both"/>
        <w:ind w:firstLine="254"/>
        <w:spacing w:after="0" w:line="235" w:lineRule="auto"/>
        <w:rPr>
          <w:sz w:val="20"/>
          <w:szCs w:val="20"/>
          <w:color w:val="auto"/>
        </w:rPr>
      </w:pPr>
      <w:r>
        <w:rPr>
          <w:rFonts w:ascii="Arial" w:cs="Arial" w:eastAsia="Arial" w:hAnsi="Arial"/>
          <w:sz w:val="14"/>
          <w:szCs w:val="14"/>
          <w:color w:val="auto"/>
        </w:rPr>
        <w:t>We had one customer representing 10% and 11% of our total revenues for the three and nine months ended September 30, 2022, respectively. By comparison, we had one customer that represented 15% and 11% for the three and nine months ended September 30, 2021.</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At September 30, 2022 and December 31, 2021, we had one customer representing 11% and 28% of accounts receivable,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Transaction Costs</w:t>
      </w:r>
    </w:p>
    <w:p>
      <w:pPr>
        <w:spacing w:after="0" w:line="189" w:lineRule="exact"/>
        <w:rPr>
          <w:sz w:val="20"/>
          <w:szCs w:val="20"/>
          <w:color w:val="auto"/>
        </w:rPr>
      </w:pPr>
    </w:p>
    <w:p>
      <w:pPr>
        <w:jc w:val="both"/>
        <w:ind w:firstLine="254"/>
        <w:spacing w:after="0" w:line="246" w:lineRule="auto"/>
        <w:rPr>
          <w:sz w:val="20"/>
          <w:szCs w:val="20"/>
          <w:color w:val="auto"/>
        </w:rPr>
      </w:pPr>
      <w:r>
        <w:rPr>
          <w:rFonts w:ascii="Arial" w:cs="Arial" w:eastAsia="Arial" w:hAnsi="Arial"/>
          <w:sz w:val="14"/>
          <w:szCs w:val="14"/>
          <w:color w:val="auto"/>
        </w:rPr>
        <w:t>The Company incurred significant costs direct and incremental to the business combination and therefore to the recapitalization of the Company. We deferred such costs incurred in 2021. In 2022, upon closing of the business combination, total direct transaction costs were allocated between equity and liability instruments measured at fair value on a recurring basis that were newly issued in the recapitalization. Amounts allocated to equity were recorded to additional paid-in capital, while amounts allocated to the specified liabilities were recorded as other expense. See Note 8, Business Combination, to these consolidated financial statements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Cash and Cash Equivalents</w:t>
      </w:r>
    </w:p>
    <w:p>
      <w:pPr>
        <w:spacing w:after="0" w:line="189"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The Company considers all highly liquid investments with a maturity of three months or less, when acquired, to be cash equivalents. The Company maintains its cash with three commercial banks.</w:t>
      </w:r>
    </w:p>
    <w:p>
      <w:pPr>
        <w:spacing w:after="0" w:line="153"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color w:val="auto"/>
        </w:rPr>
        <w:t>As of September 30, 2022 and the Company exceeded the federally insured limits of $250,000 for interest and non-interest bearing deposits. The Company had cash balances with a single financial institution in excess of the FDIC insured limits by amounts of $6.0 million as of September 30, 2022. We monitor the financial condition of such institution and have not experienced any losses associated with these accounts.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Effective Accounting Pronouncements</w:t>
      </w:r>
    </w:p>
    <w:p>
      <w:pPr>
        <w:spacing w:after="0" w:line="189"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In January 2017, the FASB issued ASU 2017-04, Intangibles—Goodwill and Other (Topic 350): Simplifying the Test for Goodwill Impairment, which simplifies how an entity is required to test goodwill for impairment by eliminating Step 2 from the goodwill impairment test. The amendments in this update modify the concept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6" w:right="319" w:bottom="1440" w:gutter="0" w:footer="0" w:header="0"/>
        </w:sectPr>
      </w:pPr>
    </w:p>
    <w:bookmarkStart w:id="12" w:name="page13"/>
    <w:bookmarkEnd w:id="12"/>
    <w:p>
      <w:pPr>
        <w:jc w:val="both"/>
        <w:spacing w:after="0" w:line="251" w:lineRule="auto"/>
        <w:rPr>
          <w:sz w:val="20"/>
          <w:szCs w:val="20"/>
          <w:color w:val="auto"/>
        </w:rPr>
      </w:pPr>
      <w:r>
        <w:rPr>
          <w:rFonts w:ascii="Arial" w:cs="Arial" w:eastAsia="Arial" w:hAnsi="Arial"/>
          <w:sz w:val="14"/>
          <w:szCs w:val="14"/>
          <w:color w:val="auto"/>
        </w:rPr>
        <w:t>impairment from the condition that exists when the carrying amount of goodwill exceeds its implied fair value to the condition that exists when the carrying amount of a reporting unit exceeds its fair value. This update is effective beginning after December 15, 2021. We adopted this standard on January 1, 2022. The adoption of this standard did not have a material impact on our consolidated financial statements for the period ended September 30, 2022.</w:t>
      </w:r>
    </w:p>
    <w:p>
      <w:pPr>
        <w:spacing w:after="0" w:line="163" w:lineRule="exact"/>
        <w:rPr>
          <w:sz w:val="20"/>
          <w:szCs w:val="20"/>
          <w:color w:val="auto"/>
        </w:rPr>
      </w:pPr>
    </w:p>
    <w:p>
      <w:pPr>
        <w:jc w:val="both"/>
        <w:ind w:firstLine="254"/>
        <w:spacing w:after="0" w:line="286" w:lineRule="auto"/>
        <w:rPr>
          <w:sz w:val="20"/>
          <w:szCs w:val="20"/>
          <w:color w:val="auto"/>
        </w:rPr>
      </w:pPr>
      <w:r>
        <w:rPr>
          <w:rFonts w:ascii="Arial" w:cs="Arial" w:eastAsia="Arial" w:hAnsi="Arial"/>
          <w:sz w:val="12"/>
          <w:szCs w:val="12"/>
          <w:color w:val="auto"/>
        </w:rPr>
        <w:t xml:space="preserve">In December 2019, the FASB issued ASU 2019-12, </w:t>
      </w:r>
      <w:r>
        <w:rPr>
          <w:rFonts w:ascii="Arial" w:cs="Arial" w:eastAsia="Arial" w:hAnsi="Arial"/>
          <w:sz w:val="12"/>
          <w:szCs w:val="12"/>
          <w:i w:val="1"/>
          <w:iCs w:val="1"/>
          <w:color w:val="auto"/>
        </w:rPr>
        <w:t>Income Taxes (Topic 740) - Simplifying the Accounting for Income Taxes.</w:t>
      </w:r>
      <w:r>
        <w:rPr>
          <w:rFonts w:ascii="Arial" w:cs="Arial" w:eastAsia="Arial" w:hAnsi="Arial"/>
          <w:sz w:val="12"/>
          <w:szCs w:val="12"/>
          <w:color w:val="auto"/>
        </w:rPr>
        <w:t xml:space="preserve"> The ASU enhances and simplifies various aspects of the income tax accounting guidance in ASC 740, including requirements related to the following: (1) hybrid tax regimes; (2) tax basis step-up in goodwill obtained in a transaction that is not a business combination;</w:t>
      </w:r>
    </w:p>
    <w:p>
      <w:pPr>
        <w:spacing w:after="0" w:line="1" w:lineRule="exact"/>
        <w:rPr>
          <w:sz w:val="20"/>
          <w:szCs w:val="20"/>
          <w:color w:val="auto"/>
        </w:rPr>
      </w:pPr>
    </w:p>
    <w:p>
      <w:pPr>
        <w:jc w:val="both"/>
        <w:ind w:firstLine="5"/>
        <w:spacing w:after="0" w:line="236" w:lineRule="auto"/>
        <w:tabs>
          <w:tab w:leader="none" w:pos="225" w:val="left"/>
        </w:tabs>
        <w:numPr>
          <w:ilvl w:val="0"/>
          <w:numId w:val="4"/>
        </w:numPr>
        <w:rPr>
          <w:rFonts w:ascii="Arial" w:cs="Arial" w:eastAsia="Arial" w:hAnsi="Arial"/>
          <w:sz w:val="14"/>
          <w:szCs w:val="14"/>
          <w:color w:val="auto"/>
        </w:rPr>
      </w:pPr>
      <w:r>
        <w:rPr>
          <w:rFonts w:ascii="Arial" w:cs="Arial" w:eastAsia="Arial" w:hAnsi="Arial"/>
          <w:sz w:val="14"/>
          <w:szCs w:val="14"/>
          <w:color w:val="auto"/>
        </w:rPr>
        <w:t>separate financial statements of entities not subject to tax; (4) intra-period tax allocation exception to the incremental approach; (5) ownership changes in investments; (6) interim-period accounting for enacted changes in tax law; and (7) year-to-date loss limitation in interim-period tax accounting. The amendments in ASU 2019-12 are effective for public business entities for fiscal years beginning after December 15, 2020, including interim periods therein. This update is effective beginning after December 15, 2021. We adopted this standard on January 1, 2022. The adoption of this standard did not have a material impact on our consolidated financial statements for the period ended September 30, 2022.</w:t>
      </w:r>
    </w:p>
    <w:p>
      <w:pPr>
        <w:spacing w:after="0" w:line="171"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color w:val="auto"/>
        </w:rPr>
        <w:t xml:space="preserve">In January 2020, the FASB issued ASU 2020-01, </w:t>
      </w:r>
      <w:r>
        <w:rPr>
          <w:rFonts w:ascii="Arial" w:cs="Arial" w:eastAsia="Arial" w:hAnsi="Arial"/>
          <w:sz w:val="14"/>
          <w:szCs w:val="14"/>
          <w:i w:val="1"/>
          <w:iCs w:val="1"/>
          <w:color w:val="auto"/>
        </w:rPr>
        <w:t>Clarifying the Interactions between Topic 321, Topic 323, and Topic 815</w:t>
      </w:r>
      <w:r>
        <w:rPr>
          <w:rFonts w:ascii="Arial" w:cs="Arial" w:eastAsia="Arial" w:hAnsi="Arial"/>
          <w:sz w:val="14"/>
          <w:szCs w:val="14"/>
          <w:color w:val="auto"/>
        </w:rPr>
        <w:t>. The amendments in this update clarify certain interactions between the guidance to account for certain equity securities. This update is effective beginning after December 15, 2021. We adopted this standard on January 1, 2022. The adoption of this standard did not have a material impact on our consolidated financial statements for the period ended September 30, 2022.</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 xml:space="preserve">In August 2020, the FASB issued ASU 2020-06, </w:t>
      </w:r>
      <w:r>
        <w:rPr>
          <w:rFonts w:ascii="Arial" w:cs="Arial" w:eastAsia="Arial" w:hAnsi="Arial"/>
          <w:sz w:val="13"/>
          <w:szCs w:val="13"/>
          <w:i w:val="1"/>
          <w:iCs w:val="1"/>
          <w:color w:val="auto"/>
        </w:rPr>
        <w:t>Accounting for Convertible Instruments and Contracts in an Entity's Own Equity</w:t>
      </w:r>
      <w:r>
        <w:rPr>
          <w:rFonts w:ascii="Arial" w:cs="Arial" w:eastAsia="Arial" w:hAnsi="Arial"/>
          <w:sz w:val="13"/>
          <w:szCs w:val="13"/>
          <w:color w:val="auto"/>
        </w:rPr>
        <w:t>. Under ASU 2020-06, embedded conversion features are no</w:t>
      </w:r>
    </w:p>
    <w:p>
      <w:pPr>
        <w:spacing w:after="0" w:line="11" w:lineRule="exact"/>
        <w:rPr>
          <w:sz w:val="20"/>
          <w:szCs w:val="20"/>
          <w:color w:val="auto"/>
        </w:rPr>
      </w:pPr>
    </w:p>
    <w:p>
      <w:pPr>
        <w:jc w:val="both"/>
        <w:spacing w:after="0" w:line="229" w:lineRule="auto"/>
        <w:rPr>
          <w:sz w:val="20"/>
          <w:szCs w:val="20"/>
          <w:color w:val="auto"/>
        </w:rPr>
      </w:pPr>
      <w:r>
        <w:rPr>
          <w:rFonts w:ascii="Arial" w:cs="Arial" w:eastAsia="Arial" w:hAnsi="Arial"/>
          <w:sz w:val="13"/>
          <w:szCs w:val="13"/>
          <w:color w:val="auto"/>
        </w:rPr>
        <w:t>longer separated from the host contract for convertible instruments with conversion features that are not required to be accounted for as derivatives, or that do not result in substantial premiums accounted for as paid-in capital. The convertible debt instruments will now be accounted for as a single liability measured at amortized cost. This results in the interest expense recognized for</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2"/>
          <w:szCs w:val="12"/>
          <w:color w:val="auto"/>
        </w:rPr>
        <w:t>convertible debt instruments to be closer to the coupon interest rate. The new guidance also requires the if-converted method to be applied for all convertible instruments when calculating earnings per share. This update is effective beginning after December 15, 2021. We adopted this standard on January 1, 2022. The adoption of this standard did not have a material impact on our consolidated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financial statements for the period ended September 30, 2022.</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Recent Accounting Pronouncements Not Yet Adopted</w:t>
      </w:r>
    </w:p>
    <w:p>
      <w:pPr>
        <w:spacing w:after="0" w:line="189" w:lineRule="exact"/>
        <w:rPr>
          <w:sz w:val="20"/>
          <w:szCs w:val="20"/>
          <w:color w:val="auto"/>
        </w:rPr>
      </w:pPr>
    </w:p>
    <w:p>
      <w:pPr>
        <w:jc w:val="both"/>
        <w:ind w:firstLine="254"/>
        <w:spacing w:after="0" w:line="277" w:lineRule="auto"/>
        <w:rPr>
          <w:sz w:val="20"/>
          <w:szCs w:val="20"/>
          <w:color w:val="auto"/>
        </w:rPr>
      </w:pPr>
      <w:r>
        <w:rPr>
          <w:rFonts w:ascii="Arial" w:cs="Arial" w:eastAsia="Arial" w:hAnsi="Arial"/>
          <w:sz w:val="12"/>
          <w:szCs w:val="12"/>
          <w:color w:val="auto"/>
        </w:rPr>
        <w:t xml:space="preserve">In February 2016, the Financial Accounting Standards Board (“FASB”) issued Accounting Standards Update (“ASU”) 2016-02, </w:t>
      </w:r>
      <w:r>
        <w:rPr>
          <w:rFonts w:ascii="Arial" w:cs="Arial" w:eastAsia="Arial" w:hAnsi="Arial"/>
          <w:sz w:val="12"/>
          <w:szCs w:val="12"/>
          <w:i w:val="1"/>
          <w:iCs w:val="1"/>
          <w:color w:val="auto"/>
        </w:rPr>
        <w:t>Leases (Topic 842)</w:t>
      </w:r>
      <w:r>
        <w:rPr>
          <w:rFonts w:ascii="Arial" w:cs="Arial" w:eastAsia="Arial" w:hAnsi="Arial"/>
          <w:sz w:val="12"/>
          <w:szCs w:val="12"/>
          <w:color w:val="auto"/>
        </w:rPr>
        <w:t xml:space="preserve">. FASB issued ASU 2016-02 to increase transparency and comparability among organizations by recognizing lease assets and lease liabilities on the balance sheet and disclosing key information about leasing arrangements. Certain qualitative and quantitative disclosures are required, as well as a retrospective recognition and measurement of impacted leases. In June 2020, FASB issued ASU 2020-05, </w:t>
      </w:r>
      <w:r>
        <w:rPr>
          <w:rFonts w:ascii="Arial" w:cs="Arial" w:eastAsia="Arial" w:hAnsi="Arial"/>
          <w:sz w:val="12"/>
          <w:szCs w:val="12"/>
          <w:i w:val="1"/>
          <w:iCs w:val="1"/>
          <w:color w:val="auto"/>
        </w:rPr>
        <w:t>Revenue from Contracts</w:t>
      </w:r>
      <w:r>
        <w:rPr>
          <w:rFonts w:ascii="Arial" w:cs="Arial" w:eastAsia="Arial" w:hAnsi="Arial"/>
          <w:sz w:val="12"/>
          <w:szCs w:val="12"/>
          <w:color w:val="auto"/>
        </w:rPr>
        <w:t xml:space="preserve"> </w:t>
      </w:r>
      <w:r>
        <w:rPr>
          <w:rFonts w:ascii="Arial" w:cs="Arial" w:eastAsia="Arial" w:hAnsi="Arial"/>
          <w:sz w:val="12"/>
          <w:szCs w:val="12"/>
          <w:i w:val="1"/>
          <w:iCs w:val="1"/>
          <w:color w:val="auto"/>
        </w:rPr>
        <w:t>with Customers (Topic 606) and Leases (Topic 842): Deferral of the Effective Dates for Certain Entities</w:t>
      </w:r>
      <w:r>
        <w:rPr>
          <w:rFonts w:ascii="Arial" w:cs="Arial" w:eastAsia="Arial" w:hAnsi="Arial"/>
          <w:sz w:val="12"/>
          <w:szCs w:val="12"/>
          <w:color w:val="auto"/>
        </w:rPr>
        <w:t>, which deferred the effective date of ASU 2016-02 to annual reporting periods beginning after</w:t>
      </w:r>
    </w:p>
    <w:p>
      <w:pPr>
        <w:jc w:val="both"/>
        <w:spacing w:after="0" w:line="262" w:lineRule="auto"/>
        <w:rPr>
          <w:sz w:val="20"/>
          <w:szCs w:val="20"/>
          <w:color w:val="auto"/>
        </w:rPr>
      </w:pPr>
      <w:r>
        <w:rPr>
          <w:rFonts w:ascii="Arial" w:cs="Arial" w:eastAsia="Arial" w:hAnsi="Arial"/>
          <w:sz w:val="13"/>
          <w:szCs w:val="13"/>
          <w:color w:val="auto"/>
        </w:rPr>
        <w:t xml:space="preserve">December 15, 2021, with early adoption permitted. In July 2021, the FASB released Update No. 2021-05 </w:t>
      </w:r>
      <w:r>
        <w:rPr>
          <w:rFonts w:ascii="Arial" w:cs="Arial" w:eastAsia="Arial" w:hAnsi="Arial"/>
          <w:sz w:val="13"/>
          <w:szCs w:val="13"/>
          <w:i w:val="1"/>
          <w:iCs w:val="1"/>
          <w:color w:val="auto"/>
        </w:rPr>
        <w:t>Lessors—Certain Leases with Variable Lease Payments</w:t>
      </w:r>
      <w:r>
        <w:rPr>
          <w:rFonts w:ascii="Arial" w:cs="Arial" w:eastAsia="Arial" w:hAnsi="Arial"/>
          <w:sz w:val="13"/>
          <w:szCs w:val="13"/>
          <w:color w:val="auto"/>
        </w:rPr>
        <w:t>. The amendments in this update affect lessors with lease contracts that (1) have variable lease payments that do not depend on a reference index or a rate and (2) would have resulted in the recognition of a selling loss at lease commencement if classified as sales-type or direct financing. The amendments in this update amend Topic 842. The amendments are effective for fiscal years beginning after December 15, 2021, for all entities, and interim periods within those fiscal years for public business entities and interim periods within fiscal years beginning after December 15, 2022, for all other entities. Management expects that the adoption of this standard will result in the recording of a significant right of use asset and lease liability.</w:t>
      </w:r>
    </w:p>
    <w:p>
      <w:pPr>
        <w:spacing w:after="0" w:line="158" w:lineRule="exact"/>
        <w:rPr>
          <w:sz w:val="20"/>
          <w:szCs w:val="20"/>
          <w:color w:val="auto"/>
        </w:rPr>
      </w:pPr>
    </w:p>
    <w:p>
      <w:pPr>
        <w:jc w:val="both"/>
        <w:ind w:firstLine="254"/>
        <w:spacing w:after="0" w:line="271" w:lineRule="auto"/>
        <w:rPr>
          <w:sz w:val="20"/>
          <w:szCs w:val="20"/>
          <w:color w:val="auto"/>
        </w:rPr>
      </w:pPr>
      <w:r>
        <w:rPr>
          <w:rFonts w:ascii="Arial" w:cs="Arial" w:eastAsia="Arial" w:hAnsi="Arial"/>
          <w:sz w:val="13"/>
          <w:szCs w:val="13"/>
          <w:color w:val="auto"/>
        </w:rPr>
        <w:t xml:space="preserve">In June 2016, FASB issued ASU 2016-13, </w:t>
      </w:r>
      <w:r>
        <w:rPr>
          <w:rFonts w:ascii="Arial" w:cs="Arial" w:eastAsia="Arial" w:hAnsi="Arial"/>
          <w:sz w:val="13"/>
          <w:szCs w:val="13"/>
          <w:i w:val="1"/>
          <w:iCs w:val="1"/>
          <w:color w:val="auto"/>
        </w:rPr>
        <w:t>Financial Instruments – Credit Losses (Topic 326): Measurement of Credit Losses on Financial Instruments</w:t>
      </w:r>
      <w:r>
        <w:rPr>
          <w:rFonts w:ascii="Arial" w:cs="Arial" w:eastAsia="Arial" w:hAnsi="Arial"/>
          <w:sz w:val="13"/>
          <w:szCs w:val="13"/>
          <w:color w:val="auto"/>
        </w:rPr>
        <w:t xml:space="preserve">, to revise the criteria for the measurement, recognition, and reporting of credit losses on financial instruments to be recognized when expected. In November 2019, FASB issued ASU 2019-10, </w:t>
      </w:r>
      <w:r>
        <w:rPr>
          <w:rFonts w:ascii="Arial" w:cs="Arial" w:eastAsia="Arial" w:hAnsi="Arial"/>
          <w:sz w:val="13"/>
          <w:szCs w:val="13"/>
          <w:i w:val="1"/>
          <w:iCs w:val="1"/>
          <w:color w:val="auto"/>
        </w:rPr>
        <w:t>Financial Instruments—Credit Losses (Topic</w:t>
      </w:r>
      <w:r>
        <w:rPr>
          <w:rFonts w:ascii="Arial" w:cs="Arial" w:eastAsia="Arial" w:hAnsi="Arial"/>
          <w:sz w:val="13"/>
          <w:szCs w:val="13"/>
          <w:color w:val="auto"/>
        </w:rPr>
        <w:t xml:space="preserve"> </w:t>
      </w:r>
      <w:r>
        <w:rPr>
          <w:rFonts w:ascii="Arial" w:cs="Arial" w:eastAsia="Arial" w:hAnsi="Arial"/>
          <w:sz w:val="13"/>
          <w:szCs w:val="13"/>
          <w:i w:val="1"/>
          <w:iCs w:val="1"/>
          <w:color w:val="auto"/>
        </w:rPr>
        <w:t>326), Derivatives and Hedging (Topic 815), and Leases (Topic 842)</w:t>
      </w:r>
      <w:r>
        <w:rPr>
          <w:rFonts w:ascii="Arial" w:cs="Arial" w:eastAsia="Arial" w:hAnsi="Arial"/>
          <w:sz w:val="13"/>
          <w:szCs w:val="13"/>
          <w:color w:val="auto"/>
        </w:rPr>
        <w:t>, which deferred the effective date of ASU 2016-13 to annual reporting periods beginning after December 15, 2022, with early</w:t>
      </w:r>
      <w:r>
        <w:rPr>
          <w:rFonts w:ascii="Arial" w:cs="Arial" w:eastAsia="Arial" w:hAnsi="Arial"/>
          <w:sz w:val="13"/>
          <w:szCs w:val="13"/>
          <w:i w:val="1"/>
          <w:iCs w:val="1"/>
          <w:color w:val="auto"/>
        </w:rPr>
        <w:t xml:space="preserve"> </w:t>
      </w:r>
      <w:r>
        <w:rPr>
          <w:rFonts w:ascii="Arial" w:cs="Arial" w:eastAsia="Arial" w:hAnsi="Arial"/>
          <w:sz w:val="13"/>
          <w:szCs w:val="13"/>
          <w:color w:val="auto"/>
        </w:rPr>
        <w:t>adoption permitted. Management is currently evaluating the impact of adopting this standard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6" w:right="319" w:bottom="1440" w:gutter="0" w:footer="0" w:header="0"/>
        </w:sectPr>
      </w:pPr>
    </w:p>
    <w:bookmarkStart w:id="13" w:name="page14"/>
    <w:bookmarkEnd w:id="13"/>
    <w:p>
      <w:pPr>
        <w:ind w:left="260"/>
        <w:spacing w:after="0"/>
        <w:rPr>
          <w:sz w:val="20"/>
          <w:szCs w:val="20"/>
          <w:color w:val="auto"/>
        </w:rPr>
      </w:pPr>
      <w:r>
        <w:rPr>
          <w:rFonts w:ascii="Arial" w:cs="Arial" w:eastAsia="Arial" w:hAnsi="Arial"/>
          <w:sz w:val="12"/>
          <w:szCs w:val="12"/>
          <w:color w:val="auto"/>
        </w:rPr>
        <w:t xml:space="preserve">In October 2021, the FASB issued ASU 2021-08 - </w:t>
      </w:r>
      <w:r>
        <w:rPr>
          <w:rFonts w:ascii="Arial" w:cs="Arial" w:eastAsia="Arial" w:hAnsi="Arial"/>
          <w:sz w:val="12"/>
          <w:szCs w:val="12"/>
          <w:i w:val="1"/>
          <w:iCs w:val="1"/>
          <w:color w:val="auto"/>
        </w:rPr>
        <w:t>Business Combinations (Topic 805): Accounting for Contract Assets and Contract Liabilities from Contracts with Customer</w:t>
      </w:r>
      <w:r>
        <w:rPr>
          <w:rFonts w:ascii="Arial" w:cs="Arial" w:eastAsia="Arial" w:hAnsi="Arial"/>
          <w:sz w:val="12"/>
          <w:szCs w:val="12"/>
          <w:color w:val="auto"/>
        </w:rPr>
        <w:t>s. The amendments</w:t>
      </w:r>
    </w:p>
    <w:p>
      <w:pPr>
        <w:spacing w:after="0" w:line="22" w:lineRule="exact"/>
        <w:rPr>
          <w:sz w:val="20"/>
          <w:szCs w:val="20"/>
          <w:color w:val="auto"/>
        </w:rPr>
      </w:pPr>
    </w:p>
    <w:p>
      <w:pPr>
        <w:spacing w:after="0" w:line="248" w:lineRule="auto"/>
        <w:rPr>
          <w:sz w:val="20"/>
          <w:szCs w:val="20"/>
          <w:color w:val="auto"/>
        </w:rPr>
      </w:pPr>
      <w:r>
        <w:rPr>
          <w:rFonts w:ascii="Arial" w:cs="Arial" w:eastAsia="Arial" w:hAnsi="Arial"/>
          <w:sz w:val="12"/>
          <w:szCs w:val="12"/>
          <w:color w:val="auto"/>
        </w:rPr>
        <w:t>in this update require that an entity (acquirer)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For public business entities, the amendments in this update are effective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3"/>
          <w:szCs w:val="13"/>
          <w:color w:val="auto"/>
        </w:rPr>
        <w:t>for fiscal years beginning after December 15, 2022, including interim periods within those fiscal years. The amendments in this update should be applied prospectively to business combinations occurring on or after the effective date of the amendments. Early adoption of the amendments is permitted, including adoption in an interim period. An entity that early adopts in an interim period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should apply the amendments (1) retrospectively to all business combinations for which the acquisition date occurs on or after the beginning of the fiscal year that includes the interim period of early</w:t>
      </w:r>
    </w:p>
    <w:p>
      <w:pPr>
        <w:spacing w:after="0" w:line="10" w:lineRule="exact"/>
        <w:rPr>
          <w:sz w:val="20"/>
          <w:szCs w:val="20"/>
          <w:color w:val="auto"/>
        </w:rPr>
      </w:pPr>
    </w:p>
    <w:p>
      <w:pPr>
        <w:spacing w:after="0" w:line="227" w:lineRule="auto"/>
        <w:rPr>
          <w:sz w:val="20"/>
          <w:szCs w:val="20"/>
          <w:color w:val="auto"/>
        </w:rPr>
      </w:pPr>
      <w:r>
        <w:rPr>
          <w:rFonts w:ascii="Arial" w:cs="Arial" w:eastAsia="Arial" w:hAnsi="Arial"/>
          <w:sz w:val="14"/>
          <w:szCs w:val="14"/>
          <w:color w:val="auto"/>
        </w:rPr>
        <w:t xml:space="preserve">application and (2) prospectively to all business combinations that occur on or after the date of initial application. Management is currently evaluating the impact of adopting this standard </w:t>
      </w:r>
      <w:r>
        <w:rPr>
          <w:rFonts w:ascii="Arial" w:cs="Arial" w:eastAsia="Arial" w:hAnsi="Arial"/>
          <w:sz w:val="14"/>
          <w:szCs w:val="14"/>
          <w:color w:val="333333"/>
        </w:rPr>
        <w:t>on our</w:t>
      </w:r>
      <w:r>
        <w:rPr>
          <w:rFonts w:ascii="Arial" w:cs="Arial" w:eastAsia="Arial" w:hAnsi="Arial"/>
          <w:sz w:val="14"/>
          <w:szCs w:val="14"/>
          <w:color w:val="auto"/>
        </w:rPr>
        <w:t xml:space="preserve"> </w:t>
      </w:r>
      <w:r>
        <w:rPr>
          <w:rFonts w:ascii="Arial" w:cs="Arial" w:eastAsia="Arial" w:hAnsi="Arial"/>
          <w:sz w:val="14"/>
          <w:szCs w:val="14"/>
          <w:color w:val="333333"/>
        </w:rPr>
        <w:t>financial condition and results of operations</w:t>
      </w:r>
      <w:r>
        <w:rPr>
          <w:rFonts w:ascii="Arial" w:cs="Arial" w:eastAsia="Arial" w:hAnsi="Arial"/>
          <w:sz w:val="14"/>
          <w:szCs w:val="14"/>
          <w:color w:val="000000"/>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20"/>
                <w:szCs w:val="20"/>
                <w:color w:val="auto"/>
              </w:rPr>
            </w:pPr>
            <w:r>
              <w:rPr>
                <w:rFonts w:ascii="Arial" w:cs="Arial" w:eastAsia="Arial" w:hAnsi="Arial"/>
                <w:sz w:val="14"/>
                <w:szCs w:val="14"/>
                <w:b w:val="1"/>
                <w:bCs w:val="1"/>
                <w:color w:val="auto"/>
              </w:rPr>
              <w:t>NOTE 3 – ACCOUNTS RECEIVABLE</w:t>
            </w:r>
          </w:p>
        </w:tc>
        <w:tc>
          <w:tcPr>
            <w:tcW w:w="1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350"/>
        </w:trPr>
        <w:tc>
          <w:tcPr>
            <w:tcW w:w="7640" w:type="dxa"/>
            <w:vAlign w:val="bottom"/>
          </w:tcPr>
          <w:p>
            <w:pPr>
              <w:ind w:left="260"/>
              <w:spacing w:after="0"/>
              <w:rPr>
                <w:sz w:val="20"/>
                <w:szCs w:val="20"/>
                <w:color w:val="auto"/>
              </w:rPr>
            </w:pPr>
            <w:r>
              <w:rPr>
                <w:rFonts w:ascii="Arial" w:cs="Arial" w:eastAsia="Arial" w:hAnsi="Arial"/>
                <w:sz w:val="14"/>
                <w:szCs w:val="14"/>
                <w:color w:val="auto"/>
              </w:rPr>
              <w:t>Accounts receivable, net consisted of the following (in thousands):</w:t>
            </w: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2"/>
        </w:trPr>
        <w:tc>
          <w:tcPr>
            <w:tcW w:w="7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80"/>
        </w:trPr>
        <w:tc>
          <w:tcPr>
            <w:tcW w:w="76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September 30,</w:t>
            </w: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764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r>
      <w:tr>
        <w:trPr>
          <w:trHeight w:val="171"/>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1420" w:type="dxa"/>
            <w:vAlign w:val="bottom"/>
            <w:shd w:val="clear" w:color="auto" w:fill="CCEEFF"/>
          </w:tcPr>
          <w:p>
            <w:pPr>
              <w:jc w:val="right"/>
              <w:ind w:right="126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4,463</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r>
      <w:tr>
        <w:trPr>
          <w:trHeight w:val="18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Unbilled receivables</w:t>
            </w:r>
          </w:p>
        </w:tc>
        <w:tc>
          <w:tcPr>
            <w:tcW w:w="1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w:t>
            </w:r>
          </w:p>
        </w:tc>
      </w:tr>
      <w:tr>
        <w:trPr>
          <w:trHeight w:val="171"/>
        </w:trPr>
        <w:tc>
          <w:tcPr>
            <w:tcW w:w="7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Receivables</w:t>
            </w:r>
          </w:p>
        </w:tc>
        <w:tc>
          <w:tcPr>
            <w:tcW w:w="14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5,178</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3,340</w:t>
            </w:r>
          </w:p>
        </w:tc>
      </w:tr>
      <w:tr>
        <w:trPr>
          <w:trHeight w:val="18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allowance for doubtful accounts</w:t>
            </w:r>
          </w:p>
        </w:tc>
        <w:tc>
          <w:tcPr>
            <w:tcW w:w="1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r>
      <w:tr>
        <w:trPr>
          <w:trHeight w:val="19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1420" w:type="dxa"/>
            <w:vAlign w:val="bottom"/>
            <w:tcBorders>
              <w:bottom w:val="single" w:sz="8" w:color="auto"/>
            </w:tcBorders>
            <w:shd w:val="clear" w:color="auto" w:fill="CCEEFF"/>
          </w:tcPr>
          <w:p>
            <w:pPr>
              <w:jc w:val="right"/>
              <w:ind w:right="126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4,727</w:t>
            </w:r>
          </w:p>
        </w:tc>
        <w:tc>
          <w:tcPr>
            <w:tcW w:w="2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3,045</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254"/>
        <w:spacing w:after="0" w:line="245" w:lineRule="auto"/>
        <w:rPr>
          <w:sz w:val="20"/>
          <w:szCs w:val="20"/>
          <w:color w:val="auto"/>
        </w:rPr>
      </w:pPr>
      <w:r>
        <w:rPr>
          <w:rFonts w:ascii="Arial" w:cs="Arial" w:eastAsia="Arial" w:hAnsi="Arial"/>
          <w:sz w:val="14"/>
          <w:szCs w:val="14"/>
          <w:color w:val="auto"/>
        </w:rPr>
        <w:t>Bad debt expense was $94,000 and $30,000 for the three months ended September 30, 2022 and 2021, respectively, and $280,000 and $90,000 for the nine months ended September 30, 2022 and 2021,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PREPAID EXPENSES AND OTHER CURRENT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60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 consisted of the following (in thousands):</w:t>
            </w:r>
          </w:p>
        </w:tc>
        <w:tc>
          <w:tcPr>
            <w:tcW w:w="1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2"/>
        </w:trPr>
        <w:tc>
          <w:tcPr>
            <w:tcW w:w="7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0"/>
        </w:trPr>
        <w:tc>
          <w:tcPr>
            <w:tcW w:w="76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September 30,</w:t>
            </w: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76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2021</w:t>
            </w:r>
          </w:p>
        </w:tc>
      </w:tr>
      <w:tr>
        <w:trPr>
          <w:trHeight w:val="171"/>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insurance</w:t>
            </w:r>
          </w:p>
        </w:tc>
        <w:tc>
          <w:tcPr>
            <w:tcW w:w="1360" w:type="dxa"/>
            <w:vAlign w:val="bottom"/>
            <w:shd w:val="clear" w:color="auto" w:fill="CCEEFF"/>
          </w:tcPr>
          <w:p>
            <w:pPr>
              <w:jc w:val="right"/>
              <w:ind w:right="1209"/>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1,368</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80"/>
        </w:trPr>
        <w:tc>
          <w:tcPr>
            <w:tcW w:w="7600" w:type="dxa"/>
            <w:vAlign w:val="bottom"/>
          </w:tcPr>
          <w:p>
            <w:pPr>
              <w:ind w:left="20"/>
              <w:spacing w:after="0"/>
              <w:rPr>
                <w:sz w:val="20"/>
                <w:szCs w:val="20"/>
                <w:color w:val="auto"/>
              </w:rPr>
            </w:pPr>
            <w:r>
              <w:rPr>
                <w:rFonts w:ascii="Arial" w:cs="Arial" w:eastAsia="Arial" w:hAnsi="Arial"/>
                <w:sz w:val="14"/>
                <w:szCs w:val="14"/>
                <w:color w:val="auto"/>
              </w:rPr>
              <w:t>Other prepaid expenses</w:t>
            </w:r>
          </w:p>
        </w:tc>
        <w:tc>
          <w:tcPr>
            <w:tcW w:w="13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968</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828</w:t>
            </w:r>
          </w:p>
        </w:tc>
      </w:tr>
      <w:tr>
        <w:trPr>
          <w:trHeight w:val="180"/>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Deposits</w:t>
            </w:r>
          </w:p>
        </w:tc>
        <w:tc>
          <w:tcPr>
            <w:tcW w:w="13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71"/>
        </w:trPr>
        <w:tc>
          <w:tcPr>
            <w:tcW w:w="7600" w:type="dxa"/>
            <w:vAlign w:val="bottom"/>
          </w:tcPr>
          <w:p>
            <w:pPr>
              <w:spacing w:after="0"/>
              <w:rPr>
                <w:sz w:val="14"/>
                <w:szCs w:val="14"/>
                <w:color w:val="auto"/>
              </w:rPr>
            </w:pPr>
          </w:p>
        </w:tc>
        <w:tc>
          <w:tcPr>
            <w:tcW w:w="1360" w:type="dxa"/>
            <w:vAlign w:val="bottom"/>
            <w:tcBorders>
              <w:bottom w:val="single" w:sz="8" w:color="auto"/>
            </w:tcBorders>
          </w:tcPr>
          <w:p>
            <w:pPr>
              <w:jc w:val="right"/>
              <w:ind w:right="1209"/>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2,425</w:t>
            </w:r>
          </w:p>
        </w:tc>
        <w:tc>
          <w:tcPr>
            <w:tcW w:w="1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w:t>
            </w:r>
          </w:p>
        </w:tc>
      </w:tr>
      <w:tr>
        <w:trPr>
          <w:trHeight w:val="20"/>
        </w:trPr>
        <w:tc>
          <w:tcPr>
            <w:tcW w:w="76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20"/>
                <w:szCs w:val="20"/>
                <w:color w:val="auto"/>
              </w:rPr>
            </w:pPr>
            <w:r>
              <w:rPr>
                <w:rFonts w:ascii="Arial" w:cs="Arial" w:eastAsia="Arial" w:hAnsi="Arial"/>
                <w:sz w:val="14"/>
                <w:szCs w:val="14"/>
                <w:b w:val="1"/>
                <w:bCs w:val="1"/>
                <w:color w:val="auto"/>
              </w:rPr>
              <w:t>NOTE 5 – PROPERTY AND EQUIPMENT</w:t>
            </w:r>
          </w:p>
        </w:tc>
        <w:tc>
          <w:tcPr>
            <w:tcW w:w="1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50"/>
        </w:trPr>
        <w:tc>
          <w:tcPr>
            <w:tcW w:w="7540" w:type="dxa"/>
            <w:vAlign w:val="bottom"/>
          </w:tcPr>
          <w:p>
            <w:pPr>
              <w:ind w:left="260"/>
              <w:spacing w:after="0"/>
              <w:rPr>
                <w:sz w:val="20"/>
                <w:szCs w:val="20"/>
                <w:color w:val="auto"/>
              </w:rPr>
            </w:pPr>
            <w:r>
              <w:rPr>
                <w:rFonts w:ascii="Arial" w:cs="Arial" w:eastAsia="Arial" w:hAnsi="Arial"/>
                <w:sz w:val="14"/>
                <w:szCs w:val="14"/>
                <w:color w:val="auto"/>
              </w:rPr>
              <w:t>Property and equipment consist of the following (in thousands):</w:t>
            </w: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
        </w:trPr>
        <w:tc>
          <w:tcPr>
            <w:tcW w:w="7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0"/>
        </w:trPr>
        <w:tc>
          <w:tcPr>
            <w:tcW w:w="754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September 30,</w:t>
            </w: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389"/>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754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2021</w:t>
            </w:r>
          </w:p>
        </w:tc>
      </w:tr>
      <w:tr>
        <w:trPr>
          <w:trHeight w:val="171"/>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w:t>
            </w:r>
          </w:p>
        </w:tc>
        <w:tc>
          <w:tcPr>
            <w:tcW w:w="1400" w:type="dxa"/>
            <w:vAlign w:val="bottom"/>
            <w:shd w:val="clear" w:color="auto" w:fill="CCEEFF"/>
          </w:tcPr>
          <w:p>
            <w:pPr>
              <w:jc w:val="right"/>
              <w:ind w:right="1249"/>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r>
      <w:tr>
        <w:trPr>
          <w:trHeight w:val="180"/>
        </w:trPr>
        <w:tc>
          <w:tcPr>
            <w:tcW w:w="7540" w:type="dxa"/>
            <w:vAlign w:val="bottom"/>
          </w:tcPr>
          <w:p>
            <w:pPr>
              <w:ind w:left="20"/>
              <w:spacing w:after="0"/>
              <w:rPr>
                <w:sz w:val="20"/>
                <w:szCs w:val="20"/>
                <w:color w:val="auto"/>
              </w:rPr>
            </w:pPr>
            <w:r>
              <w:rPr>
                <w:rFonts w:ascii="Arial" w:cs="Arial" w:eastAsia="Arial" w:hAnsi="Arial"/>
                <w:sz w:val="14"/>
                <w:szCs w:val="14"/>
                <w:color w:val="auto"/>
              </w:rPr>
              <w:t>Furniture &amp; Fixtures</w:t>
            </w:r>
          </w:p>
        </w:tc>
        <w:tc>
          <w:tcPr>
            <w:tcW w:w="14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Data warehouse</w:t>
            </w:r>
          </w:p>
        </w:tc>
        <w:tc>
          <w:tcPr>
            <w:tcW w:w="14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r>
      <w:tr>
        <w:trPr>
          <w:trHeight w:val="180"/>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Software</w:t>
            </w:r>
          </w:p>
        </w:tc>
        <w:tc>
          <w:tcPr>
            <w:tcW w:w="1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r>
      <w:tr>
        <w:trPr>
          <w:trHeight w:val="171"/>
        </w:trPr>
        <w:tc>
          <w:tcPr>
            <w:tcW w:w="7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Cost</w:t>
            </w:r>
          </w:p>
        </w:tc>
        <w:tc>
          <w:tcPr>
            <w:tcW w:w="14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819</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w:t>
            </w:r>
          </w:p>
        </w:tc>
      </w:tr>
      <w:tr>
        <w:trPr>
          <w:trHeight w:val="180"/>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1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r>
      <w:tr>
        <w:trPr>
          <w:trHeight w:val="196"/>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2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useful life of computer equipment, software, and the data warehouse is 3 years. Furniture and fixtures are depreciated over 5 years.</w:t>
      </w:r>
    </w:p>
    <w:p>
      <w:pPr>
        <w:spacing w:after="0" w:line="178"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Depreciation and amortization expense for the three months ended September 30, 2022 and 2021 was $67,000 and $50,000, respectively, and $191,000 and $62,000 for the nine months ended September 30, 2022 and 2021, respectively.</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amounts are included in general and administrative expenses in the consolidated statements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CONVERTIBLE NOTE RECEIVABLE</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April 2022, the Company purchased $250,000 in aggregate principal amount of convertible promissory note due April 1, 2026 (the “Convertible Note Receivable”).</w:t>
      </w:r>
    </w:p>
    <w:p>
      <w:pPr>
        <w:spacing w:after="0" w:line="189" w:lineRule="exact"/>
        <w:rPr>
          <w:sz w:val="20"/>
          <w:szCs w:val="20"/>
          <w:color w:val="auto"/>
        </w:rPr>
      </w:pPr>
    </w:p>
    <w:p>
      <w:pPr>
        <w:jc w:val="both"/>
        <w:ind w:firstLine="285"/>
        <w:spacing w:after="0" w:line="304" w:lineRule="auto"/>
        <w:rPr>
          <w:sz w:val="20"/>
          <w:szCs w:val="20"/>
          <w:color w:val="auto"/>
        </w:rPr>
      </w:pPr>
      <w:r>
        <w:rPr>
          <w:rFonts w:ascii="Arial" w:cs="Arial" w:eastAsia="Arial" w:hAnsi="Arial"/>
          <w:sz w:val="13"/>
          <w:szCs w:val="13"/>
          <w:color w:val="auto"/>
        </w:rPr>
        <w:t>The Convertible Note Receivable accrues interest at the rate of 5% per annum on the principal amount of the Convertible Note Receivable. The issuer may not prepay the note prior to its maturity date without the consent of the Company. The Convertible Note Receivable is convertible, and the conversion price is based on the occurrence of certain actions by the issuer.</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00" w:type="dxa"/>
            <w:vAlign w:val="bottom"/>
          </w:tcPr>
          <w:p>
            <w:pPr>
              <w:spacing w:after="0"/>
              <w:rPr>
                <w:sz w:val="20"/>
                <w:szCs w:val="20"/>
                <w:color w:val="auto"/>
              </w:rPr>
            </w:pPr>
            <w:r>
              <w:rPr>
                <w:rFonts w:ascii="Arial" w:cs="Arial" w:eastAsia="Arial" w:hAnsi="Arial"/>
                <w:sz w:val="14"/>
                <w:szCs w:val="14"/>
                <w:b w:val="1"/>
                <w:bCs w:val="1"/>
                <w:color w:val="auto"/>
              </w:rPr>
              <w:t>NOTE 7 – ACCRUED EXPENSES AND OTHER LIABILITIES</w:t>
            </w: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60"/>
        </w:trPr>
        <w:tc>
          <w:tcPr>
            <w:tcW w:w="7500" w:type="dxa"/>
            <w:vAlign w:val="bottom"/>
          </w:tcPr>
          <w:p>
            <w:pPr>
              <w:ind w:left="260"/>
              <w:spacing w:after="0"/>
              <w:rPr>
                <w:sz w:val="20"/>
                <w:szCs w:val="20"/>
                <w:color w:val="auto"/>
              </w:rPr>
            </w:pPr>
            <w:r>
              <w:rPr>
                <w:rFonts w:ascii="Arial" w:cs="Arial" w:eastAsia="Arial" w:hAnsi="Arial"/>
                <w:sz w:val="14"/>
                <w:szCs w:val="14"/>
                <w:color w:val="auto"/>
              </w:rPr>
              <w:t>Accrued expenses and other current liabilities consisted of the following (in thousands):</w:t>
            </w: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2"/>
        </w:trPr>
        <w:tc>
          <w:tcPr>
            <w:tcW w:w="75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80"/>
        </w:trPr>
        <w:tc>
          <w:tcPr>
            <w:tcW w:w="7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September 30,</w:t>
            </w: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409"/>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75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auto"/>
              </w:rPr>
              <w:t>2021</w:t>
            </w:r>
          </w:p>
        </w:tc>
      </w:tr>
      <w:tr>
        <w:trPr>
          <w:trHeight w:val="171"/>
        </w:trPr>
        <w:tc>
          <w:tcPr>
            <w:tcW w:w="7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wages, commission and bonus</w:t>
            </w:r>
          </w:p>
        </w:tc>
        <w:tc>
          <w:tcPr>
            <w:tcW w:w="1280" w:type="dxa"/>
            <w:vAlign w:val="bottom"/>
            <w:shd w:val="clear" w:color="auto" w:fill="CCEEFF"/>
          </w:tcPr>
          <w:p>
            <w:pPr>
              <w:jc w:val="right"/>
              <w:ind w:right="1109"/>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1,043</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r>
      <w:tr>
        <w:trPr>
          <w:trHeight w:val="180"/>
        </w:trPr>
        <w:tc>
          <w:tcPr>
            <w:tcW w:w="750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12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299</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862</w:t>
            </w:r>
          </w:p>
        </w:tc>
      </w:tr>
      <w:tr>
        <w:trPr>
          <w:trHeight w:val="180"/>
        </w:trPr>
        <w:tc>
          <w:tcPr>
            <w:tcW w:w="7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financial advisory fees</w:t>
            </w:r>
          </w:p>
        </w:tc>
        <w:tc>
          <w:tcPr>
            <w:tcW w:w="128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1,000</w:t>
            </w: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12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w:t>
            </w:r>
          </w:p>
        </w:tc>
        <w:tc>
          <w:tcPr>
            <w:tcW w:w="3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r>
      <w:tr>
        <w:trPr>
          <w:trHeight w:val="196"/>
        </w:trPr>
        <w:tc>
          <w:tcPr>
            <w:tcW w:w="75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10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2,518</w:t>
            </w:r>
          </w:p>
        </w:tc>
        <w:tc>
          <w:tcPr>
            <w:tcW w:w="3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1,722</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Related Party Vendors</w:t>
      </w:r>
    </w:p>
    <w:p>
      <w:pPr>
        <w:spacing w:after="0" w:line="189" w:lineRule="exact"/>
        <w:rPr>
          <w:sz w:val="20"/>
          <w:szCs w:val="20"/>
          <w:color w:val="auto"/>
        </w:rPr>
      </w:pPr>
    </w:p>
    <w:p>
      <w:pPr>
        <w:jc w:val="both"/>
        <w:ind w:firstLine="254"/>
        <w:spacing w:after="0" w:line="249" w:lineRule="auto"/>
        <w:rPr>
          <w:sz w:val="20"/>
          <w:szCs w:val="20"/>
          <w:color w:val="auto"/>
        </w:rPr>
      </w:pPr>
      <w:r>
        <w:rPr>
          <w:rFonts w:ascii="Arial" w:cs="Arial" w:eastAsia="Arial" w:hAnsi="Arial"/>
          <w:sz w:val="14"/>
          <w:szCs w:val="14"/>
          <w:color w:val="auto"/>
        </w:rPr>
        <w:t>The Company incurred software development and information technology related costs to a vendor related to a major stockholder of approximately $44,000 and $107,000 for the three and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2" w:right="319" w:bottom="1440" w:gutter="0" w:footer="0" w:header="0"/>
        </w:sectPr>
      </w:pPr>
    </w:p>
    <w:bookmarkStart w:id="15" w:name="page16"/>
    <w:bookmarkEnd w:id="15"/>
    <w:p>
      <w:pPr>
        <w:spacing w:after="0"/>
        <w:rPr>
          <w:sz w:val="20"/>
          <w:szCs w:val="20"/>
          <w:color w:val="auto"/>
        </w:rPr>
      </w:pPr>
      <w:r>
        <w:rPr>
          <w:rFonts w:ascii="Arial" w:cs="Arial" w:eastAsia="Arial" w:hAnsi="Arial"/>
          <w:sz w:val="13"/>
          <w:szCs w:val="13"/>
          <w:color w:val="auto"/>
        </w:rPr>
        <w:t>respectively, with $80,000 and $261,000 for the three and nine months ended September 30, 2021, respectively. These amounts are included in technology and software development expenses.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BUSINESS COMBINATION</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Reverse Merger</w:t>
      </w:r>
    </w:p>
    <w:p>
      <w:pPr>
        <w:spacing w:after="0" w:line="189" w:lineRule="exact"/>
        <w:rPr>
          <w:sz w:val="20"/>
          <w:szCs w:val="20"/>
          <w:color w:val="auto"/>
        </w:rPr>
      </w:pPr>
    </w:p>
    <w:p>
      <w:pPr>
        <w:jc w:val="both"/>
        <w:ind w:firstLine="285"/>
        <w:spacing w:after="0" w:line="246" w:lineRule="auto"/>
        <w:rPr>
          <w:sz w:val="20"/>
          <w:szCs w:val="20"/>
          <w:color w:val="auto"/>
        </w:rPr>
      </w:pPr>
      <w:r>
        <w:rPr>
          <w:rFonts w:ascii="Arial" w:cs="Arial" w:eastAsia="Arial" w:hAnsi="Arial"/>
          <w:sz w:val="14"/>
          <w:szCs w:val="14"/>
          <w:color w:val="auto"/>
        </w:rPr>
        <w:t>The business combination between Tuatara and Legacy SpringBig was consummated on June 14, 2022. Holders of an aggregate of 19,123,806 Class A ordinary shares of Tuatara sold in its initial public offering exercised their right to have such shares redeemed for a full pro rata portion of the trust account holding the proceeds from Tuatara’s IPO, which was approximately $10.01 per share, or $191,437,817 in the aggregate. The holders that did not elect to have their shares redeemed, received, following the domestication, additional shares of common stock which amounted to 876,194 shares of common stock, resulting in total shares of 1,752,388.</w:t>
      </w:r>
    </w:p>
    <w:p>
      <w:pPr>
        <w:spacing w:after="0" w:line="156" w:lineRule="exact"/>
        <w:rPr>
          <w:sz w:val="20"/>
          <w:szCs w:val="20"/>
          <w:color w:val="auto"/>
        </w:rPr>
      </w:pPr>
    </w:p>
    <w:p>
      <w:pPr>
        <w:jc w:val="both"/>
        <w:ind w:firstLine="254"/>
        <w:spacing w:after="0" w:line="300" w:lineRule="auto"/>
        <w:rPr>
          <w:sz w:val="20"/>
          <w:szCs w:val="20"/>
          <w:color w:val="auto"/>
        </w:rPr>
      </w:pPr>
      <w:r>
        <w:rPr>
          <w:rFonts w:ascii="Arial" w:cs="Arial" w:eastAsia="Arial" w:hAnsi="Arial"/>
          <w:sz w:val="12"/>
          <w:szCs w:val="12"/>
          <w:color w:val="222222"/>
        </w:rPr>
        <w:t xml:space="preserve">Beginning June 15, 2022, the ticker symbols for TCAC’s common stock and warrants were changed to “SBIG” and “SBIGW,” respectively, and commenced trading on The Nasdaq Global Market. The Company received net proceeds of </w:t>
      </w:r>
      <w:r>
        <w:rPr>
          <w:rFonts w:ascii="Arial" w:cs="Arial" w:eastAsia="Arial" w:hAnsi="Arial"/>
          <w:sz w:val="12"/>
          <w:szCs w:val="12"/>
          <w:color w:val="000000"/>
        </w:rPr>
        <w:t>$18.8 million</w:t>
      </w:r>
      <w:r>
        <w:rPr>
          <w:rFonts w:ascii="Arial" w:cs="Arial" w:eastAsia="Arial" w:hAnsi="Arial"/>
          <w:sz w:val="12"/>
          <w:szCs w:val="12"/>
          <w:color w:val="222222"/>
        </w:rPr>
        <w:t xml:space="preserve">, with gross proceeds of </w:t>
      </w:r>
      <w:r>
        <w:rPr>
          <w:rFonts w:ascii="Arial" w:cs="Arial" w:eastAsia="Arial" w:hAnsi="Arial"/>
          <w:sz w:val="12"/>
          <w:szCs w:val="12"/>
          <w:color w:val="000000"/>
        </w:rPr>
        <w:t>$25.1 million</w:t>
      </w:r>
      <w:r>
        <w:rPr>
          <w:rFonts w:ascii="Arial" w:cs="Arial" w:eastAsia="Arial" w:hAnsi="Arial"/>
          <w:sz w:val="12"/>
          <w:szCs w:val="12"/>
          <w:color w:val="222222"/>
        </w:rPr>
        <w:t xml:space="preserve">, in addition to the </w:t>
      </w:r>
      <w:r>
        <w:rPr>
          <w:rFonts w:ascii="Arial" w:cs="Arial" w:eastAsia="Arial" w:hAnsi="Arial"/>
          <w:sz w:val="12"/>
          <w:szCs w:val="12"/>
          <w:color w:val="000000"/>
        </w:rPr>
        <w:t>$7.0 million</w:t>
      </w:r>
      <w:r>
        <w:rPr>
          <w:rFonts w:ascii="Arial" w:cs="Arial" w:eastAsia="Arial" w:hAnsi="Arial"/>
          <w:sz w:val="12"/>
          <w:szCs w:val="12"/>
          <w:color w:val="222222"/>
        </w:rPr>
        <w:t xml:space="preserve"> Convertible Notes which were issued in February 2022 and were converted into common stock at the Closing, see Note 9, 15% Convertible Promissory Notes, to these consolidated financial statements for further information. Of the amounts received, approximately </w:t>
      </w:r>
      <w:r>
        <w:rPr>
          <w:rFonts w:ascii="Arial" w:cs="Arial" w:eastAsia="Arial" w:hAnsi="Arial"/>
          <w:sz w:val="12"/>
          <w:szCs w:val="12"/>
          <w:color w:val="000000"/>
        </w:rPr>
        <w:t>$8.8 million</w:t>
      </w:r>
      <w:r>
        <w:rPr>
          <w:rFonts w:ascii="Arial" w:cs="Arial" w:eastAsia="Arial" w:hAnsi="Arial"/>
          <w:sz w:val="12"/>
          <w:szCs w:val="12"/>
          <w:color w:val="222222"/>
        </w:rPr>
        <w:t xml:space="preserve"> represents remaining funds for unredeemed shares from the TCAC trust; </w:t>
      </w:r>
      <w:r>
        <w:rPr>
          <w:rFonts w:ascii="Arial" w:cs="Arial" w:eastAsia="Arial" w:hAnsi="Arial"/>
          <w:sz w:val="12"/>
          <w:szCs w:val="12"/>
          <w:color w:val="000000"/>
        </w:rPr>
        <w:t>$6.1 million</w:t>
      </w:r>
      <w:r>
        <w:rPr>
          <w:rFonts w:ascii="Arial" w:cs="Arial" w:eastAsia="Arial" w:hAnsi="Arial"/>
          <w:sz w:val="12"/>
          <w:szCs w:val="12"/>
          <w:color w:val="222222"/>
        </w:rPr>
        <w:t xml:space="preserve"> from PIPE Financing proceeds and </w:t>
      </w:r>
      <w:r>
        <w:rPr>
          <w:rFonts w:ascii="Arial" w:cs="Arial" w:eastAsia="Arial" w:hAnsi="Arial"/>
          <w:sz w:val="12"/>
          <w:szCs w:val="12"/>
          <w:color w:val="000000"/>
        </w:rPr>
        <w:t>$10.0 million</w:t>
      </w:r>
      <w:r>
        <w:rPr>
          <w:rFonts w:ascii="Arial" w:cs="Arial" w:eastAsia="Arial" w:hAnsi="Arial"/>
          <w:sz w:val="12"/>
          <w:szCs w:val="12"/>
          <w:color w:val="222222"/>
        </w:rPr>
        <w:t xml:space="preserve"> from the Secured Convertible Note.</w:t>
      </w:r>
    </w:p>
    <w:p>
      <w:pPr>
        <w:spacing w:after="0" w:line="137" w:lineRule="exact"/>
        <w:rPr>
          <w:sz w:val="20"/>
          <w:szCs w:val="20"/>
          <w:color w:val="auto"/>
        </w:rPr>
      </w:pPr>
    </w:p>
    <w:p>
      <w:pPr>
        <w:jc w:val="both"/>
        <w:ind w:firstLine="254"/>
        <w:spacing w:after="0" w:line="279" w:lineRule="auto"/>
        <w:rPr>
          <w:sz w:val="20"/>
          <w:szCs w:val="20"/>
          <w:color w:val="auto"/>
        </w:rPr>
      </w:pPr>
      <w:r>
        <w:rPr>
          <w:rFonts w:ascii="Arial" w:cs="Arial" w:eastAsia="Arial" w:hAnsi="Arial"/>
          <w:sz w:val="13"/>
          <w:szCs w:val="13"/>
          <w:color w:val="auto"/>
        </w:rPr>
        <w:t xml:space="preserve">On April 29, 2022, the Company entered into the Stock Purchase Agreement with Cantor, which was subsequently amended on July 20, 2022. The Company, in its sole discretion, shall have the right, but not the obligation, to issue and sell to Cantor, and Cantor shall purchase from the Company, up to </w:t>
      </w:r>
      <w:r>
        <w:rPr>
          <w:rFonts w:ascii="Arial" w:cs="Arial" w:eastAsia="Arial" w:hAnsi="Arial"/>
          <w:sz w:val="13"/>
          <w:szCs w:val="13"/>
          <w:color w:val="222222"/>
        </w:rPr>
        <w:t>$50.0 million</w:t>
      </w:r>
      <w:r>
        <w:rPr>
          <w:rFonts w:ascii="Arial" w:cs="Arial" w:eastAsia="Arial" w:hAnsi="Arial"/>
          <w:sz w:val="13"/>
          <w:szCs w:val="13"/>
          <w:color w:val="auto"/>
        </w:rPr>
        <w:t xml:space="preserve"> of common shares, par value $0.0001 per share, subject to certain terms and conditions. In connection with the Facility, the Company incurred a $1.5 million commitment fee which it settled in exchange for 877,193 shares of common stock.</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following table provides a summary of the significant sources and uses of cash related to the closing of the business combination on June 14, 2022, (in thousands):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 available after paying TCAC redeeming stockholders</w:t>
            </w:r>
          </w:p>
        </w:tc>
        <w:tc>
          <w:tcPr>
            <w:tcW w:w="8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8,771</w:t>
            </w:r>
          </w:p>
        </w:tc>
        <w:tc>
          <w:tcPr>
            <w:tcW w:w="0" w:type="dxa"/>
            <w:vAlign w:val="bottom"/>
          </w:tcPr>
          <w:p>
            <w:pPr>
              <w:spacing w:after="0"/>
              <w:rPr>
                <w:sz w:val="1"/>
                <w:szCs w:val="1"/>
                <w:color w:val="auto"/>
              </w:rPr>
            </w:pPr>
          </w:p>
        </w:tc>
      </w:tr>
      <w:tr>
        <w:trPr>
          <w:trHeight w:val="180"/>
        </w:trPr>
        <w:tc>
          <w:tcPr>
            <w:tcW w:w="9040" w:type="dxa"/>
            <w:vAlign w:val="bottom"/>
          </w:tcPr>
          <w:p>
            <w:pPr>
              <w:ind w:left="20"/>
              <w:spacing w:after="0"/>
              <w:rPr>
                <w:sz w:val="20"/>
                <w:szCs w:val="20"/>
                <w:color w:val="auto"/>
              </w:rPr>
            </w:pPr>
            <w:r>
              <w:rPr>
                <w:rFonts w:ascii="Arial" w:cs="Arial" w:eastAsia="Arial" w:hAnsi="Arial"/>
                <w:sz w:val="14"/>
                <w:szCs w:val="14"/>
                <w:color w:val="auto"/>
              </w:rPr>
              <w:t>Proceeds from convertible notes</w:t>
            </w:r>
          </w:p>
        </w:tc>
        <w:tc>
          <w:tcPr>
            <w:tcW w:w="8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0"/>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PIPE Financing</w:t>
            </w:r>
          </w:p>
        </w:tc>
        <w:tc>
          <w:tcPr>
            <w:tcW w:w="8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w:t>
            </w:r>
          </w:p>
        </w:tc>
        <w:tc>
          <w:tcPr>
            <w:tcW w:w="0" w:type="dxa"/>
            <w:vAlign w:val="bottom"/>
          </w:tcPr>
          <w:p>
            <w:pPr>
              <w:spacing w:after="0"/>
              <w:rPr>
                <w:sz w:val="1"/>
                <w:szCs w:val="1"/>
                <w:color w:val="auto"/>
              </w:rPr>
            </w:pPr>
          </w:p>
        </w:tc>
      </w:tr>
      <w:tr>
        <w:trPr>
          <w:trHeight w:val="180"/>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TCAC operating account</w:t>
            </w:r>
          </w:p>
        </w:tc>
        <w:tc>
          <w:tcPr>
            <w:tcW w:w="8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71"/>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proceeds available at closing</w:t>
            </w:r>
          </w:p>
        </w:tc>
        <w:tc>
          <w:tcPr>
            <w:tcW w:w="8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25,135</w:t>
            </w:r>
          </w:p>
        </w:tc>
        <w:tc>
          <w:tcPr>
            <w:tcW w:w="0" w:type="dxa"/>
            <w:vAlign w:val="bottom"/>
          </w:tcPr>
          <w:p>
            <w:pPr>
              <w:spacing w:after="0"/>
              <w:rPr>
                <w:sz w:val="1"/>
                <w:szCs w:val="1"/>
                <w:color w:val="auto"/>
              </w:rPr>
            </w:pPr>
          </w:p>
        </w:tc>
      </w:tr>
      <w:tr>
        <w:trPr>
          <w:trHeight w:val="180"/>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Expenses paid at closing</w:t>
            </w:r>
          </w:p>
        </w:tc>
        <w:tc>
          <w:tcPr>
            <w:tcW w:w="8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(6,346)</w:t>
            </w:r>
          </w:p>
        </w:tc>
        <w:tc>
          <w:tcPr>
            <w:tcW w:w="0" w:type="dxa"/>
            <w:vAlign w:val="bottom"/>
          </w:tcPr>
          <w:p>
            <w:pPr>
              <w:spacing w:after="0"/>
              <w:rPr>
                <w:sz w:val="1"/>
                <w:szCs w:val="1"/>
                <w:color w:val="auto"/>
              </w:rPr>
            </w:pPr>
          </w:p>
        </w:tc>
      </w:tr>
      <w:tr>
        <w:trPr>
          <w:trHeight w:val="171"/>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to Legacy SpringBig at closing</w:t>
            </w:r>
          </w:p>
        </w:tc>
        <w:tc>
          <w:tcPr>
            <w:tcW w:w="8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18,789</w:t>
            </w:r>
          </w:p>
        </w:tc>
        <w:tc>
          <w:tcPr>
            <w:tcW w:w="0" w:type="dxa"/>
            <w:vAlign w:val="bottom"/>
          </w:tcPr>
          <w:p>
            <w:pPr>
              <w:spacing w:after="0"/>
              <w:rPr>
                <w:sz w:val="1"/>
                <w:szCs w:val="1"/>
                <w:color w:val="auto"/>
              </w:rPr>
            </w:pPr>
          </w:p>
        </w:tc>
      </w:tr>
      <w:tr>
        <w:trPr>
          <w:trHeight w:val="180"/>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Post closing expense (cash paid or accrued for expenses by Legacy SpringBig)</w:t>
            </w:r>
          </w:p>
        </w:tc>
        <w:tc>
          <w:tcPr>
            <w:tcW w:w="8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(8,604)</w:t>
            </w:r>
          </w:p>
        </w:tc>
        <w:tc>
          <w:tcPr>
            <w:tcW w:w="0" w:type="dxa"/>
            <w:vAlign w:val="bottom"/>
          </w:tcPr>
          <w:p>
            <w:pPr>
              <w:spacing w:after="0"/>
              <w:rPr>
                <w:sz w:val="1"/>
                <w:szCs w:val="1"/>
                <w:color w:val="auto"/>
              </w:rPr>
            </w:pPr>
          </w:p>
        </w:tc>
      </w:tr>
      <w:tr>
        <w:trPr>
          <w:trHeight w:val="196"/>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after closing</w:t>
            </w:r>
          </w:p>
        </w:tc>
        <w:tc>
          <w:tcPr>
            <w:tcW w:w="820" w:type="dxa"/>
            <w:vAlign w:val="bottom"/>
            <w:tcBorders>
              <w:bottom w:val="single" w:sz="8" w:color="auto"/>
            </w:tcBorders>
            <w:shd w:val="clear" w:color="auto" w:fill="CCEEFF"/>
          </w:tcPr>
          <w:p>
            <w:pPr>
              <w:jc w:val="right"/>
              <w:ind w:right="64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10,185</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4"/>
                <w:szCs w:val="14"/>
                <w:color w:val="auto"/>
              </w:rPr>
              <w:t>The following table provides a reconciliation of the common shares related to the business combination transaction:</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90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TCAC non-redeeming shareholders</w:t>
            </w:r>
          </w:p>
        </w:tc>
        <w:tc>
          <w:tcPr>
            <w:tcW w:w="8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1,752,388</w:t>
            </w:r>
          </w:p>
        </w:tc>
        <w:tc>
          <w:tcPr>
            <w:tcW w:w="0" w:type="dxa"/>
            <w:vAlign w:val="bottom"/>
          </w:tcPr>
          <w:p>
            <w:pPr>
              <w:spacing w:after="0"/>
              <w:rPr>
                <w:sz w:val="1"/>
                <w:szCs w:val="1"/>
                <w:color w:val="auto"/>
              </w:rPr>
            </w:pPr>
          </w:p>
        </w:tc>
      </w:tr>
      <w:tr>
        <w:trPr>
          <w:trHeight w:val="180"/>
        </w:trPr>
        <w:tc>
          <w:tcPr>
            <w:tcW w:w="9040" w:type="dxa"/>
            <w:vAlign w:val="bottom"/>
          </w:tcPr>
          <w:p>
            <w:pPr>
              <w:ind w:left="20"/>
              <w:spacing w:after="0"/>
              <w:rPr>
                <w:sz w:val="20"/>
                <w:szCs w:val="20"/>
                <w:color w:val="auto"/>
              </w:rPr>
            </w:pPr>
            <w:r>
              <w:rPr>
                <w:rFonts w:ascii="Arial" w:cs="Arial" w:eastAsia="Arial" w:hAnsi="Arial"/>
                <w:sz w:val="14"/>
                <w:szCs w:val="14"/>
                <w:color w:val="auto"/>
              </w:rPr>
              <w:t>PIPE Investors</w:t>
            </w:r>
          </w:p>
        </w:tc>
        <w:tc>
          <w:tcPr>
            <w:tcW w:w="8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1,341,356</w:t>
            </w:r>
          </w:p>
        </w:tc>
        <w:tc>
          <w:tcPr>
            <w:tcW w:w="0" w:type="dxa"/>
            <w:vAlign w:val="bottom"/>
          </w:tcPr>
          <w:p>
            <w:pPr>
              <w:spacing w:after="0"/>
              <w:rPr>
                <w:sz w:val="1"/>
                <w:szCs w:val="1"/>
                <w:color w:val="auto"/>
              </w:rPr>
            </w:pPr>
          </w:p>
        </w:tc>
      </w:tr>
      <w:tr>
        <w:trPr>
          <w:trHeight w:val="180"/>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TCAC sponsor shareholders</w:t>
            </w:r>
          </w:p>
        </w:tc>
        <w:tc>
          <w:tcPr>
            <w:tcW w:w="8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4,000,000</w:t>
            </w:r>
          </w:p>
        </w:tc>
        <w:tc>
          <w:tcPr>
            <w:tcW w:w="0" w:type="dxa"/>
            <w:vAlign w:val="bottom"/>
          </w:tcPr>
          <w:p>
            <w:pPr>
              <w:spacing w:after="0"/>
              <w:rPr>
                <w:sz w:val="1"/>
                <w:szCs w:val="1"/>
                <w:color w:val="auto"/>
              </w:rPr>
            </w:pPr>
          </w:p>
        </w:tc>
      </w:tr>
      <w:tr>
        <w:trPr>
          <w:trHeight w:val="180"/>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Legacy SpringBig shareholders</w:t>
            </w:r>
          </w:p>
        </w:tc>
        <w:tc>
          <w:tcPr>
            <w:tcW w:w="8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18,196,526</w:t>
            </w:r>
          </w:p>
        </w:tc>
        <w:tc>
          <w:tcPr>
            <w:tcW w:w="0" w:type="dxa"/>
            <w:vAlign w:val="bottom"/>
          </w:tcPr>
          <w:p>
            <w:pPr>
              <w:spacing w:after="0"/>
              <w:rPr>
                <w:sz w:val="1"/>
                <w:szCs w:val="1"/>
                <w:color w:val="auto"/>
              </w:rPr>
            </w:pPr>
          </w:p>
        </w:tc>
      </w:tr>
      <w:tr>
        <w:trPr>
          <w:trHeight w:val="196"/>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Issued and outstanding</w:t>
            </w:r>
          </w:p>
        </w:tc>
        <w:tc>
          <w:tcPr>
            <w:tcW w:w="8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25,290,270</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6" w:right="319" w:bottom="1440" w:gutter="0" w:footer="0" w:header="0"/>
        </w:sectPr>
      </w:pPr>
    </w:p>
    <w:bookmarkStart w:id="16" w:name="page17"/>
    <w:bookmarkEnd w:id="16"/>
    <w:p>
      <w:pPr>
        <w:jc w:val="both"/>
        <w:ind w:firstLine="285"/>
        <w:spacing w:after="0" w:line="251" w:lineRule="auto"/>
        <w:rPr>
          <w:sz w:val="20"/>
          <w:szCs w:val="20"/>
          <w:color w:val="auto"/>
        </w:rPr>
      </w:pPr>
      <w:r>
        <w:rPr>
          <w:rFonts w:ascii="Arial" w:cs="Arial" w:eastAsia="Arial" w:hAnsi="Arial"/>
          <w:sz w:val="14"/>
          <w:szCs w:val="14"/>
          <w:color w:val="auto"/>
        </w:rPr>
        <w:t xml:space="preserve">Of the 1,341,356 shares of common stock shown above, 730,493 shares were issued to holders of the Convertible Note (which was converted at Closing), representing repayment of principal of </w:t>
      </w:r>
      <w:r>
        <w:rPr>
          <w:rFonts w:ascii="Arial" w:cs="Arial" w:eastAsia="Arial" w:hAnsi="Arial"/>
          <w:sz w:val="14"/>
          <w:szCs w:val="14"/>
          <w:color w:val="222222"/>
        </w:rPr>
        <w:t xml:space="preserve">$7.0 million </w:t>
      </w:r>
      <w:r>
        <w:rPr>
          <w:rFonts w:ascii="Arial" w:cs="Arial" w:eastAsia="Arial" w:hAnsi="Arial"/>
          <w:sz w:val="14"/>
          <w:szCs w:val="14"/>
          <w:color w:val="000000"/>
        </w:rPr>
        <w:t>and outstanding interest of $305,000, in accordance with the terms of the Convertible Notes. See Note 9, 15% Convertible Promissory Note,</w:t>
      </w:r>
      <w:r>
        <w:rPr>
          <w:rFonts w:ascii="Arial" w:cs="Arial" w:eastAsia="Arial" w:hAnsi="Arial"/>
          <w:sz w:val="14"/>
          <w:szCs w:val="14"/>
          <w:color w:val="222222"/>
        </w:rPr>
        <w:t xml:space="preserve"> to these consolidated financial statements for further information</w:t>
      </w:r>
      <w:r>
        <w:rPr>
          <w:rFonts w:ascii="Arial" w:cs="Arial" w:eastAsia="Arial" w:hAnsi="Arial"/>
          <w:sz w:val="14"/>
          <w:szCs w:val="14"/>
          <w:color w:val="000000"/>
        </w:rPr>
        <w:t>.</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4"/>
          <w:szCs w:val="14"/>
          <w:u w:val="single" w:color="auto"/>
          <w:color w:val="auto"/>
        </w:rPr>
        <w:t>Acquisition of Beaches Development Group Ltd</w:t>
      </w:r>
    </w:p>
    <w:p>
      <w:pPr>
        <w:spacing w:after="0" w:line="189" w:lineRule="exact"/>
        <w:rPr>
          <w:sz w:val="20"/>
          <w:szCs w:val="20"/>
          <w:color w:val="auto"/>
        </w:rPr>
      </w:pPr>
    </w:p>
    <w:p>
      <w:pPr>
        <w:jc w:val="both"/>
        <w:ind w:firstLine="285"/>
        <w:spacing w:after="0" w:line="265" w:lineRule="auto"/>
        <w:rPr>
          <w:sz w:val="20"/>
          <w:szCs w:val="20"/>
          <w:color w:val="auto"/>
        </w:rPr>
      </w:pPr>
      <w:r>
        <w:rPr>
          <w:rFonts w:ascii="Arial" w:cs="Arial" w:eastAsia="Arial" w:hAnsi="Arial"/>
          <w:sz w:val="14"/>
          <w:szCs w:val="14"/>
          <w:color w:val="auto"/>
        </w:rPr>
        <w:t>In January 2021, Legacy SpringBig formed Medici Canada LLC, an indirect wholly owned subsidiary of the Company, to acquire all the issued and outstanding capital stock of Beaches Development Group LTD, an Ontario corporation, pursuant to a stock purchase agreement.</w:t>
      </w:r>
    </w:p>
    <w:p>
      <w:pPr>
        <w:spacing w:after="0" w:line="153" w:lineRule="exact"/>
        <w:rPr>
          <w:sz w:val="20"/>
          <w:szCs w:val="20"/>
          <w:color w:val="auto"/>
        </w:rPr>
      </w:pPr>
    </w:p>
    <w:p>
      <w:pPr>
        <w:jc w:val="both"/>
        <w:ind w:firstLine="285"/>
        <w:spacing w:after="0" w:line="249" w:lineRule="auto"/>
        <w:rPr>
          <w:sz w:val="20"/>
          <w:szCs w:val="20"/>
          <w:color w:val="auto"/>
        </w:rPr>
      </w:pPr>
      <w:r>
        <w:rPr>
          <w:rFonts w:ascii="Arial" w:cs="Arial" w:eastAsia="Arial" w:hAnsi="Arial"/>
          <w:sz w:val="14"/>
          <w:szCs w:val="14"/>
          <w:color w:val="auto"/>
        </w:rPr>
        <w:t>The fair value of the consideration paid in connection with this transaction was satisfied through the issuance of 107,296 shares of the Company’s common stock, par value $0.0001 per share (180,972 converted at a conversion rate of 0.59289 into SpringBig Holdings, Inc. shares), valued at $135,000 plus cash consideration of $155,000.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040" w:type="dxa"/>
            <w:vAlign w:val="bottom"/>
          </w:tcPr>
          <w:p>
            <w:pPr>
              <w:ind w:left="280"/>
              <w:spacing w:after="0"/>
              <w:rPr>
                <w:sz w:val="20"/>
                <w:szCs w:val="20"/>
                <w:color w:val="auto"/>
              </w:rPr>
            </w:pPr>
            <w:r>
              <w:rPr>
                <w:rFonts w:ascii="Arial" w:cs="Arial" w:eastAsia="Arial" w:hAnsi="Arial"/>
                <w:sz w:val="14"/>
                <w:szCs w:val="14"/>
                <w:color w:val="auto"/>
              </w:rPr>
              <w:t>The purchase price allocation is as follows (in thousands):</w:t>
            </w:r>
          </w:p>
        </w:tc>
        <w:tc>
          <w:tcPr>
            <w:tcW w:w="10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2"/>
        </w:trPr>
        <w:tc>
          <w:tcPr>
            <w:tcW w:w="9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0"/>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shares</w:t>
            </w:r>
          </w:p>
        </w:tc>
        <w:tc>
          <w:tcPr>
            <w:tcW w:w="1040" w:type="dxa"/>
            <w:vAlign w:val="bottom"/>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180"/>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Post combination cost - restricted shares</w:t>
            </w:r>
          </w:p>
        </w:tc>
        <w:tc>
          <w:tcPr>
            <w:tcW w:w="10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r>
      <w:tr>
        <w:trPr>
          <w:trHeight w:val="171"/>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net shares</w:t>
            </w:r>
          </w:p>
        </w:tc>
        <w:tc>
          <w:tcPr>
            <w:tcW w:w="10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80"/>
        </w:trPr>
        <w:tc>
          <w:tcPr>
            <w:tcW w:w="9040" w:type="dxa"/>
            <w:vAlign w:val="bottom"/>
          </w:tcPr>
          <w:p>
            <w:pPr>
              <w:ind w:left="20"/>
              <w:spacing w:after="0"/>
              <w:rPr>
                <w:sz w:val="20"/>
                <w:szCs w:val="20"/>
                <w:color w:val="auto"/>
              </w:rPr>
            </w:pPr>
            <w:r>
              <w:rPr>
                <w:rFonts w:ascii="Arial" w:cs="Arial" w:eastAsia="Arial" w:hAnsi="Arial"/>
                <w:sz w:val="14"/>
                <w:szCs w:val="14"/>
                <w:color w:val="auto"/>
              </w:rPr>
              <w:t>Cash consideration</w:t>
            </w:r>
          </w:p>
        </w:tc>
        <w:tc>
          <w:tcPr>
            <w:tcW w:w="10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180"/>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Indemnity holdback</w:t>
            </w:r>
          </w:p>
        </w:tc>
        <w:tc>
          <w:tcPr>
            <w:tcW w:w="10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71"/>
        </w:trPr>
        <w:tc>
          <w:tcPr>
            <w:tcW w:w="9040" w:type="dxa"/>
            <w:vAlign w:val="bottom"/>
          </w:tcPr>
          <w:p>
            <w:pPr>
              <w:ind w:left="20"/>
              <w:spacing w:after="0"/>
              <w:rPr>
                <w:sz w:val="20"/>
                <w:szCs w:val="20"/>
                <w:color w:val="auto"/>
              </w:rPr>
            </w:pPr>
            <w:r>
              <w:rPr>
                <w:rFonts w:ascii="Arial" w:cs="Arial" w:eastAsia="Arial" w:hAnsi="Arial"/>
                <w:sz w:val="14"/>
                <w:szCs w:val="14"/>
                <w:color w:val="auto"/>
              </w:rPr>
              <w:t>Fair value of purchase consideration</w:t>
            </w:r>
          </w:p>
        </w:tc>
        <w:tc>
          <w:tcPr>
            <w:tcW w:w="1040" w:type="dxa"/>
            <w:vAlign w:val="bottom"/>
            <w:tcBorders>
              <w:bottom w:val="single" w:sz="8" w:color="auto"/>
            </w:tcBorders>
          </w:tcPr>
          <w:p>
            <w:pPr>
              <w:jc w:val="right"/>
              <w:ind w:right="8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r>
      <w:tr>
        <w:trPr>
          <w:trHeight w:val="20"/>
        </w:trPr>
        <w:tc>
          <w:tcPr>
            <w:tcW w:w="90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3"/>
        </w:trPr>
        <w:tc>
          <w:tcPr>
            <w:tcW w:w="90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9040" w:type="dxa"/>
            <w:vAlign w:val="bottom"/>
          </w:tcPr>
          <w:p>
            <w:pPr>
              <w:ind w:left="20"/>
              <w:spacing w:after="0"/>
              <w:rPr>
                <w:sz w:val="20"/>
                <w:szCs w:val="20"/>
                <w:color w:val="auto"/>
              </w:rPr>
            </w:pPr>
            <w:r>
              <w:rPr>
                <w:rFonts w:ascii="Arial" w:cs="Arial" w:eastAsia="Arial" w:hAnsi="Arial"/>
                <w:sz w:val="14"/>
                <w:szCs w:val="14"/>
                <w:color w:val="auto"/>
              </w:rPr>
              <w:t>Assets assumed</w:t>
            </w:r>
          </w:p>
        </w:tc>
        <w:tc>
          <w:tcPr>
            <w:tcW w:w="1040" w:type="dxa"/>
            <w:vAlign w:val="bottom"/>
          </w:tcPr>
          <w:p>
            <w:pPr>
              <w:jc w:val="right"/>
              <w:ind w:right="86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80"/>
        </w:trPr>
        <w:tc>
          <w:tcPr>
            <w:tcW w:w="9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0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Intangibles (Software)</w:t>
            </w:r>
          </w:p>
        </w:tc>
        <w:tc>
          <w:tcPr>
            <w:tcW w:w="10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r>
      <w:tr>
        <w:trPr>
          <w:trHeight w:val="196"/>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Fair value of assets</w:t>
            </w:r>
          </w:p>
        </w:tc>
        <w:tc>
          <w:tcPr>
            <w:tcW w:w="1040" w:type="dxa"/>
            <w:vAlign w:val="bottom"/>
            <w:tcBorders>
              <w:bottom w:val="single" w:sz="8" w:color="auto"/>
            </w:tcBorders>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285"/>
        <w:spacing w:after="0" w:line="244" w:lineRule="auto"/>
        <w:rPr>
          <w:sz w:val="20"/>
          <w:szCs w:val="20"/>
          <w:color w:val="auto"/>
        </w:rPr>
      </w:pPr>
      <w:r>
        <w:rPr>
          <w:rFonts w:ascii="Arial" w:cs="Arial" w:eastAsia="Arial" w:hAnsi="Arial"/>
          <w:sz w:val="14"/>
          <w:szCs w:val="14"/>
          <w:color w:val="auto"/>
        </w:rPr>
        <w:t>Of the 107,296 shares, 39,762 shares with a value of approximately $50,000 were issued to the sellers at the closing of the transaction. Two of the sellers signed employment contracts with Beaches Development Group LTD; 67,535 shares were allocated to them as purchase consideration with a value of $85,000 and were unvested as of the closing date of the acquisition (the “acquisition date”). Such unvested shares were scheduled to vest, over a two-year period, with 50% in the first year 1 and the remaining 50% in the second year following the acquisition date. As a result, the shares were treated as post-combination expense and were restricted at the time of issuance. All unvested shares were subsequently vested with the consummation of the business combination on June 14, 2022.</w:t>
      </w:r>
    </w:p>
    <w:p>
      <w:pPr>
        <w:spacing w:after="0" w:line="167" w:lineRule="exact"/>
        <w:rPr>
          <w:sz w:val="20"/>
          <w:szCs w:val="20"/>
          <w:color w:val="auto"/>
        </w:rPr>
      </w:pPr>
    </w:p>
    <w:p>
      <w:pPr>
        <w:jc w:val="both"/>
        <w:ind w:firstLine="285"/>
        <w:spacing w:after="0" w:line="249" w:lineRule="auto"/>
        <w:rPr>
          <w:sz w:val="20"/>
          <w:szCs w:val="20"/>
          <w:color w:val="auto"/>
        </w:rPr>
      </w:pPr>
      <w:r>
        <w:rPr>
          <w:rFonts w:ascii="Arial" w:cs="Arial" w:eastAsia="Arial" w:hAnsi="Arial"/>
          <w:sz w:val="14"/>
          <w:szCs w:val="14"/>
          <w:color w:val="auto"/>
        </w:rPr>
        <w:t>Approximately $23,000 of the cash price was initially withheld as an indemnity holdback to offset any losses payable by the Company for a period of 12 months, any remaining indemnity to be released to the seller’s representative. The indemnity holdback was paid to the seller during the nine months ended September 30, 2022.</w:t>
      </w:r>
    </w:p>
    <w:p>
      <w:pPr>
        <w:spacing w:after="0" w:line="164" w:lineRule="exact"/>
        <w:rPr>
          <w:sz w:val="20"/>
          <w:szCs w:val="20"/>
          <w:color w:val="auto"/>
        </w:rPr>
      </w:pPr>
    </w:p>
    <w:p>
      <w:pPr>
        <w:jc w:val="both"/>
        <w:ind w:firstLine="285"/>
        <w:spacing w:after="0" w:line="251" w:lineRule="auto"/>
        <w:rPr>
          <w:sz w:val="20"/>
          <w:szCs w:val="20"/>
          <w:color w:val="auto"/>
        </w:rPr>
      </w:pPr>
      <w:r>
        <w:rPr>
          <w:rFonts w:ascii="Arial" w:cs="Arial" w:eastAsia="Arial" w:hAnsi="Arial"/>
          <w:sz w:val="14"/>
          <w:szCs w:val="14"/>
          <w:color w:val="auto"/>
        </w:rPr>
        <w:t>Medici Canada LLC assumed cash totaling $9,000; this was the only tangible asset assumed at purchase, no liabilities assumed. The purchase price was allocated to the cash assumed with the excess of $196,000 allocated to software intangible assets and is included under property and equipment in the Company’s balance sheet as of September 30, 2022 and December 31, 2021. The Company adopted a cost to replace valuation approach in ascertaining the value of the software.</w:t>
      </w:r>
    </w:p>
    <w:p>
      <w:pPr>
        <w:spacing w:after="0" w:line="163" w:lineRule="exact"/>
        <w:rPr>
          <w:sz w:val="20"/>
          <w:szCs w:val="20"/>
          <w:color w:val="auto"/>
        </w:rPr>
      </w:pPr>
    </w:p>
    <w:p>
      <w:pPr>
        <w:jc w:val="both"/>
        <w:ind w:firstLine="285"/>
        <w:spacing w:after="0" w:line="251" w:lineRule="auto"/>
        <w:rPr>
          <w:sz w:val="20"/>
          <w:szCs w:val="20"/>
          <w:color w:val="auto"/>
        </w:rPr>
      </w:pPr>
      <w:r>
        <w:rPr>
          <w:rFonts w:ascii="Arial" w:cs="Arial" w:eastAsia="Arial" w:hAnsi="Arial"/>
          <w:sz w:val="14"/>
          <w:szCs w:val="14"/>
          <w:color w:val="auto"/>
        </w:rPr>
        <w:t>Software intangible assets are being amortized over a three-year period. The Company incurred amortization expense of approximately $16,000 and $49,000, respectively, for the three and nine months ended September 30, 2022, which is included in general and administrative expenses in the consolidated statement of operation. The aggregate remaining amortization expense is approximately $87,000.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6"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NOTE 9 – 15% CONVERTIBLE PROMISSORY NOTES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 February 2022, the Company issued $7.0 million in aggregate principal amount of convertible promissory notes due September 30, 2022 (the “Convertible Notes”).</w:t>
      </w:r>
    </w:p>
    <w:p>
      <w:pPr>
        <w:spacing w:after="0" w:line="189" w:lineRule="exact"/>
        <w:rPr>
          <w:sz w:val="20"/>
          <w:szCs w:val="20"/>
          <w:color w:val="auto"/>
        </w:rPr>
      </w:pPr>
    </w:p>
    <w:p>
      <w:pPr>
        <w:jc w:val="both"/>
        <w:ind w:firstLine="285"/>
        <w:spacing w:after="0" w:line="271" w:lineRule="auto"/>
        <w:rPr>
          <w:sz w:val="20"/>
          <w:szCs w:val="20"/>
          <w:color w:val="auto"/>
        </w:rPr>
      </w:pPr>
      <w:r>
        <w:rPr>
          <w:rFonts w:ascii="Arial" w:cs="Arial" w:eastAsia="Arial" w:hAnsi="Arial"/>
          <w:sz w:val="13"/>
          <w:szCs w:val="13"/>
          <w:color w:val="auto"/>
        </w:rPr>
        <w:t>The Convertible Notes accrued interest at the rate of 15% per annum on the principal amount of the Convertible Notes, due and payable at the maturity date of September 30, 2022 (the “Maturity Date”), if not converted prior to the maturity date. Under the terms of such notes, the conversion of the Convertible Notes could be triggered by the closing of the business combination between Tuatara and Legacy SpringBig, the occurrence of the stated maturity date, or in connection with certain equity issuances. The Convertible Notes contained customary events of default such as failures to observe or perform any covenants, obligation, condition or agreement contained in the Convertible Notes and commencement of bankruptcy.</w:t>
      </w:r>
    </w:p>
    <w:p>
      <w:pPr>
        <w:spacing w:after="0" w:line="162" w:lineRule="exact"/>
        <w:rPr>
          <w:sz w:val="20"/>
          <w:szCs w:val="20"/>
          <w:color w:val="auto"/>
        </w:rPr>
      </w:pPr>
    </w:p>
    <w:p>
      <w:pPr>
        <w:jc w:val="both"/>
        <w:ind w:firstLine="254"/>
        <w:spacing w:after="0" w:line="281" w:lineRule="auto"/>
        <w:rPr>
          <w:sz w:val="20"/>
          <w:szCs w:val="20"/>
          <w:color w:val="auto"/>
        </w:rPr>
      </w:pPr>
      <w:r>
        <w:rPr>
          <w:rFonts w:ascii="Arial" w:cs="Arial" w:eastAsia="Arial" w:hAnsi="Arial"/>
          <w:sz w:val="14"/>
          <w:szCs w:val="14"/>
          <w:color w:val="auto"/>
        </w:rPr>
        <w:t>In connection with the consummation of the business combination, the Convertible Notes and outstanding accrued interest converted in full into 730,493 shares of common stock at a price of $10.00 per share, representing repayment of principal of $7.0 million and outstanding interest of $305,000, in accordance with the terms of the Convertible Notes.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SENIOR SECURED CONVERTIBLE NOTES</w:t>
      </w:r>
    </w:p>
    <w:p>
      <w:pPr>
        <w:spacing w:after="0" w:line="193" w:lineRule="exact"/>
        <w:rPr>
          <w:sz w:val="20"/>
          <w:szCs w:val="20"/>
          <w:color w:val="auto"/>
        </w:rPr>
      </w:pPr>
    </w:p>
    <w:p>
      <w:pPr>
        <w:jc w:val="both"/>
        <w:ind w:firstLine="254"/>
        <w:spacing w:after="0" w:line="290" w:lineRule="auto"/>
        <w:rPr>
          <w:sz w:val="20"/>
          <w:szCs w:val="20"/>
          <w:color w:val="auto"/>
        </w:rPr>
      </w:pPr>
      <w:r>
        <w:rPr>
          <w:rFonts w:ascii="Arial" w:cs="Arial" w:eastAsia="Arial" w:hAnsi="Arial"/>
          <w:sz w:val="12"/>
          <w:szCs w:val="12"/>
          <w:color w:val="auto"/>
        </w:rPr>
        <w:t>In connection with the business combination, on June 14, 2022, the Company issued $11.0 million in aggregate principal amount of Senior Secured Original Issue Discount Convertible Note, due June 14, 2024 (the “Secured Convertible Notes”), issued at a discount of $1.0 million, with proceeds of $10.0 million received on the Closing Date. The Secured Convertible Notes accrue interest at the rate of 6.0% per annum which, along with equal principal payments through June 2024, are due in cash in arrears beginning six months after the notes’ issuance. The Company may, at its option, satisfy each principal payment either in cash or, if certain conditions set forth in the Secured Convertible Notes are met, by issuing a number of shares of common stock equal to the amount due on such date divided by the lower of (i) the number of shares determined based on at a rate of $12.00 per share or (ii) 93% of the volume-weighted average price prior to such monthly payment date.</w:t>
      </w:r>
    </w:p>
    <w:p>
      <w:pPr>
        <w:spacing w:after="0" w:line="142"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A warrant representing 586,890 shares of common stock of the Company (the “Convertible Warrant”) was also issued in a private placement with the purchaser party thereto. The Convertible Warrant is exercisable for shares of the Company’s common stock at an exercise price of $12.00 per share, subject to certain anti-dilution adjustments.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Note is currently convertible at the option of the holder at an initial conversion share price of $12.00 per share.</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Secured Convertible Notes are secured against substantially all the assets of the Company and each material subsidiary, including Legacy SpringBig.</w:t>
      </w:r>
    </w:p>
    <w:p>
      <w:pPr>
        <w:spacing w:after="0" w:line="189" w:lineRule="exact"/>
        <w:rPr>
          <w:sz w:val="20"/>
          <w:szCs w:val="20"/>
          <w:color w:val="auto"/>
        </w:rPr>
      </w:pPr>
    </w:p>
    <w:p>
      <w:pPr>
        <w:jc w:val="both"/>
        <w:ind w:firstLine="254"/>
        <w:spacing w:after="0" w:line="294" w:lineRule="auto"/>
        <w:rPr>
          <w:sz w:val="20"/>
          <w:szCs w:val="20"/>
          <w:color w:val="auto"/>
        </w:rPr>
      </w:pPr>
      <w:r>
        <w:rPr>
          <w:rFonts w:ascii="Arial" w:cs="Arial" w:eastAsia="Arial" w:hAnsi="Arial"/>
          <w:sz w:val="12"/>
          <w:szCs w:val="12"/>
          <w:color w:val="auto"/>
        </w:rPr>
        <w:t>The Secured Convertible Notes include restrictive covenants that, among other things, limit the ability of the Company 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issue additional equity (outside of the equity facility with Cantor, issuances under our equity compensation plan and other limited exceptions); enter into variable rate transactions (exclusive of the equity facility with Cantor); and adopt certain amendments to our governing documents, among other restrictions. The Notes also contains customary events of default.</w:t>
      </w:r>
    </w:p>
    <w:p>
      <w:pPr>
        <w:spacing w:after="0" w:line="151" w:lineRule="exact"/>
        <w:rPr>
          <w:sz w:val="20"/>
          <w:szCs w:val="20"/>
          <w:color w:val="auto"/>
        </w:rPr>
      </w:pPr>
    </w:p>
    <w:p>
      <w:pPr>
        <w:jc w:val="both"/>
        <w:ind w:firstLine="254"/>
        <w:spacing w:after="0" w:line="281" w:lineRule="auto"/>
        <w:rPr>
          <w:sz w:val="20"/>
          <w:szCs w:val="20"/>
          <w:color w:val="auto"/>
        </w:rPr>
      </w:pPr>
      <w:r>
        <w:rPr>
          <w:rFonts w:ascii="Arial" w:cs="Arial" w:eastAsia="Arial" w:hAnsi="Arial"/>
          <w:sz w:val="14"/>
          <w:szCs w:val="14"/>
          <w:color w:val="auto"/>
        </w:rPr>
        <w:t xml:space="preserve">The Company determined that the Secured Convertible Notes meet the variable share obligations requirements under ASC 480, </w:t>
      </w:r>
      <w:r>
        <w:rPr>
          <w:rFonts w:ascii="Arial" w:cs="Arial" w:eastAsia="Arial" w:hAnsi="Arial"/>
          <w:sz w:val="14"/>
          <w:szCs w:val="14"/>
          <w:i w:val="1"/>
          <w:iCs w:val="1"/>
          <w:color w:val="auto"/>
        </w:rPr>
        <w:t>Distinguishing Liabilities From Equity</w:t>
      </w:r>
      <w:r>
        <w:rPr>
          <w:rFonts w:ascii="Arial" w:cs="Arial" w:eastAsia="Arial" w:hAnsi="Arial"/>
          <w:sz w:val="14"/>
          <w:szCs w:val="14"/>
          <w:color w:val="auto"/>
        </w:rPr>
        <w:t>, and as a result is classified as a liability measured at amortized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2" w:right="319" w:bottom="1440" w:gutter="0" w:footer="0" w:header="0"/>
        </w:sectPr>
      </w:pPr>
    </w:p>
    <w:bookmarkStart w:id="18" w:name="page19"/>
    <w:bookmarkEnd w:id="18"/>
    <w:p>
      <w:pPr>
        <w:ind w:left="260"/>
        <w:spacing w:after="0"/>
        <w:rPr>
          <w:sz w:val="20"/>
          <w:szCs w:val="20"/>
          <w:color w:val="auto"/>
        </w:rPr>
      </w:pPr>
      <w:r>
        <w:rPr>
          <w:rFonts w:ascii="Arial" w:cs="Arial" w:eastAsia="Arial" w:hAnsi="Arial"/>
          <w:sz w:val="14"/>
          <w:szCs w:val="14"/>
          <w:color w:val="auto"/>
        </w:rPr>
        <w:t>At September 30, 2022, the outstanding principal of the Secured Convertible Notes was $11.0 million with a carrying value of $10.0 million.</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recorded $320,000 and $632,000 of interest expense for the three and nine months ended September 30, 2022.</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WARRANT LIABILITIES</w:t>
      </w:r>
    </w:p>
    <w:p>
      <w:pPr>
        <w:spacing w:after="0" w:line="193" w:lineRule="exact"/>
        <w:rPr>
          <w:sz w:val="20"/>
          <w:szCs w:val="20"/>
          <w:color w:val="auto"/>
        </w:rPr>
      </w:pPr>
    </w:p>
    <w:p>
      <w:pPr>
        <w:jc w:val="both"/>
        <w:ind w:firstLine="254"/>
        <w:spacing w:after="0" w:line="279" w:lineRule="auto"/>
        <w:rPr>
          <w:sz w:val="20"/>
          <w:szCs w:val="20"/>
          <w:color w:val="auto"/>
        </w:rPr>
      </w:pPr>
      <w:r>
        <w:rPr>
          <w:rFonts w:ascii="Arial" w:cs="Arial" w:eastAsia="Arial" w:hAnsi="Arial"/>
          <w:sz w:val="13"/>
          <w:szCs w:val="13"/>
          <w:color w:val="auto"/>
        </w:rPr>
        <w:t>Prior to the business combination, at the time of their initial public offering, TCAC issued warrants to purchase 10,000,000 Class A ordinary shares at a price of $11.50 per share, for aggregate consideration of $10.0 million as part of the units offered by the prospectus and, simultaneously with the closing of their initial public offering, issued in a private placement an aggregate of 6,000,000 private placement warrants for aggregate consideration of $6.0 million, each exercisable to purchase one Class A ordinary share at a price of $11.50 per share.</w:t>
      </w:r>
    </w:p>
    <w:p>
      <w:pPr>
        <w:spacing w:after="0" w:line="157" w:lineRule="exact"/>
        <w:rPr>
          <w:sz w:val="20"/>
          <w:szCs w:val="20"/>
          <w:color w:val="auto"/>
        </w:rPr>
      </w:pPr>
    </w:p>
    <w:p>
      <w:pPr>
        <w:jc w:val="both"/>
        <w:ind w:firstLine="254"/>
        <w:spacing w:after="0" w:line="266" w:lineRule="auto"/>
        <w:rPr>
          <w:sz w:val="20"/>
          <w:szCs w:val="20"/>
          <w:color w:val="auto"/>
        </w:rPr>
      </w:pPr>
      <w:r>
        <w:rPr>
          <w:rFonts w:ascii="Arial" w:cs="Arial" w:eastAsia="Arial" w:hAnsi="Arial"/>
          <w:sz w:val="14"/>
          <w:szCs w:val="14"/>
          <w:color w:val="auto"/>
        </w:rPr>
        <w:t xml:space="preserve">The Company accounts for the warrants in accordance with the guidance contained in ASC </w:t>
      </w:r>
      <w:r>
        <w:rPr>
          <w:rFonts w:ascii="Arial" w:cs="Arial" w:eastAsia="Arial" w:hAnsi="Arial"/>
          <w:sz w:val="14"/>
          <w:szCs w:val="14"/>
          <w:i w:val="1"/>
          <w:iCs w:val="1"/>
          <w:color w:val="auto"/>
        </w:rPr>
        <w:t>815 Derivatives and Hedging,</w:t>
      </w:r>
      <w:r>
        <w:rPr>
          <w:rFonts w:ascii="Arial" w:cs="Arial" w:eastAsia="Arial" w:hAnsi="Arial"/>
          <w:sz w:val="14"/>
          <w:szCs w:val="14"/>
          <w:color w:val="auto"/>
        </w:rPr>
        <w:t xml:space="preserve"> under which the warrants do not meet the criteria for equity treatment and hence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At September 30, 2022, the estimated fair value of the warrants is $0.8 million.</w:t>
      </w:r>
    </w:p>
    <w:p>
      <w:pPr>
        <w:spacing w:after="0" w:line="199" w:lineRule="exact"/>
        <w:rPr>
          <w:sz w:val="20"/>
          <w:szCs w:val="20"/>
          <w:color w:val="auto"/>
        </w:rPr>
      </w:pPr>
    </w:p>
    <w:p>
      <w:pPr>
        <w:jc w:val="both"/>
        <w:ind w:firstLine="254"/>
        <w:spacing w:after="0" w:line="281" w:lineRule="auto"/>
        <w:rPr>
          <w:sz w:val="20"/>
          <w:szCs w:val="20"/>
          <w:color w:val="auto"/>
        </w:rPr>
      </w:pPr>
      <w:r>
        <w:rPr>
          <w:rFonts w:ascii="Arial" w:cs="Arial" w:eastAsia="Arial" w:hAnsi="Arial"/>
          <w:sz w:val="14"/>
          <w:szCs w:val="14"/>
          <w:color w:val="auto"/>
        </w:rPr>
        <w:t>The Company recorded a change in fair value gain of approximately $0.8 million and $3.7 million for the three and nine months ended September 30, 2022, respectively. These amounts are is included in the statements of operations for the periods then ended.</w:t>
      </w:r>
    </w:p>
    <w:p>
      <w:pPr>
        <w:spacing w:after="0" w:line="142"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 xml:space="preserve">The fair value is determined in accordance with ASC 820, </w:t>
      </w:r>
      <w:r>
        <w:rPr>
          <w:rFonts w:ascii="Arial" w:cs="Arial" w:eastAsia="Arial" w:hAnsi="Arial"/>
          <w:sz w:val="14"/>
          <w:szCs w:val="14"/>
          <w:i w:val="1"/>
          <w:iCs w:val="1"/>
          <w:color w:val="auto"/>
        </w:rPr>
        <w:t>Fair Value Measurement</w:t>
      </w:r>
      <w:r>
        <w:rPr>
          <w:rFonts w:ascii="Arial" w:cs="Arial" w:eastAsia="Arial" w:hAnsi="Arial"/>
          <w:sz w:val="14"/>
          <w:szCs w:val="14"/>
          <w:color w:val="auto"/>
        </w:rPr>
        <w:t>. See Note 15, Fair Value Measurements, to the accompanying consolidated financial statements for further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REVENUE RECOGNITION</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represents our revenues disaggregated by type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shd w:val="clear" w:color="auto" w:fill="CCEEFF"/>
          </w:tcPr>
          <w:p>
            <w:pPr>
              <w:spacing w:after="0"/>
              <w:rPr>
                <w:sz w:val="14"/>
                <w:szCs w:val="14"/>
                <w:color w:val="auto"/>
              </w:rPr>
            </w:pPr>
          </w:p>
        </w:tc>
        <w:tc>
          <w:tcPr>
            <w:tcW w:w="3220" w:type="dxa"/>
            <w:vAlign w:val="bottom"/>
            <w:gridSpan w:val="4"/>
            <w:shd w:val="clear" w:color="auto" w:fill="CCEEFF"/>
          </w:tcPr>
          <w:p>
            <w:pPr>
              <w:jc w:val="right"/>
              <w:ind w:right="269"/>
              <w:spacing w:after="0"/>
              <w:rPr>
                <w:sz w:val="20"/>
                <w:szCs w:val="20"/>
                <w:color w:val="auto"/>
              </w:rPr>
            </w:pPr>
            <w:r>
              <w:rPr>
                <w:rFonts w:ascii="Arial" w:cs="Arial" w:eastAsia="Arial" w:hAnsi="Arial"/>
                <w:sz w:val="13"/>
                <w:szCs w:val="13"/>
                <w:b w:val="1"/>
                <w:bCs w:val="1"/>
                <w:color w:val="auto"/>
              </w:rPr>
              <w:t>Three Months Ended September 30,</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380" w:type="dxa"/>
            <w:vAlign w:val="bottom"/>
            <w:gridSpan w:val="4"/>
            <w:shd w:val="clear" w:color="auto" w:fill="CCEEFF"/>
          </w:tcPr>
          <w:p>
            <w:pPr>
              <w:jc w:val="right"/>
              <w:ind w:right="889"/>
              <w:spacing w:after="0"/>
              <w:rPr>
                <w:sz w:val="20"/>
                <w:szCs w:val="20"/>
                <w:color w:val="auto"/>
              </w:rPr>
            </w:pPr>
            <w:r>
              <w:rPr>
                <w:rFonts w:ascii="Arial" w:cs="Arial" w:eastAsia="Arial" w:hAnsi="Arial"/>
                <w:sz w:val="13"/>
                <w:szCs w:val="13"/>
                <w:b w:val="1"/>
                <w:bCs w:val="1"/>
                <w:color w:val="auto"/>
              </w:rPr>
              <w:t>Nine Months Ended September 30,</w:t>
            </w:r>
          </w:p>
        </w:tc>
      </w:tr>
      <w:tr>
        <w:trPr>
          <w:trHeight w:val="180"/>
        </w:trPr>
        <w:tc>
          <w:tcPr>
            <w:tcW w:w="35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auto"/>
              </w:rPr>
              <w:t>2021</w:t>
            </w:r>
          </w:p>
        </w:tc>
      </w:tr>
      <w:tr>
        <w:trPr>
          <w:trHeight w:val="160"/>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r>
      <w:tr>
        <w:trPr>
          <w:trHeight w:val="180"/>
        </w:trPr>
        <w:tc>
          <w:tcPr>
            <w:tcW w:w="3520" w:type="dxa"/>
            <w:vAlign w:val="bottom"/>
          </w:tcPr>
          <w:p>
            <w:pPr>
              <w:ind w:left="180"/>
              <w:spacing w:after="0"/>
              <w:rPr>
                <w:sz w:val="20"/>
                <w:szCs w:val="20"/>
                <w:color w:val="auto"/>
              </w:rPr>
            </w:pPr>
            <w:r>
              <w:rPr>
                <w:rFonts w:ascii="Arial" w:cs="Arial" w:eastAsia="Arial" w:hAnsi="Arial"/>
                <w:sz w:val="14"/>
                <w:szCs w:val="14"/>
                <w:color w:val="auto"/>
              </w:rPr>
              <w:t>Brand revenue</w:t>
            </w:r>
          </w:p>
        </w:tc>
        <w:tc>
          <w:tcPr>
            <w:tcW w:w="1240" w:type="dxa"/>
            <w:vAlign w:val="bottom"/>
          </w:tcPr>
          <w:p>
            <w:pPr>
              <w:jc w:val="right"/>
              <w:ind w:right="1091"/>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267</w:t>
            </w:r>
          </w:p>
        </w:tc>
        <w:tc>
          <w:tcPr>
            <w:tcW w:w="160" w:type="dxa"/>
            <w:vAlign w:val="bottom"/>
          </w:tcPr>
          <w:p>
            <w:pPr>
              <w:spacing w:after="0"/>
              <w:rPr>
                <w:sz w:val="15"/>
                <w:szCs w:val="15"/>
                <w:color w:val="auto"/>
              </w:rPr>
            </w:pPr>
          </w:p>
        </w:tc>
        <w:tc>
          <w:tcPr>
            <w:tcW w:w="1240" w:type="dxa"/>
            <w:vAlign w:val="bottom"/>
          </w:tcPr>
          <w:p>
            <w:pPr>
              <w:jc w:val="right"/>
              <w:ind w:right="108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166</w:t>
            </w:r>
          </w:p>
        </w:tc>
        <w:tc>
          <w:tcPr>
            <w:tcW w:w="16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704</w:t>
            </w:r>
          </w:p>
        </w:tc>
        <w:tc>
          <w:tcPr>
            <w:tcW w:w="16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450</w:t>
            </w:r>
          </w:p>
        </w:tc>
      </w:tr>
      <w:tr>
        <w:trPr>
          <w:trHeight w:val="180"/>
        </w:trPr>
        <w:tc>
          <w:tcPr>
            <w:tcW w:w="3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Retail revenue</w:t>
            </w:r>
          </w:p>
        </w:tc>
        <w:tc>
          <w:tcPr>
            <w:tcW w:w="12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7,189</w:t>
            </w:r>
          </w:p>
        </w:tc>
        <w:tc>
          <w:tcPr>
            <w:tcW w:w="16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5,955</w:t>
            </w:r>
          </w:p>
        </w:tc>
        <w:tc>
          <w:tcPr>
            <w:tcW w:w="1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19,700</w:t>
            </w:r>
          </w:p>
        </w:tc>
        <w:tc>
          <w:tcPr>
            <w:tcW w:w="1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16,578</w:t>
            </w:r>
          </w:p>
        </w:tc>
      </w:tr>
      <w:tr>
        <w:trPr>
          <w:trHeight w:val="171"/>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Total Revenue</w:t>
            </w:r>
          </w:p>
        </w:tc>
        <w:tc>
          <w:tcPr>
            <w:tcW w:w="1240" w:type="dxa"/>
            <w:vAlign w:val="bottom"/>
            <w:tcBorders>
              <w:bottom w:val="single" w:sz="8" w:color="auto"/>
            </w:tcBorders>
          </w:tcPr>
          <w:p>
            <w:pPr>
              <w:jc w:val="right"/>
              <w:ind w:right="1091"/>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7,456</w:t>
            </w:r>
          </w:p>
        </w:tc>
        <w:tc>
          <w:tcPr>
            <w:tcW w:w="160" w:type="dxa"/>
            <w:vAlign w:val="bottom"/>
          </w:tcPr>
          <w:p>
            <w:pPr>
              <w:spacing w:after="0"/>
              <w:rPr>
                <w:sz w:val="14"/>
                <w:szCs w:val="14"/>
                <w:color w:val="auto"/>
              </w:rPr>
            </w:pPr>
          </w:p>
        </w:tc>
        <w:tc>
          <w:tcPr>
            <w:tcW w:w="1240" w:type="dxa"/>
            <w:vAlign w:val="bottom"/>
            <w:tcBorders>
              <w:bottom w:val="single" w:sz="8" w:color="auto"/>
            </w:tcBorders>
          </w:tcPr>
          <w:p>
            <w:pPr>
              <w:jc w:val="right"/>
              <w:ind w:right="108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6,121</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20,404</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17,028</w:t>
            </w:r>
          </w:p>
        </w:tc>
      </w:tr>
      <w:tr>
        <w:trPr>
          <w:trHeight w:val="20"/>
        </w:trPr>
        <w:tc>
          <w:tcPr>
            <w:tcW w:w="35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6"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i w:val="1"/>
          <w:iCs w:val="1"/>
          <w:u w:val="single" w:color="auto"/>
          <w:color w:val="auto"/>
        </w:rPr>
        <w:t>Geographic Information</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Revenue by geographical region consist of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shd w:val="clear" w:color="auto" w:fill="CCEEFF"/>
          </w:tcPr>
          <w:p>
            <w:pPr>
              <w:spacing w:after="0"/>
              <w:rPr>
                <w:sz w:val="14"/>
                <w:szCs w:val="14"/>
                <w:color w:val="auto"/>
              </w:rPr>
            </w:pPr>
          </w:p>
        </w:tc>
        <w:tc>
          <w:tcPr>
            <w:tcW w:w="3220" w:type="dxa"/>
            <w:vAlign w:val="bottom"/>
            <w:gridSpan w:val="4"/>
            <w:shd w:val="clear" w:color="auto" w:fill="CCEEFF"/>
          </w:tcPr>
          <w:p>
            <w:pPr>
              <w:jc w:val="right"/>
              <w:ind w:right="269"/>
              <w:spacing w:after="0"/>
              <w:rPr>
                <w:sz w:val="20"/>
                <w:szCs w:val="20"/>
                <w:color w:val="auto"/>
              </w:rPr>
            </w:pPr>
            <w:r>
              <w:rPr>
                <w:rFonts w:ascii="Arial" w:cs="Arial" w:eastAsia="Arial" w:hAnsi="Arial"/>
                <w:sz w:val="13"/>
                <w:szCs w:val="13"/>
                <w:b w:val="1"/>
                <w:bCs w:val="1"/>
                <w:color w:val="auto"/>
              </w:rPr>
              <w:t>Three Months Ended September 30,</w:t>
            </w: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380" w:type="dxa"/>
            <w:vAlign w:val="bottom"/>
            <w:gridSpan w:val="4"/>
            <w:shd w:val="clear" w:color="auto" w:fill="CCEEFF"/>
          </w:tcPr>
          <w:p>
            <w:pPr>
              <w:jc w:val="right"/>
              <w:ind w:right="889"/>
              <w:spacing w:after="0"/>
              <w:rPr>
                <w:sz w:val="20"/>
                <w:szCs w:val="20"/>
                <w:color w:val="auto"/>
              </w:rPr>
            </w:pPr>
            <w:r>
              <w:rPr>
                <w:rFonts w:ascii="Arial" w:cs="Arial" w:eastAsia="Arial" w:hAnsi="Arial"/>
                <w:sz w:val="13"/>
                <w:szCs w:val="13"/>
                <w:b w:val="1"/>
                <w:bCs w:val="1"/>
                <w:color w:val="auto"/>
              </w:rPr>
              <w:t>Nine Months Ended September 30,</w:t>
            </w:r>
          </w:p>
        </w:tc>
      </w:tr>
      <w:tr>
        <w:trPr>
          <w:trHeight w:val="180"/>
        </w:trPr>
        <w:tc>
          <w:tcPr>
            <w:tcW w:w="4760" w:type="dxa"/>
            <w:vAlign w:val="bottom"/>
            <w:gridSpan w:val="2"/>
          </w:tcPr>
          <w:p>
            <w:pPr>
              <w:ind w:left="4280"/>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69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689"/>
              <w:spacing w:after="0"/>
              <w:rPr>
                <w:sz w:val="20"/>
                <w:szCs w:val="20"/>
                <w:color w:val="auto"/>
              </w:rPr>
            </w:pPr>
            <w:r>
              <w:rPr>
                <w:rFonts w:ascii="Arial" w:cs="Arial" w:eastAsia="Arial" w:hAnsi="Arial"/>
                <w:sz w:val="14"/>
                <w:szCs w:val="14"/>
                <w:b w:val="1"/>
                <w:bCs w:val="1"/>
                <w:color w:val="auto"/>
              </w:rPr>
              <w:t>2021</w:t>
            </w:r>
          </w:p>
        </w:tc>
      </w:tr>
      <w:tr>
        <w:trPr>
          <w:trHeight w:val="160"/>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Brand revenue</w:t>
            </w:r>
          </w:p>
        </w:tc>
        <w:tc>
          <w:tcPr>
            <w:tcW w:w="12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r>
      <w:tr>
        <w:trPr>
          <w:trHeight w:val="180"/>
        </w:trPr>
        <w:tc>
          <w:tcPr>
            <w:tcW w:w="4760" w:type="dxa"/>
            <w:vAlign w:val="bottom"/>
            <w:gridSpan w:val="2"/>
          </w:tcPr>
          <w:p>
            <w:pPr>
              <w:ind w:left="100"/>
              <w:spacing w:after="0"/>
              <w:rPr>
                <w:sz w:val="20"/>
                <w:szCs w:val="20"/>
                <w:color w:val="auto"/>
              </w:rPr>
            </w:pPr>
            <w:r>
              <w:rPr>
                <w:rFonts w:ascii="Arial" w:cs="Arial" w:eastAsia="Arial" w:hAnsi="Arial"/>
                <w:sz w:val="14"/>
                <w:szCs w:val="14"/>
                <w:color w:val="auto"/>
              </w:rPr>
              <w:t>United States</w:t>
            </w:r>
          </w:p>
        </w:tc>
        <w:tc>
          <w:tcPr>
            <w:tcW w:w="580" w:type="dxa"/>
            <w:vAlign w:val="bottom"/>
          </w:tcPr>
          <w:p>
            <w:pPr>
              <w:jc w:val="right"/>
              <w:spacing w:after="0"/>
              <w:rPr>
                <w:sz w:val="20"/>
                <w:szCs w:val="20"/>
                <w:color w:val="auto"/>
              </w:rPr>
            </w:pPr>
            <w:r>
              <w:rPr>
                <w:rFonts w:ascii="Arial" w:cs="Arial" w:eastAsia="Arial" w:hAnsi="Arial"/>
                <w:sz w:val="14"/>
                <w:szCs w:val="14"/>
                <w:color w:val="auto"/>
              </w:rPr>
              <w:t>266</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166</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703</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450</w:t>
            </w:r>
          </w:p>
        </w:tc>
      </w:tr>
      <w:tr>
        <w:trPr>
          <w:trHeight w:val="180"/>
        </w:trPr>
        <w:tc>
          <w:tcPr>
            <w:tcW w:w="47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Canada</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76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Retail revenue</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47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United States</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7,013</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5,870</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19,125</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16,482</w:t>
            </w:r>
          </w:p>
        </w:tc>
      </w:tr>
      <w:tr>
        <w:trPr>
          <w:trHeight w:val="180"/>
        </w:trPr>
        <w:tc>
          <w:tcPr>
            <w:tcW w:w="4760" w:type="dxa"/>
            <w:vAlign w:val="bottom"/>
            <w:gridSpan w:val="2"/>
          </w:tcPr>
          <w:p>
            <w:pPr>
              <w:ind w:left="100"/>
              <w:spacing w:after="0"/>
              <w:rPr>
                <w:sz w:val="20"/>
                <w:szCs w:val="20"/>
                <w:color w:val="auto"/>
              </w:rPr>
            </w:pPr>
            <w:r>
              <w:rPr>
                <w:rFonts w:ascii="Arial" w:cs="Arial" w:eastAsia="Arial" w:hAnsi="Arial"/>
                <w:sz w:val="14"/>
                <w:szCs w:val="14"/>
                <w:color w:val="auto"/>
              </w:rPr>
              <w:t>Canada</w:t>
            </w:r>
          </w:p>
        </w:tc>
        <w:tc>
          <w:tcPr>
            <w:tcW w:w="580" w:type="dxa"/>
            <w:vAlign w:val="bottom"/>
          </w:tcPr>
          <w:p>
            <w:pPr>
              <w:jc w:val="right"/>
              <w:spacing w:after="0"/>
              <w:rPr>
                <w:sz w:val="20"/>
                <w:szCs w:val="20"/>
                <w:color w:val="auto"/>
              </w:rPr>
            </w:pPr>
            <w:r>
              <w:rPr>
                <w:rFonts w:ascii="Arial" w:cs="Arial" w:eastAsia="Arial" w:hAnsi="Arial"/>
                <w:sz w:val="14"/>
                <w:szCs w:val="14"/>
                <w:color w:val="auto"/>
              </w:rPr>
              <w:t>176</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575</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96"/>
        </w:trPr>
        <w:tc>
          <w:tcPr>
            <w:tcW w:w="35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ind w:right="1089"/>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6,121</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20,404</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17,028</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Revenues by geography are generally based on the country of the Company’s contracting entity. Total United States revenue was approximately 98% of total revenue for the three and nine months ended September 30, 2022 and 99% for the three and nine months ended September 30, 2021, respectively.</w:t>
      </w:r>
    </w:p>
    <w:p>
      <w:pPr>
        <w:spacing w:after="0" w:line="143"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As of September 30, 2022 and December 31, 2021, approximately 76% and 71% of our long-lived assets were attributable to operations in the United States, respectively. The remaining assets are located in Canada.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80" w:type="dxa"/>
            <w:vAlign w:val="bottom"/>
          </w:tcPr>
          <w:p>
            <w:pPr>
              <w:spacing w:after="0"/>
              <w:rPr>
                <w:sz w:val="20"/>
                <w:szCs w:val="20"/>
                <w:color w:val="auto"/>
              </w:rPr>
            </w:pPr>
            <w:r>
              <w:rPr>
                <w:rFonts w:ascii="Arial" w:cs="Arial" w:eastAsia="Arial" w:hAnsi="Arial"/>
                <w:sz w:val="14"/>
                <w:szCs w:val="14"/>
                <w:b w:val="1"/>
                <w:bCs w:val="1"/>
                <w:color w:val="auto"/>
              </w:rPr>
              <w:t>NOTE 13 – CONTRACT ASSETS AND LIABILITIES</w:t>
            </w:r>
          </w:p>
        </w:tc>
        <w:tc>
          <w:tcPr>
            <w:tcW w:w="1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7480" w:type="dxa"/>
            <w:vAlign w:val="bottom"/>
          </w:tcPr>
          <w:p>
            <w:pPr>
              <w:ind w:left="260"/>
              <w:spacing w:after="0"/>
              <w:rPr>
                <w:sz w:val="20"/>
                <w:szCs w:val="20"/>
                <w:color w:val="auto"/>
              </w:rPr>
            </w:pPr>
            <w:r>
              <w:rPr>
                <w:rFonts w:ascii="Arial" w:cs="Arial" w:eastAsia="Arial" w:hAnsi="Arial"/>
                <w:sz w:val="14"/>
                <w:szCs w:val="14"/>
                <w:color w:val="auto"/>
              </w:rPr>
              <w:t>Contract assets consisted of the following as of (in thousands):</w:t>
            </w: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480" w:type="dxa"/>
            <w:vAlign w:val="bottom"/>
            <w:shd w:val="clear" w:color="auto" w:fill="CCEEFF"/>
          </w:tcPr>
          <w:p>
            <w:pPr>
              <w:spacing w:after="0"/>
              <w:rPr>
                <w:sz w:val="15"/>
                <w:szCs w:val="15"/>
                <w:color w:val="auto"/>
              </w:rPr>
            </w:pPr>
          </w:p>
        </w:tc>
        <w:tc>
          <w:tcPr>
            <w:tcW w:w="1440" w:type="dxa"/>
            <w:vAlign w:val="bottom"/>
            <w:shd w:val="clear" w:color="auto" w:fill="CCEEFF"/>
          </w:tcPr>
          <w:p>
            <w:pPr>
              <w:jc w:val="center"/>
              <w:ind w:left="309"/>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right="22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0"/>
        </w:trPr>
        <w:tc>
          <w:tcPr>
            <w:tcW w:w="74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ind w:left="309"/>
              <w:spacing w:after="0"/>
              <w:rPr>
                <w:sz w:val="20"/>
                <w:szCs w:val="20"/>
                <w:color w:val="auto"/>
              </w:rPr>
            </w:pPr>
            <w:r>
              <w:rPr>
                <w:rFonts w:ascii="Arial" w:cs="Arial" w:eastAsia="Arial" w:hAnsi="Arial"/>
                <w:sz w:val="14"/>
                <w:szCs w:val="14"/>
                <w:b w:val="1"/>
                <w:bCs w:val="1"/>
                <w:color w:val="auto"/>
                <w:w w:val="96"/>
              </w:rPr>
              <w:t>2022</w:t>
            </w: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480" w:type="dxa"/>
            <w:vAlign w:val="bottom"/>
          </w:tcPr>
          <w:p>
            <w:pPr>
              <w:ind w:left="180"/>
              <w:spacing w:after="0"/>
              <w:rPr>
                <w:sz w:val="20"/>
                <w:szCs w:val="20"/>
                <w:color w:val="auto"/>
              </w:rPr>
            </w:pPr>
            <w:r>
              <w:rPr>
                <w:rFonts w:ascii="Arial" w:cs="Arial" w:eastAsia="Arial" w:hAnsi="Arial"/>
                <w:sz w:val="14"/>
                <w:szCs w:val="14"/>
                <w:color w:val="auto"/>
              </w:rPr>
              <w:t>Deferred sales commissions</w:t>
            </w:r>
          </w:p>
        </w:tc>
        <w:tc>
          <w:tcPr>
            <w:tcW w:w="1440" w:type="dxa"/>
            <w:vAlign w:val="bottom"/>
            <w:tcBorders>
              <w:bottom w:val="single" w:sz="8" w:color="auto"/>
            </w:tcBorders>
          </w:tcPr>
          <w:p>
            <w:pPr>
              <w:jc w:val="right"/>
              <w:ind w:right="1289"/>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260"/>
              <w:spacing w:after="0"/>
              <w:rPr>
                <w:sz w:val="20"/>
                <w:szCs w:val="20"/>
                <w:color w:val="auto"/>
              </w:rPr>
            </w:pPr>
            <w:r>
              <w:rPr>
                <w:rFonts w:ascii="Arial" w:cs="Arial" w:eastAsia="Arial" w:hAnsi="Arial"/>
                <w:sz w:val="14"/>
                <w:szCs w:val="14"/>
                <w:color w:val="auto"/>
              </w:rPr>
              <w:t>Contract liabilities consisted of the following as of (in thousands):</w:t>
            </w: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8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4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480" w:type="dxa"/>
            <w:vAlign w:val="bottom"/>
            <w:shd w:val="clear" w:color="auto" w:fill="CCEEFF"/>
          </w:tcPr>
          <w:p>
            <w:pPr>
              <w:spacing w:after="0"/>
              <w:rPr>
                <w:sz w:val="15"/>
                <w:szCs w:val="15"/>
                <w:color w:val="auto"/>
              </w:rPr>
            </w:pPr>
          </w:p>
        </w:tc>
        <w:tc>
          <w:tcPr>
            <w:tcW w:w="1440" w:type="dxa"/>
            <w:vAlign w:val="bottom"/>
            <w:shd w:val="clear" w:color="auto" w:fill="CCEEFF"/>
          </w:tcPr>
          <w:p>
            <w:pPr>
              <w:jc w:val="center"/>
              <w:ind w:left="309"/>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right="22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0"/>
        </w:trPr>
        <w:tc>
          <w:tcPr>
            <w:tcW w:w="74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ind w:left="309"/>
              <w:spacing w:after="0"/>
              <w:rPr>
                <w:sz w:val="20"/>
                <w:szCs w:val="20"/>
                <w:color w:val="auto"/>
              </w:rPr>
            </w:pPr>
            <w:r>
              <w:rPr>
                <w:rFonts w:ascii="Arial" w:cs="Arial" w:eastAsia="Arial" w:hAnsi="Arial"/>
                <w:sz w:val="14"/>
                <w:szCs w:val="14"/>
                <w:b w:val="1"/>
                <w:bCs w:val="1"/>
                <w:color w:val="auto"/>
                <w:w w:val="96"/>
              </w:rPr>
              <w:t>2022</w:t>
            </w: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209"/>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2"/>
        </w:trPr>
        <w:tc>
          <w:tcPr>
            <w:tcW w:w="74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480" w:type="dxa"/>
            <w:vAlign w:val="bottom"/>
          </w:tcPr>
          <w:p>
            <w:pPr>
              <w:ind w:left="280"/>
              <w:spacing w:after="0"/>
              <w:rPr>
                <w:sz w:val="20"/>
                <w:szCs w:val="20"/>
                <w:color w:val="auto"/>
              </w:rPr>
            </w:pPr>
            <w:r>
              <w:rPr>
                <w:rFonts w:ascii="Arial" w:cs="Arial" w:eastAsia="Arial" w:hAnsi="Arial"/>
                <w:sz w:val="14"/>
                <w:szCs w:val="14"/>
                <w:color w:val="auto"/>
              </w:rPr>
              <w:t>Deferred retail revenues</w:t>
            </w:r>
          </w:p>
        </w:tc>
        <w:tc>
          <w:tcPr>
            <w:tcW w:w="1440" w:type="dxa"/>
            <w:vAlign w:val="bottom"/>
          </w:tcPr>
          <w:p>
            <w:pPr>
              <w:jc w:val="right"/>
              <w:ind w:right="1289"/>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310</w:t>
            </w:r>
          </w:p>
        </w:tc>
        <w:tc>
          <w:tcPr>
            <w:tcW w:w="16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80"/>
        </w:trPr>
        <w:tc>
          <w:tcPr>
            <w:tcW w:w="7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brands revenues</w:t>
            </w:r>
          </w:p>
        </w:tc>
        <w:tc>
          <w:tcPr>
            <w:tcW w:w="144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71"/>
        </w:trPr>
        <w:tc>
          <w:tcPr>
            <w:tcW w:w="7480" w:type="dxa"/>
            <w:vAlign w:val="bottom"/>
          </w:tcPr>
          <w:p>
            <w:pPr>
              <w:ind w:left="280"/>
              <w:spacing w:after="0"/>
              <w:rPr>
                <w:sz w:val="20"/>
                <w:szCs w:val="20"/>
                <w:color w:val="auto"/>
              </w:rPr>
            </w:pPr>
            <w:r>
              <w:rPr>
                <w:rFonts w:ascii="Arial" w:cs="Arial" w:eastAsia="Arial" w:hAnsi="Arial"/>
                <w:sz w:val="14"/>
                <w:szCs w:val="14"/>
                <w:color w:val="auto"/>
              </w:rPr>
              <w:t>Contract liabilities</w:t>
            </w:r>
          </w:p>
        </w:tc>
        <w:tc>
          <w:tcPr>
            <w:tcW w:w="1440" w:type="dxa"/>
            <w:vAlign w:val="bottom"/>
            <w:tcBorders>
              <w:bottom w:val="single" w:sz="8" w:color="auto"/>
            </w:tcBorders>
          </w:tcPr>
          <w:p>
            <w:pPr>
              <w:jc w:val="right"/>
              <w:ind w:right="1289"/>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6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6" w:right="319" w:bottom="1440" w:gutter="0" w:footer="0" w:header="0"/>
        </w:sectPr>
      </w:pPr>
    </w:p>
    <w:bookmarkStart w:id="20" w:name="page21"/>
    <w:bookmarkEnd w:id="20"/>
    <w:p>
      <w:pPr>
        <w:ind w:left="520"/>
        <w:spacing w:after="0"/>
        <w:rPr>
          <w:sz w:val="20"/>
          <w:szCs w:val="20"/>
          <w:color w:val="auto"/>
        </w:rPr>
      </w:pPr>
      <w:r>
        <w:rPr>
          <w:rFonts w:ascii="Arial" w:cs="Arial" w:eastAsia="Arial" w:hAnsi="Arial"/>
          <w:sz w:val="14"/>
          <w:szCs w:val="14"/>
          <w:color w:val="auto"/>
        </w:rPr>
        <w:t>The movement in the contract liabilities during the nine months ended September 30, 2022 and the year ended December 31, 2021, comprised the following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429"/>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74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89"/>
              <w:spacing w:after="0"/>
              <w:rPr>
                <w:sz w:val="20"/>
                <w:szCs w:val="20"/>
                <w:color w:val="auto"/>
              </w:rPr>
            </w:pPr>
            <w:r>
              <w:rPr>
                <w:rFonts w:ascii="Arial" w:cs="Arial" w:eastAsia="Arial" w:hAnsi="Arial"/>
                <w:sz w:val="14"/>
                <w:szCs w:val="14"/>
                <w:b w:val="1"/>
                <w:bCs w:val="1"/>
                <w:color w:val="auto"/>
              </w:rPr>
              <w:t>2021</w:t>
            </w:r>
          </w:p>
        </w:tc>
      </w:tr>
      <w:tr>
        <w:trPr>
          <w:trHeight w:val="160"/>
        </w:trPr>
        <w:tc>
          <w:tcPr>
            <w:tcW w:w="7480" w:type="dxa"/>
            <w:vAlign w:val="bottom"/>
            <w:shd w:val="clear" w:color="auto" w:fill="CCEEFF"/>
          </w:tcPr>
          <w:p>
            <w:pPr>
              <w:ind w:left="100"/>
              <w:spacing w:after="0" w:line="160" w:lineRule="exact"/>
              <w:rPr>
                <w:sz w:val="20"/>
                <w:szCs w:val="20"/>
                <w:color w:val="auto"/>
              </w:rPr>
            </w:pPr>
            <w:r>
              <w:rPr>
                <w:rFonts w:ascii="Arial" w:cs="Arial" w:eastAsia="Arial" w:hAnsi="Arial"/>
                <w:sz w:val="14"/>
                <w:szCs w:val="14"/>
                <w:color w:val="auto"/>
              </w:rPr>
              <w:t>The movement in the contract liabilities during each period comprised the following:</w:t>
            </w:r>
          </w:p>
        </w:tc>
        <w:tc>
          <w:tcPr>
            <w:tcW w:w="2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85"/>
        </w:trPr>
        <w:tc>
          <w:tcPr>
            <w:tcW w:w="7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20" w:type="dxa"/>
            <w:vAlign w:val="bottom"/>
          </w:tcPr>
          <w:p>
            <w:pPr>
              <w:spacing w:after="0"/>
              <w:rPr>
                <w:sz w:val="7"/>
                <w:szCs w:val="7"/>
                <w:color w:val="auto"/>
              </w:rPr>
            </w:pPr>
          </w:p>
        </w:tc>
      </w:tr>
      <w:tr>
        <w:trPr>
          <w:trHeight w:val="180"/>
        </w:trPr>
        <w:tc>
          <w:tcPr>
            <w:tcW w:w="7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Contract liabilities at start of the period</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r>
      <w:tr>
        <w:trPr>
          <w:trHeight w:val="180"/>
        </w:trPr>
        <w:tc>
          <w:tcPr>
            <w:tcW w:w="7480" w:type="dxa"/>
            <w:vAlign w:val="bottom"/>
          </w:tcPr>
          <w:p>
            <w:pPr>
              <w:ind w:left="180"/>
              <w:spacing w:after="0"/>
              <w:rPr>
                <w:sz w:val="20"/>
                <w:szCs w:val="20"/>
                <w:color w:val="auto"/>
              </w:rPr>
            </w:pPr>
            <w:r>
              <w:rPr>
                <w:rFonts w:ascii="Arial" w:cs="Arial" w:eastAsia="Arial" w:hAnsi="Arial"/>
                <w:sz w:val="14"/>
                <w:szCs w:val="14"/>
                <w:color w:val="auto"/>
              </w:rPr>
              <w:t>Amounts invoiced during the period</w:t>
            </w:r>
          </w:p>
        </w:tc>
        <w:tc>
          <w:tcPr>
            <w:tcW w:w="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13,627</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13,512</w:t>
            </w:r>
          </w:p>
        </w:tc>
      </w:tr>
      <w:tr>
        <w:trPr>
          <w:trHeight w:val="180"/>
        </w:trPr>
        <w:tc>
          <w:tcPr>
            <w:tcW w:w="7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revenue recognized during the period</w:t>
            </w:r>
          </w:p>
        </w:tc>
        <w:tc>
          <w:tcPr>
            <w:tcW w:w="2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(13,747)</w:t>
            </w: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(13,622)</w:t>
            </w:r>
          </w:p>
        </w:tc>
      </w:tr>
      <w:tr>
        <w:trPr>
          <w:trHeight w:val="171"/>
        </w:trPr>
        <w:tc>
          <w:tcPr>
            <w:tcW w:w="7480" w:type="dxa"/>
            <w:vAlign w:val="bottom"/>
          </w:tcPr>
          <w:p>
            <w:pPr>
              <w:ind w:left="180"/>
              <w:spacing w:after="0"/>
              <w:rPr>
                <w:sz w:val="20"/>
                <w:szCs w:val="20"/>
                <w:color w:val="auto"/>
              </w:rPr>
            </w:pPr>
            <w:r>
              <w:rPr>
                <w:rFonts w:ascii="Arial" w:cs="Arial" w:eastAsia="Arial" w:hAnsi="Arial"/>
                <w:sz w:val="14"/>
                <w:szCs w:val="14"/>
                <w:color w:val="auto"/>
              </w:rPr>
              <w:t>Contract liabilities at end of the period</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6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w:t>
            </w:r>
          </w:p>
        </w:tc>
      </w:tr>
      <w:tr>
        <w:trPr>
          <w:trHeight w:val="20"/>
        </w:trPr>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STOCK BASED COMPENSATION</w:t>
      </w:r>
    </w:p>
    <w:p>
      <w:pPr>
        <w:spacing w:after="0" w:line="193" w:lineRule="exact"/>
        <w:rPr>
          <w:sz w:val="20"/>
          <w:szCs w:val="20"/>
          <w:color w:val="auto"/>
        </w:rPr>
      </w:pPr>
    </w:p>
    <w:p>
      <w:pPr>
        <w:jc w:val="both"/>
        <w:ind w:firstLine="254"/>
        <w:spacing w:after="0" w:line="249" w:lineRule="auto"/>
        <w:rPr>
          <w:sz w:val="20"/>
          <w:szCs w:val="20"/>
          <w:color w:val="auto"/>
        </w:rPr>
      </w:pPr>
      <w:r>
        <w:rPr>
          <w:rFonts w:ascii="Arial" w:cs="Arial" w:eastAsia="Arial" w:hAnsi="Arial"/>
          <w:sz w:val="14"/>
          <w:szCs w:val="14"/>
          <w:color w:val="auto"/>
        </w:rPr>
        <w:t>At the Special Meeting, in connection with the business combination, the Tuatara shareholders approved the SpringBig Holdings, Inc. 2022 Long-Term Incentive Plan (the “2022 Incentive Plan”), which became effective upon the Closing.</w:t>
      </w:r>
    </w:p>
    <w:p>
      <w:pPr>
        <w:spacing w:after="0" w:line="164" w:lineRule="exact"/>
        <w:rPr>
          <w:sz w:val="20"/>
          <w:szCs w:val="20"/>
          <w:color w:val="auto"/>
        </w:rPr>
      </w:pPr>
    </w:p>
    <w:p>
      <w:pPr>
        <w:jc w:val="both"/>
        <w:ind w:firstLine="254"/>
        <w:spacing w:after="0" w:line="300" w:lineRule="auto"/>
        <w:rPr>
          <w:sz w:val="20"/>
          <w:szCs w:val="20"/>
          <w:color w:val="auto"/>
        </w:rPr>
      </w:pPr>
      <w:r>
        <w:rPr>
          <w:rFonts w:ascii="Arial" w:cs="Arial" w:eastAsia="Arial" w:hAnsi="Arial"/>
          <w:sz w:val="12"/>
          <w:szCs w:val="12"/>
          <w:color w:val="auto"/>
        </w:rPr>
        <w:t>The number of shares of our common stock initially reserved for issuance under the 2022 Incentive Plan was 1,525,175, which equaled the amount of shares of our common stock equal to 5% of the sum of (i) the number of shares of our common stock outstanding as of the Closing and (ii) the number of shares of our common stock underlying stock options issued under the SpringBig, Inc. 2017 Equity Incentive Plan (as amended and restated) (the “Legacy Incentive Plan”) that were outstanding as of the Closing. Shares subject to stock awards granted under the 2022 Incentive Plan that expire or terminate without being exercised in full, or that are paid out in cash rather than in shares, will not reduce the number of shares available for issuance under the 2022 Incentive Plan.</w:t>
      </w:r>
    </w:p>
    <w:p>
      <w:pPr>
        <w:spacing w:after="0" w:line="137"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color w:val="auto"/>
        </w:rPr>
        <w:t>Prior to the closing of the merger, Legacy SpringBig maintained an equity incentive plan (the “Legacy Incentive Plan”), which was originally established effective December 1, 2017. The Legacy Incentive Plan permitted the grant of incentive stock options, non-qualified stock options, restricted stock awards, and restricted stock unit awards to Legacy SpringBig and its affiliates’ employees, consultants and directors. SpringBig will not grant any additional awards under the Legacy Incentive Plan following the business combination.</w:t>
      </w:r>
    </w:p>
    <w:p>
      <w:pPr>
        <w:spacing w:after="0" w:line="163"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During the nine months ended September 30, 2022 and 2021, compensation expense recorded in connection with the Legacy Incentive Plan was $1.1 million and $415,000 for the nine months ended September 30, 2022 and 2021, these are included in administrative expense on the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6" w:right="319" w:bottom="1440" w:gutter="0" w:footer="0" w:header="0"/>
        </w:sectPr>
      </w:pPr>
    </w:p>
    <w:bookmarkStart w:id="21" w:name="page22"/>
    <w:bookmarkEnd w:id="21"/>
    <w:p>
      <w:pPr>
        <w:ind w:left="260"/>
        <w:spacing w:after="0"/>
        <w:rPr>
          <w:sz w:val="20"/>
          <w:szCs w:val="20"/>
          <w:color w:val="auto"/>
        </w:rPr>
      </w:pPr>
      <w:r>
        <w:rPr>
          <w:rFonts w:ascii="Arial" w:cs="Arial" w:eastAsia="Arial" w:hAnsi="Arial"/>
          <w:sz w:val="14"/>
          <w:szCs w:val="14"/>
          <w:color w:val="auto"/>
        </w:rPr>
        <w:t>The following table summarizes information on stock options outstanding as of September 30, 2022 under the Legacy Incentive Plan:</w:t>
      </w:r>
    </w:p>
    <w:p>
      <w:pPr>
        <w:spacing w:after="0" w:line="231"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700" w:type="dxa"/>
            <w:vAlign w:val="bottom"/>
            <w:tcBorders>
              <w:bottom w:val="single" w:sz="8" w:color="auto"/>
            </w:tcBorders>
            <w:gridSpan w:val="3"/>
            <w:shd w:val="clear" w:color="auto" w:fill="CCEEFF"/>
          </w:tcPr>
          <w:p>
            <w:pPr>
              <w:jc w:val="right"/>
              <w:ind w:right="556"/>
              <w:spacing w:after="0"/>
              <w:rPr>
                <w:sz w:val="20"/>
                <w:szCs w:val="20"/>
                <w:color w:val="auto"/>
              </w:rPr>
            </w:pPr>
            <w:r>
              <w:rPr>
                <w:rFonts w:ascii="Arial" w:cs="Arial" w:eastAsia="Arial" w:hAnsi="Arial"/>
                <w:sz w:val="13"/>
                <w:szCs w:val="13"/>
                <w:b w:val="1"/>
                <w:bCs w:val="1"/>
                <w:color w:val="auto"/>
              </w:rPr>
              <w:t>Options Outstanding</w:t>
            </w:r>
          </w:p>
        </w:tc>
        <w:tc>
          <w:tcPr>
            <w:tcW w:w="3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w w:val="86"/>
              </w:rPr>
              <w:t>Options Vested and Exercisable</w:t>
            </w:r>
          </w:p>
        </w:tc>
        <w:tc>
          <w:tcPr>
            <w:tcW w:w="10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w w:val="98"/>
              </w:rPr>
              <w:t>Weighted Average Exercise</w:t>
            </w: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88"/>
              </w:rPr>
              <w:t>Weighted Average</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w w:val="88"/>
              </w:rPr>
              <w:t>Weighted Average</w:t>
            </w:r>
          </w:p>
        </w:tc>
        <w:tc>
          <w:tcPr>
            <w:tcW w:w="0" w:type="dxa"/>
            <w:vAlign w:val="bottom"/>
          </w:tcPr>
          <w:p>
            <w:pPr>
              <w:spacing w:after="0"/>
              <w:rPr>
                <w:sz w:val="1"/>
                <w:szCs w:val="1"/>
                <w:color w:val="auto"/>
              </w:rPr>
            </w:pPr>
          </w:p>
        </w:tc>
      </w:tr>
      <w:tr>
        <w:trPr>
          <w:trHeight w:val="127"/>
        </w:trPr>
        <w:tc>
          <w:tcPr>
            <w:tcW w:w="3740" w:type="dxa"/>
            <w:vAlign w:val="bottom"/>
            <w:vMerge w:val="restart"/>
          </w:tcPr>
          <w:p>
            <w:pPr>
              <w:ind w:left="1480"/>
              <w:spacing w:after="0"/>
              <w:rPr>
                <w:sz w:val="20"/>
                <w:szCs w:val="20"/>
                <w:color w:val="auto"/>
              </w:rPr>
            </w:pPr>
            <w:r>
              <w:rPr>
                <w:rFonts w:ascii="Arial" w:cs="Arial" w:eastAsia="Arial" w:hAnsi="Arial"/>
                <w:sz w:val="13"/>
                <w:szCs w:val="13"/>
                <w:b w:val="1"/>
                <w:bCs w:val="1"/>
                <w:color w:val="auto"/>
              </w:rPr>
              <w:t>Fixed Options</w:t>
            </w:r>
          </w:p>
        </w:tc>
        <w:tc>
          <w:tcPr>
            <w:tcW w:w="80" w:type="dxa"/>
            <w:vAlign w:val="bottom"/>
            <w:vMerge w:val="restart"/>
          </w:tcPr>
          <w:p>
            <w:pPr>
              <w:spacing w:after="0"/>
              <w:rPr>
                <w:sz w:val="11"/>
                <w:szCs w:val="11"/>
                <w:color w:val="auto"/>
              </w:rPr>
            </w:pPr>
          </w:p>
        </w:tc>
        <w:tc>
          <w:tcPr>
            <w:tcW w:w="1200" w:type="dxa"/>
            <w:vAlign w:val="bottom"/>
            <w:vMerge w:val="restart"/>
          </w:tcPr>
          <w:p>
            <w:pPr>
              <w:jc w:val="right"/>
              <w:ind w:right="16"/>
              <w:spacing w:after="0"/>
              <w:rPr>
                <w:sz w:val="20"/>
                <w:szCs w:val="20"/>
                <w:color w:val="auto"/>
              </w:rPr>
            </w:pPr>
            <w:r>
              <w:rPr>
                <w:rFonts w:ascii="Arial" w:cs="Arial" w:eastAsia="Arial" w:hAnsi="Arial"/>
                <w:sz w:val="13"/>
                <w:szCs w:val="13"/>
                <w:b w:val="1"/>
                <w:bCs w:val="1"/>
                <w:color w:val="auto"/>
                <w:w w:val="93"/>
              </w:rPr>
              <w:t>Number of Options</w:t>
            </w:r>
          </w:p>
        </w:tc>
        <w:tc>
          <w:tcPr>
            <w:tcW w:w="18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9"/>
              </w:rPr>
              <w:t>Number of Options</w:t>
            </w:r>
          </w:p>
        </w:tc>
        <w:tc>
          <w:tcPr>
            <w:tcW w:w="140" w:type="dxa"/>
            <w:vAlign w:val="bottom"/>
            <w:vMerge w:val="restart"/>
          </w:tcPr>
          <w:p>
            <w:pPr>
              <w:spacing w:after="0"/>
              <w:rPr>
                <w:sz w:val="11"/>
                <w:szCs w:val="11"/>
                <w:color w:val="auto"/>
              </w:rPr>
            </w:pPr>
          </w:p>
        </w:tc>
        <w:tc>
          <w:tcPr>
            <w:tcW w:w="146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9"/>
              </w:rPr>
              <w:t>Remaining Contractual</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8"/>
              </w:rPr>
              <w:t>Exercise Price (Per</w:t>
            </w:r>
          </w:p>
        </w:tc>
        <w:tc>
          <w:tcPr>
            <w:tcW w:w="0" w:type="dxa"/>
            <w:vAlign w:val="bottom"/>
          </w:tcPr>
          <w:p>
            <w:pPr>
              <w:spacing w:after="0"/>
              <w:rPr>
                <w:sz w:val="1"/>
                <w:szCs w:val="1"/>
                <w:color w:val="auto"/>
              </w:rPr>
            </w:pPr>
          </w:p>
        </w:tc>
      </w:tr>
      <w:tr>
        <w:trPr>
          <w:trHeight w:val="167"/>
        </w:trPr>
        <w:tc>
          <w:tcPr>
            <w:tcW w:w="3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Price (Per Share)</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Life (Years)</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Share)</w:t>
            </w:r>
          </w:p>
        </w:tc>
        <w:tc>
          <w:tcPr>
            <w:tcW w:w="0" w:type="dxa"/>
            <w:vAlign w:val="bottom"/>
          </w:tcPr>
          <w:p>
            <w:pPr>
              <w:spacing w:after="0"/>
              <w:rPr>
                <w:sz w:val="1"/>
                <w:szCs w:val="1"/>
                <w:color w:val="auto"/>
              </w:rPr>
            </w:pPr>
          </w:p>
        </w:tc>
      </w:tr>
      <w:tr>
        <w:trPr>
          <w:trHeight w:val="162"/>
        </w:trPr>
        <w:tc>
          <w:tcPr>
            <w:tcW w:w="37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Balance, January 1, 2022</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6,835,809</w:t>
            </w:r>
          </w:p>
        </w:tc>
        <w:tc>
          <w:tcPr>
            <w:tcW w:w="1500" w:type="dxa"/>
            <w:vAlign w:val="bottom"/>
            <w:gridSpan w:val="2"/>
            <w:shd w:val="clear" w:color="auto" w:fill="CCEEFF"/>
          </w:tcPr>
          <w:p>
            <w:pPr>
              <w:jc w:val="right"/>
              <w:ind w:right="1176"/>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0.38</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4,628,311</w:t>
            </w: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67"/>
        </w:trPr>
        <w:tc>
          <w:tcPr>
            <w:tcW w:w="3820" w:type="dxa"/>
            <w:vAlign w:val="bottom"/>
            <w:gridSpan w:val="2"/>
          </w:tcPr>
          <w:p>
            <w:pPr>
              <w:ind w:left="20"/>
              <w:spacing w:after="0"/>
              <w:rPr>
                <w:sz w:val="20"/>
                <w:szCs w:val="20"/>
                <w:color w:val="auto"/>
              </w:rPr>
            </w:pPr>
            <w:r>
              <w:rPr>
                <w:rFonts w:ascii="Arial" w:cs="Arial" w:eastAsia="Arial" w:hAnsi="Arial"/>
                <w:sz w:val="13"/>
                <w:szCs w:val="13"/>
                <w:color w:val="auto"/>
              </w:rPr>
              <w:t>Options granted</w:t>
            </w: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Options 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(564,038)</w:t>
            </w:r>
          </w:p>
        </w:tc>
        <w:tc>
          <w:tcPr>
            <w:tcW w:w="1500" w:type="dxa"/>
            <w:vAlign w:val="bottom"/>
            <w:gridSpan w:val="2"/>
            <w:shd w:val="clear" w:color="auto" w:fill="CCEEFF"/>
          </w:tcPr>
          <w:p>
            <w:pPr>
              <w:jc w:val="right"/>
              <w:ind w:right="1176"/>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0.55</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20" w:type="dxa"/>
            <w:vAlign w:val="bottom"/>
            <w:gridSpan w:val="2"/>
          </w:tcPr>
          <w:p>
            <w:pPr>
              <w:ind w:left="20"/>
              <w:spacing w:after="0"/>
              <w:rPr>
                <w:sz w:val="20"/>
                <w:szCs w:val="20"/>
                <w:color w:val="auto"/>
              </w:rPr>
            </w:pPr>
            <w:r>
              <w:rPr>
                <w:rFonts w:ascii="Arial" w:cs="Arial" w:eastAsia="Arial" w:hAnsi="Arial"/>
                <w:sz w:val="13"/>
                <w:szCs w:val="13"/>
                <w:color w:val="auto"/>
              </w:rPr>
              <w:t>Options forfeited</w:t>
            </w:r>
          </w:p>
        </w:tc>
        <w:tc>
          <w:tcPr>
            <w:tcW w:w="1200" w:type="dxa"/>
            <w:vAlign w:val="bottom"/>
          </w:tcPr>
          <w:p>
            <w:pPr>
              <w:jc w:val="right"/>
              <w:spacing w:after="0"/>
              <w:rPr>
                <w:sz w:val="20"/>
                <w:szCs w:val="20"/>
                <w:color w:val="auto"/>
              </w:rPr>
            </w:pPr>
            <w:r>
              <w:rPr>
                <w:rFonts w:ascii="Arial" w:cs="Arial" w:eastAsia="Arial" w:hAnsi="Arial"/>
                <w:sz w:val="13"/>
                <w:szCs w:val="13"/>
                <w:color w:val="auto"/>
              </w:rPr>
              <w:t>(61,460)</w:t>
            </w:r>
          </w:p>
        </w:tc>
        <w:tc>
          <w:tcPr>
            <w:tcW w:w="1500" w:type="dxa"/>
            <w:vAlign w:val="bottom"/>
            <w:gridSpan w:val="2"/>
          </w:tcPr>
          <w:p>
            <w:pPr>
              <w:jc w:val="right"/>
              <w:ind w:right="1176"/>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4"/>
              </w:rPr>
              <w:t>0.75</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Options cancelled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(4,791)</w:t>
            </w:r>
          </w:p>
        </w:tc>
        <w:tc>
          <w:tcPr>
            <w:tcW w:w="1500" w:type="dxa"/>
            <w:vAlign w:val="bottom"/>
            <w:gridSpan w:val="2"/>
            <w:shd w:val="clear" w:color="auto" w:fill="CCEEFF"/>
          </w:tcPr>
          <w:p>
            <w:pPr>
              <w:jc w:val="right"/>
              <w:ind w:right="1176"/>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0.75</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20" w:type="dxa"/>
            <w:vAlign w:val="bottom"/>
            <w:gridSpan w:val="2"/>
          </w:tcPr>
          <w:p>
            <w:pPr>
              <w:ind w:left="20"/>
              <w:spacing w:after="0"/>
              <w:rPr>
                <w:sz w:val="20"/>
                <w:szCs w:val="20"/>
                <w:color w:val="auto"/>
              </w:rPr>
            </w:pPr>
            <w:r>
              <w:rPr>
                <w:rFonts w:ascii="Arial" w:cs="Arial" w:eastAsia="Arial" w:hAnsi="Arial"/>
                <w:sz w:val="13"/>
                <w:szCs w:val="13"/>
                <w:b w:val="1"/>
                <w:bCs w:val="1"/>
                <w:color w:val="auto"/>
              </w:rPr>
              <w:t>Outstanding Balance, June 14, 2022</w:t>
            </w:r>
          </w:p>
        </w:tc>
        <w:tc>
          <w:tcPr>
            <w:tcW w:w="1200" w:type="dxa"/>
            <w:vAlign w:val="bottom"/>
          </w:tcPr>
          <w:p>
            <w:pPr>
              <w:jc w:val="right"/>
              <w:spacing w:after="0"/>
              <w:rPr>
                <w:sz w:val="20"/>
                <w:szCs w:val="20"/>
                <w:color w:val="auto"/>
              </w:rPr>
            </w:pPr>
            <w:r>
              <w:rPr>
                <w:rFonts w:ascii="Arial" w:cs="Arial" w:eastAsia="Arial" w:hAnsi="Arial"/>
                <w:sz w:val="13"/>
                <w:szCs w:val="13"/>
                <w:color w:val="auto"/>
              </w:rPr>
              <w:t>6,205,520</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Conversion ratio</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0.5929</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20" w:type="dxa"/>
            <w:vAlign w:val="bottom"/>
            <w:gridSpan w:val="2"/>
          </w:tcPr>
          <w:p>
            <w:pPr>
              <w:ind w:left="20"/>
              <w:spacing w:after="0"/>
              <w:rPr>
                <w:sz w:val="20"/>
                <w:szCs w:val="20"/>
                <w:color w:val="auto"/>
              </w:rPr>
            </w:pPr>
            <w:r>
              <w:rPr>
                <w:rFonts w:ascii="Arial" w:cs="Arial" w:eastAsia="Arial" w:hAnsi="Arial"/>
                <w:sz w:val="13"/>
                <w:szCs w:val="13"/>
                <w:color w:val="auto"/>
              </w:rPr>
              <w:t>SpringBig Holdings options</w:t>
            </w:r>
          </w:p>
        </w:tc>
        <w:tc>
          <w:tcPr>
            <w:tcW w:w="1200" w:type="dxa"/>
            <w:vAlign w:val="bottom"/>
          </w:tcPr>
          <w:p>
            <w:pPr>
              <w:jc w:val="right"/>
              <w:spacing w:after="0"/>
              <w:rPr>
                <w:sz w:val="20"/>
                <w:szCs w:val="20"/>
                <w:color w:val="auto"/>
              </w:rPr>
            </w:pPr>
            <w:r>
              <w:rPr>
                <w:rFonts w:ascii="Arial" w:cs="Arial" w:eastAsia="Arial" w:hAnsi="Arial"/>
                <w:sz w:val="13"/>
                <w:szCs w:val="13"/>
                <w:color w:val="auto"/>
              </w:rPr>
              <w:t>3,679,171</w:t>
            </w: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Options exercised</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(44,451)</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0.32</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Options forfeited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(42,629)</w:t>
            </w:r>
          </w:p>
        </w:tc>
        <w:tc>
          <w:tcPr>
            <w:tcW w:w="1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1.11</w:t>
            </w:r>
          </w:p>
        </w:tc>
        <w:tc>
          <w:tcPr>
            <w:tcW w:w="1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Outstanding Balance, Sept. 30,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3,592,091</w:t>
            </w:r>
          </w:p>
        </w:tc>
        <w:tc>
          <w:tcPr>
            <w:tcW w:w="1500" w:type="dxa"/>
            <w:vAlign w:val="bottom"/>
            <w:tcBorders>
              <w:bottom w:val="single" w:sz="8" w:color="CCEEFF"/>
            </w:tcBorders>
            <w:gridSpan w:val="2"/>
            <w:shd w:val="clear" w:color="auto" w:fill="CCEEFF"/>
          </w:tcPr>
          <w:p>
            <w:pPr>
              <w:jc w:val="right"/>
              <w:ind w:right="1176"/>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4"/>
              </w:rPr>
              <w:t>0.58</w:t>
            </w: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3,423,488</w:t>
            </w:r>
          </w:p>
        </w:tc>
        <w:tc>
          <w:tcPr>
            <w:tcW w:w="1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80" w:firstLine="254"/>
        <w:spacing w:after="0" w:line="243" w:lineRule="auto"/>
        <w:rPr>
          <w:sz w:val="20"/>
          <w:szCs w:val="20"/>
          <w:color w:val="auto"/>
        </w:rPr>
      </w:pPr>
      <w:r>
        <w:rPr>
          <w:rFonts w:ascii="Arial" w:cs="Arial" w:eastAsia="Arial" w:hAnsi="Arial"/>
          <w:sz w:val="14"/>
          <w:szCs w:val="14"/>
          <w:color w:val="auto"/>
        </w:rPr>
        <w:t>The intrinsic value of the options exercised during the nine months ended September 30, 2022 and 2021 were $3.3 million and $13,000, respectively. As of September 30, 2022, the intrinsic value of the 3,423,488 options outstanding and exercisable was $1.3 million. As of September 30, 2022, the total compensation cost related to non-vested awards not yet recognized was $169,000 with a weighted-average period of 1.75 years over which it is expected to be recognized.</w:t>
      </w:r>
    </w:p>
    <w:p>
      <w:pPr>
        <w:spacing w:after="0" w:line="168" w:lineRule="exact"/>
        <w:rPr>
          <w:sz w:val="20"/>
          <w:szCs w:val="20"/>
          <w:color w:val="auto"/>
        </w:rPr>
      </w:pPr>
    </w:p>
    <w:p>
      <w:pPr>
        <w:jc w:val="both"/>
        <w:ind w:right="80" w:firstLine="254"/>
        <w:spacing w:after="0" w:line="265" w:lineRule="auto"/>
        <w:rPr>
          <w:sz w:val="20"/>
          <w:szCs w:val="20"/>
          <w:color w:val="auto"/>
        </w:rPr>
      </w:pPr>
      <w:r>
        <w:rPr>
          <w:rFonts w:ascii="Arial" w:cs="Arial" w:eastAsia="Arial" w:hAnsi="Arial"/>
          <w:sz w:val="14"/>
          <w:szCs w:val="14"/>
          <w:color w:val="auto"/>
        </w:rPr>
        <w:t>With the consummation of the business combination, all outstanding options were vested with the exception of 192,689 options granted to certain executives of the Company. The cost associated with the early vesting was $924,000 and is included in administrative expense on the statement of operations.</w:t>
      </w:r>
    </w:p>
    <w:p>
      <w:pPr>
        <w:spacing w:after="0" w:line="153" w:lineRule="exact"/>
        <w:rPr>
          <w:sz w:val="20"/>
          <w:szCs w:val="20"/>
          <w:color w:val="auto"/>
        </w:rPr>
      </w:pPr>
    </w:p>
    <w:p>
      <w:pPr>
        <w:jc w:val="both"/>
        <w:ind w:right="80" w:firstLine="254"/>
        <w:spacing w:after="0" w:line="251" w:lineRule="auto"/>
        <w:rPr>
          <w:sz w:val="20"/>
          <w:szCs w:val="20"/>
          <w:color w:val="auto"/>
        </w:rPr>
      </w:pPr>
      <w:r>
        <w:rPr>
          <w:rFonts w:ascii="Arial" w:cs="Arial" w:eastAsia="Arial" w:hAnsi="Arial"/>
          <w:sz w:val="14"/>
          <w:szCs w:val="14"/>
          <w:color w:val="auto"/>
        </w:rPr>
        <w:t>During the nine months ended September 30, 2022 and 2021, the Company used the Black-Scholes option-pricing model to value option grants and to determine the related compensation expense. The assumptions used in calculating the fair value of stock-based payment awards represent management’s best estimations. The Company based its expected volatility based on the volatilities of certain publicly traded peer companies.</w:t>
      </w:r>
    </w:p>
    <w:p>
      <w:pPr>
        <w:spacing w:after="0" w:line="163" w:lineRule="exact"/>
        <w:rPr>
          <w:sz w:val="20"/>
          <w:szCs w:val="20"/>
          <w:color w:val="auto"/>
        </w:rPr>
      </w:pPr>
    </w:p>
    <w:p>
      <w:pPr>
        <w:jc w:val="both"/>
        <w:ind w:right="80" w:firstLine="254"/>
        <w:spacing w:after="0" w:line="271" w:lineRule="auto"/>
        <w:rPr>
          <w:sz w:val="20"/>
          <w:szCs w:val="20"/>
          <w:color w:val="auto"/>
        </w:rPr>
      </w:pPr>
      <w:r>
        <w:rPr>
          <w:rFonts w:ascii="Arial" w:cs="Arial" w:eastAsia="Arial" w:hAnsi="Arial"/>
          <w:sz w:val="13"/>
          <w:szCs w:val="13"/>
          <w:color w:val="auto"/>
        </w:rPr>
        <w:t>The risk-free interest rate used for each grant is equal to the U.S. Treasury yield curve in effect at the time of grant for instruments with a similar expected life. The expected term of options granted was determined based on the expected holding period at the time of the grant. GAAP also requires that the Company recognize compensation expense for only the portion of options that are expected to vest. Therefore, the Company has estimated expected forfeitures of stock options. In developing a forfeiture rate estimate, the Company considered its historical experience. If the actual number of forfeitures differs from those estimated by management, additional adjustments to compensation expense may be required in future periods.</w:t>
      </w:r>
    </w:p>
    <w:p>
      <w:pPr>
        <w:spacing w:after="0" w:line="152" w:lineRule="exact"/>
        <w:rPr>
          <w:sz w:val="20"/>
          <w:szCs w:val="20"/>
          <w:color w:val="auto"/>
        </w:rPr>
      </w:pPr>
    </w:p>
    <w:p>
      <w:pPr>
        <w:jc w:val="both"/>
        <w:ind w:right="80" w:firstLine="254"/>
        <w:spacing w:after="0" w:line="271" w:lineRule="auto"/>
        <w:rPr>
          <w:sz w:val="20"/>
          <w:szCs w:val="20"/>
          <w:color w:val="auto"/>
        </w:rPr>
      </w:pPr>
      <w:r>
        <w:rPr>
          <w:rFonts w:ascii="Arial" w:cs="Arial" w:eastAsia="Arial" w:hAnsi="Arial"/>
          <w:sz w:val="13"/>
          <w:szCs w:val="13"/>
          <w:color w:val="auto"/>
        </w:rPr>
        <w:t>On July 7, 2022, the Company issued 761,500 Restricted Stock Units to its employees, which were awarded when the price per share was $1.97. For the nine months ended September 30, 2022, the Company recognized $124,000 of compensation expense related to the Restricted Stock Units. The Restricted Stock Units will vest over a 3 year period. As of September 30, 2022, the total compensation cost related to non-vested awards not yet recognized was $1.4 million with a weighted-average period of 2.75 years over which it is expected to be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136" w:right="2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color w:val="auto"/>
        </w:rPr>
        <w:t>NOTE 15 – COMMITMENTS AND CONTINGENCIES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auto"/>
        </w:rPr>
        <w:t>Lease Agreements</w:t>
      </w:r>
    </w:p>
    <w:p>
      <w:pPr>
        <w:spacing w:after="0" w:line="189"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color w:val="auto"/>
        </w:rPr>
        <w:t>The Company leases office facilities in Boca Raton, Florida, Seattle, Washington and Ontario, Canada under non-cancelable operating lease agreements. The leases require monthly payments ranging from $7,000 to $42,000 and expire on various dates through February 2031. In addition to minimum rent, the Company is required to pay a proportionate share of operating expenses under these leases.</w:t>
      </w:r>
    </w:p>
    <w:p>
      <w:pPr>
        <w:spacing w:after="0" w:line="163" w:lineRule="exact"/>
        <w:rPr>
          <w:sz w:val="20"/>
          <w:szCs w:val="20"/>
          <w:color w:val="auto"/>
        </w:rPr>
      </w:pPr>
    </w:p>
    <w:p>
      <w:pPr>
        <w:jc w:val="both"/>
        <w:ind w:firstLine="254"/>
        <w:spacing w:after="0" w:line="271" w:lineRule="auto"/>
        <w:rPr>
          <w:sz w:val="20"/>
          <w:szCs w:val="20"/>
          <w:color w:val="auto"/>
        </w:rPr>
      </w:pPr>
      <w:r>
        <w:rPr>
          <w:rFonts w:ascii="Arial" w:cs="Arial" w:eastAsia="Arial" w:hAnsi="Arial"/>
          <w:sz w:val="13"/>
          <w:szCs w:val="13"/>
          <w:color w:val="auto"/>
        </w:rPr>
        <w:t>During the three months ended September 30, 2022, the Company entered into a lease with the current landlord for the Company’s corporate headquarters under which the current leases will be replaced by the new lease on a single floor in the same building as the Company currently occupies. The new lease will commence on the sooner of the day the Company takes occupancy or day of substantial completion of leasehold improvements. The new lease term is for 98 months. Rental payments range from $38,000 to $48,000 over the life of the lease.</w:t>
      </w:r>
    </w:p>
    <w:p>
      <w:pPr>
        <w:spacing w:after="0" w:line="151"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Rent expense was approximately $202,000 and $154,000 for the three months ended September 30, 2022 and 2021, respectively, with $623,000 and $453,000 for the nine months ended September 30, 2022 and 2021, respectively.</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auto"/>
        </w:rPr>
        <w:t>Employment Agreements</w:t>
      </w:r>
    </w:p>
    <w:p>
      <w:pPr>
        <w:spacing w:after="0" w:line="189"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color w:val="auto"/>
        </w:rPr>
        <w:t>The Company has entered into employment agreements with Jeffrey Harris, CEO of SpringBig, and Paul Sykes, CFO of SpringBig, which became effective as of the Closing. Pursuant to his employment agreement, Mr. Harris will receive an annual salary of $450,000, will be eligible for a target cash incentive opportunity of up to 137.5% of his annual base salary, and will be eligible to receive equity incentive awards under SpringBig’s long-term incentive plan as in effect from time to time.</w:t>
      </w:r>
    </w:p>
    <w:p>
      <w:pPr>
        <w:spacing w:after="0" w:line="163"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Pursuant to his employment agreement, Mr. Sykes will receive an annual salary of $350,000, will be eligible for a target cash incentive opportunity of up to 100% of his annual base salary, and will be eligible to receive equity incentive awards under SpringBig’s long-term incentive plan as in effect from time to time.</w:t>
      </w:r>
    </w:p>
    <w:p>
      <w:pPr>
        <w:spacing w:after="0" w:line="153"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In addition, the SpringBig board of directors awarded each of Mr. Harris and Mr. Sykes a one-time cash bonus in the amount of $300,000 and $250,000, respectively, which was awarded as of the Closing, the amount is included in administrative expenses on the statement of operations.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auto"/>
        </w:rPr>
        <w:t>Litigation</w:t>
      </w:r>
    </w:p>
    <w:p>
      <w:pPr>
        <w:spacing w:after="0" w:line="189" w:lineRule="exact"/>
        <w:rPr>
          <w:sz w:val="20"/>
          <w:szCs w:val="20"/>
          <w:color w:val="auto"/>
        </w:rPr>
      </w:pPr>
    </w:p>
    <w:p>
      <w:pPr>
        <w:jc w:val="both"/>
        <w:ind w:firstLine="254"/>
        <w:spacing w:after="0" w:line="243" w:lineRule="auto"/>
        <w:rPr>
          <w:sz w:val="20"/>
          <w:szCs w:val="20"/>
          <w:color w:val="auto"/>
        </w:rPr>
      </w:pPr>
      <w:r>
        <w:rPr>
          <w:rFonts w:ascii="Arial" w:cs="Arial" w:eastAsia="Arial" w:hAnsi="Arial"/>
          <w:sz w:val="14"/>
          <w:szCs w:val="14"/>
          <w:color w:val="auto"/>
        </w:rPr>
        <w:t>The Company is from time to time involved in litigation incidental to the conduct of its business. In accordance with applicable accounting guidance, the Company records a provision for a liability when it is both probable that a liability has been incurred and the amount can be reasonably estimated. Management believes that the outcome of such legal proceedings, legal actions and claims will not have a significant adverse effect on the Company’s financial position,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 FAIR VALUE MEASUREMENTS</w:t>
      </w:r>
    </w:p>
    <w:p>
      <w:pPr>
        <w:spacing w:after="0" w:line="203" w:lineRule="exact"/>
        <w:rPr>
          <w:sz w:val="20"/>
          <w:szCs w:val="20"/>
          <w:color w:val="auto"/>
        </w:rPr>
      </w:pPr>
    </w:p>
    <w:p>
      <w:pPr>
        <w:jc w:val="both"/>
        <w:ind w:firstLine="254"/>
        <w:spacing w:after="0" w:line="262" w:lineRule="auto"/>
        <w:rPr>
          <w:sz w:val="20"/>
          <w:szCs w:val="20"/>
          <w:color w:val="auto"/>
        </w:rPr>
      </w:pPr>
      <w:r>
        <w:rPr>
          <w:rFonts w:ascii="Arial" w:cs="Arial" w:eastAsia="Arial" w:hAnsi="Arial"/>
          <w:sz w:val="14"/>
          <w:szCs w:val="14"/>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fair value hierarchy is used to classify assets and liabilities based on the observable inputs and unobservable inputs used in order to value the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2" w:right="319" w:bottom="1440" w:gutter="0" w:footer="0" w:header="0"/>
        </w:sectPr>
      </w:pPr>
    </w:p>
    <w:bookmarkStart w:id="23" w:name="page24"/>
    <w:bookmarkEnd w:id="23"/>
    <w:p>
      <w:pPr>
        <w:jc w:val="both"/>
        <w:ind w:firstLine="254"/>
        <w:spacing w:after="0" w:line="265" w:lineRule="auto"/>
        <w:rPr>
          <w:sz w:val="20"/>
          <w:szCs w:val="20"/>
          <w:color w:val="auto"/>
        </w:rPr>
      </w:pPr>
      <w:r>
        <w:rPr>
          <w:rFonts w:ascii="Arial" w:cs="Arial" w:eastAsia="Arial" w:hAnsi="Arial"/>
          <w:sz w:val="14"/>
          <w:szCs w:val="14"/>
          <w:i w:val="1"/>
          <w:iCs w:val="1"/>
          <w:color w:val="auto"/>
        </w:rPr>
        <w:t xml:space="preserve">Level 1: </w:t>
      </w:r>
      <w:r>
        <w:rPr>
          <w:rFonts w:ascii="Arial" w:cs="Arial" w:eastAsia="Arial" w:hAnsi="Arial"/>
          <w:sz w:val="14"/>
          <w:szCs w:val="14"/>
          <w:color w:val="auto"/>
        </w:rPr>
        <w:t>Valuation is based on unadjusted quoted prices in active markets for identical assets and liabilities that are accessible at the reporting date. Because valuations are based on quoted prices</w:t>
      </w:r>
      <w:r>
        <w:rPr>
          <w:rFonts w:ascii="Arial" w:cs="Arial" w:eastAsia="Arial" w:hAnsi="Arial"/>
          <w:sz w:val="14"/>
          <w:szCs w:val="14"/>
          <w:i w:val="1"/>
          <w:iCs w:val="1"/>
          <w:color w:val="auto"/>
        </w:rPr>
        <w:t xml:space="preserve"> </w:t>
      </w:r>
      <w:r>
        <w:rPr>
          <w:rFonts w:ascii="Arial" w:cs="Arial" w:eastAsia="Arial" w:hAnsi="Arial"/>
          <w:sz w:val="14"/>
          <w:szCs w:val="14"/>
          <w:color w:val="auto"/>
        </w:rPr>
        <w:t>that are readily and regularly available in an active market, valuation of these products does not entail a significant degree of judgment.</w:t>
      </w:r>
    </w:p>
    <w:p>
      <w:pPr>
        <w:spacing w:after="0" w:line="153"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i w:val="1"/>
          <w:iCs w:val="1"/>
          <w:color w:val="auto"/>
        </w:rPr>
        <w:t>Level 2</w:t>
      </w:r>
      <w:r>
        <w:rPr>
          <w:rFonts w:ascii="Arial" w:cs="Arial" w:eastAsia="Arial" w:hAnsi="Arial"/>
          <w:sz w:val="14"/>
          <w:szCs w:val="14"/>
          <w:color w:val="auto"/>
        </w:rPr>
        <w:t>: Valuation is determined from pricing inputs that are other than quoted prices in active markets that are either directly or indirectly observable as of the reporting date. Observable inputs</w:t>
      </w:r>
      <w:r>
        <w:rPr>
          <w:rFonts w:ascii="Arial" w:cs="Arial" w:eastAsia="Arial" w:hAnsi="Arial"/>
          <w:sz w:val="14"/>
          <w:szCs w:val="14"/>
          <w:i w:val="1"/>
          <w:iCs w:val="1"/>
          <w:color w:val="auto"/>
        </w:rPr>
        <w:t xml:space="preserve"> </w:t>
      </w:r>
      <w:r>
        <w:rPr>
          <w:rFonts w:ascii="Arial" w:cs="Arial" w:eastAsia="Arial" w:hAnsi="Arial"/>
          <w:sz w:val="14"/>
          <w:szCs w:val="14"/>
          <w:color w:val="auto"/>
        </w:rPr>
        <w:t>include quoted prices for similar assets or liabilities in active markets, quoted prices for identical or similar assets or liabilities in markets that are not active, and interest rates and yield curves that are observable at commonly quoted intervals.</w:t>
      </w:r>
    </w:p>
    <w:p>
      <w:pPr>
        <w:spacing w:after="0" w:line="163" w:lineRule="exact"/>
        <w:rPr>
          <w:sz w:val="20"/>
          <w:szCs w:val="20"/>
          <w:color w:val="auto"/>
        </w:rPr>
      </w:pPr>
    </w:p>
    <w:p>
      <w:pPr>
        <w:jc w:val="both"/>
        <w:spacing w:after="0" w:line="236" w:lineRule="auto"/>
        <w:rPr>
          <w:sz w:val="20"/>
          <w:szCs w:val="20"/>
          <w:color w:val="auto"/>
        </w:rPr>
      </w:pPr>
      <w:r>
        <w:rPr>
          <w:rFonts w:ascii="Arial" w:cs="Arial" w:eastAsia="Arial" w:hAnsi="Arial"/>
          <w:sz w:val="14"/>
          <w:szCs w:val="14"/>
          <w:i w:val="1"/>
          <w:iCs w:val="1"/>
          <w:color w:val="auto"/>
        </w:rPr>
        <w:t>Level 3</w:t>
      </w:r>
      <w:r>
        <w:rPr>
          <w:rFonts w:ascii="Arial" w:cs="Arial" w:eastAsia="Arial" w:hAnsi="Arial"/>
          <w:sz w:val="14"/>
          <w:szCs w:val="14"/>
          <w:color w:val="auto"/>
        </w:rPr>
        <w:t>: Valuation is based on inputs that are both significant to the fair value measurement and unobservable. Level 3 inputs include situations where there is little, if any, market activity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instrument. The inputs into the determination of fair value generally require significant management judgment or estimation. .</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Liabilities measured at fair value on a recurring basis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balances of the Company’s liabilities measured at fair value on a recurring basis as of September 30, 2022, are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b w:val="1"/>
                <w:bCs w:val="1"/>
                <w:color w:val="auto"/>
              </w:rPr>
              <w:t>Level 1</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Level 2</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Level 3</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Total Fair Value</w:t>
            </w:r>
          </w:p>
        </w:tc>
      </w:tr>
      <w:tr>
        <w:trPr>
          <w:trHeight w:val="160"/>
        </w:trPr>
        <w:tc>
          <w:tcPr>
            <w:tcW w:w="4840" w:type="dxa"/>
            <w:vAlign w:val="bottom"/>
          </w:tcPr>
          <w:p>
            <w:pPr>
              <w:ind w:left="20"/>
              <w:spacing w:after="0" w:line="160" w:lineRule="exact"/>
              <w:rPr>
                <w:sz w:val="20"/>
                <w:szCs w:val="20"/>
                <w:color w:val="auto"/>
              </w:rPr>
            </w:pPr>
            <w:r>
              <w:rPr>
                <w:rFonts w:ascii="Arial" w:cs="Arial" w:eastAsia="Arial" w:hAnsi="Arial"/>
                <w:sz w:val="14"/>
                <w:szCs w:val="14"/>
                <w:color w:val="auto"/>
              </w:rPr>
              <w:t>Liabilities:</w:t>
            </w:r>
          </w:p>
        </w:tc>
        <w:tc>
          <w:tcPr>
            <w:tcW w:w="1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r>
      <w:tr>
        <w:trPr>
          <w:trHeight w:val="18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Public warrants</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w:t>
            </w:r>
          </w:p>
        </w:tc>
      </w:tr>
      <w:tr>
        <w:trPr>
          <w:trHeight w:val="171"/>
        </w:trPr>
        <w:tc>
          <w:tcPr>
            <w:tcW w:w="484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989"/>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989"/>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805</w:t>
            </w:r>
          </w:p>
        </w:tc>
      </w:tr>
      <w:tr>
        <w:trPr>
          <w:trHeight w:val="20"/>
        </w:trPr>
        <w:tc>
          <w:tcPr>
            <w:tcW w:w="48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description of the methodologies used to estimate the fair values of liabilities measured at fair value on a recurring basis and within the fair value hierarchy.</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4"/>
          <w:szCs w:val="14"/>
          <w:i w:val="1"/>
          <w:iCs w:val="1"/>
          <w:u w:val="single" w:color="auto"/>
          <w:color w:val="auto"/>
        </w:rPr>
        <w:t>Warrant liabilities</w:t>
      </w:r>
    </w:p>
    <w:p>
      <w:pPr>
        <w:spacing w:after="0" w:line="189"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color w:val="auto"/>
        </w:rPr>
        <w:t>Prior to the business combination, TCAC issued warrants to purchase 10,000,000 Class A ordinary shares at a price of $11.50 per whole share, as part of the units offered by the prospectus for their initial public offering and, simultaneously with the closing of their initial public offering, issued in a private placement an aggregate of 6,000,000 private placement warrants, each exercisable to purchase one Class A ordinary share at a price of $11.50 per share.</w:t>
      </w:r>
    </w:p>
    <w:p>
      <w:pPr>
        <w:spacing w:after="0" w:line="173" w:lineRule="exact"/>
        <w:rPr>
          <w:sz w:val="20"/>
          <w:szCs w:val="20"/>
          <w:color w:val="auto"/>
        </w:rPr>
      </w:pPr>
    </w:p>
    <w:p>
      <w:pPr>
        <w:jc w:val="both"/>
        <w:ind w:firstLine="254"/>
        <w:spacing w:after="0" w:line="281" w:lineRule="auto"/>
        <w:rPr>
          <w:sz w:val="20"/>
          <w:szCs w:val="20"/>
          <w:color w:val="auto"/>
        </w:rPr>
      </w:pPr>
      <w:r>
        <w:rPr>
          <w:rFonts w:ascii="Arial" w:cs="Arial" w:eastAsia="Arial" w:hAnsi="Arial"/>
          <w:sz w:val="14"/>
          <w:szCs w:val="14"/>
          <w:color w:val="auto"/>
        </w:rPr>
        <w:t>The Company utilizes a fair value approach to account for its warrants based on the quoted price at September 30, 2022, the calculation is consistent with ASC 820, Fair Value Measurement, with changes in fair value recorded in current earnings.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At September 30, 2022, the value of the public warrants were approximately $0.8 million using a closing price of $0.0503.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6" w:right="319" w:bottom="1440" w:gutter="0" w:footer="0" w:header="0"/>
        </w:sectPr>
      </w:pPr>
    </w:p>
    <w:bookmarkStart w:id="24" w:name="page25"/>
    <w:bookmarkEnd w:id="24"/>
    <w:p>
      <w:pPr>
        <w:ind w:left="260"/>
        <w:spacing w:after="0"/>
        <w:rPr>
          <w:sz w:val="20"/>
          <w:szCs w:val="20"/>
          <w:color w:val="auto"/>
        </w:rPr>
      </w:pPr>
      <w:r>
        <w:rPr>
          <w:rFonts w:ascii="Arial" w:cs="Arial" w:eastAsia="Arial" w:hAnsi="Arial"/>
          <w:sz w:val="14"/>
          <w:szCs w:val="14"/>
          <w:i w:val="1"/>
          <w:iCs w:val="1"/>
          <w:color w:val="auto"/>
        </w:rPr>
        <w:t>Changes in Fair Value</w:t>
      </w:r>
    </w:p>
    <w:p>
      <w:pPr>
        <w:spacing w:after="0" w:line="189" w:lineRule="exact"/>
        <w:rPr>
          <w:sz w:val="20"/>
          <w:szCs w:val="20"/>
          <w:color w:val="auto"/>
        </w:rPr>
      </w:pPr>
    </w:p>
    <w:p>
      <w:pPr>
        <w:jc w:val="both"/>
        <w:ind w:firstLine="254"/>
        <w:spacing w:after="0" w:line="249" w:lineRule="auto"/>
        <w:rPr>
          <w:sz w:val="20"/>
          <w:szCs w:val="20"/>
          <w:color w:val="auto"/>
        </w:rPr>
      </w:pPr>
      <w:r>
        <w:rPr>
          <w:rFonts w:ascii="Arial" w:cs="Arial" w:eastAsia="Arial" w:hAnsi="Arial"/>
          <w:sz w:val="14"/>
          <w:szCs w:val="14"/>
          <w:color w:val="auto"/>
        </w:rPr>
        <w:t>The following tables provides a roll-forward in the changes in fair value for the nine months ended September 30, 2022, for all liabilities for which the Company determines fair value on a recurring basis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Warrants</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0"/>
        </w:trPr>
        <w:tc>
          <w:tcPr>
            <w:tcW w:w="9840" w:type="dxa"/>
            <w:vAlign w:val="bottom"/>
          </w:tcPr>
          <w:p>
            <w:pPr>
              <w:ind w:left="20"/>
              <w:spacing w:after="0"/>
              <w:rPr>
                <w:sz w:val="20"/>
                <w:szCs w:val="20"/>
                <w:color w:val="auto"/>
              </w:rPr>
            </w:pPr>
            <w:r>
              <w:rPr>
                <w:rFonts w:ascii="Arial" w:cs="Arial" w:eastAsia="Arial" w:hAnsi="Arial"/>
                <w:sz w:val="14"/>
                <w:szCs w:val="14"/>
                <w:color w:val="auto"/>
              </w:rPr>
              <w:t>Balance, January 1, 2022</w:t>
            </w:r>
          </w:p>
        </w:tc>
        <w:tc>
          <w:tcPr>
            <w:tcW w:w="540" w:type="dxa"/>
            <w:vAlign w:val="bottom"/>
          </w:tcPr>
          <w:p>
            <w:pPr>
              <w:jc w:val="right"/>
              <w:ind w:right="38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9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Assumed in business combination</w:t>
            </w: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4,496</w:t>
            </w:r>
          </w:p>
        </w:tc>
      </w:tr>
      <w:tr>
        <w:trPr>
          <w:trHeight w:val="180"/>
        </w:trPr>
        <w:tc>
          <w:tcPr>
            <w:tcW w:w="9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in fair value</w:t>
            </w: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(3,691)</w:t>
            </w:r>
          </w:p>
        </w:tc>
      </w:tr>
      <w:tr>
        <w:trPr>
          <w:trHeight w:val="196"/>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2022</w:t>
            </w: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9840" w:type="dxa"/>
            <w:vAlign w:val="bottom"/>
          </w:tcPr>
          <w:p>
            <w:pPr>
              <w:ind w:left="20"/>
              <w:spacing w:after="0" w:line="143" w:lineRule="exact"/>
              <w:rPr>
                <w:sz w:val="20"/>
                <w:szCs w:val="20"/>
                <w:color w:val="auto"/>
              </w:rPr>
            </w:pPr>
            <w:r>
              <w:rPr>
                <w:rFonts w:ascii="Arial" w:cs="Arial" w:eastAsia="Arial" w:hAnsi="Arial"/>
                <w:sz w:val="14"/>
                <w:szCs w:val="14"/>
                <w:color w:val="auto"/>
              </w:rPr>
              <w:t>Changes in fair value included in earnings for the period relating to liabilities held at September 30, 2022</w:t>
            </w:r>
          </w:p>
        </w:tc>
        <w:tc>
          <w:tcPr>
            <w:tcW w:w="540" w:type="dxa"/>
            <w:vAlign w:val="bottom"/>
            <w:tcBorders>
              <w:bottom w:val="single" w:sz="8" w:color="auto"/>
            </w:tcBorders>
          </w:tcPr>
          <w:p>
            <w:pPr>
              <w:jc w:val="right"/>
              <w:ind w:right="389"/>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(3,691)</w:t>
            </w:r>
          </w:p>
        </w:tc>
      </w:tr>
      <w:tr>
        <w:trPr>
          <w:trHeight w:val="20"/>
        </w:trPr>
        <w:tc>
          <w:tcPr>
            <w:tcW w:w="98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There were no transfers of financial liabilities between levels of the fair value hierarchy during the nine months ended September 30, 2022.</w:t>
      </w:r>
    </w:p>
    <w:p>
      <w:pPr>
        <w:spacing w:after="0" w:line="174"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4"/>
          <w:szCs w:val="14"/>
          <w:i w:val="1"/>
          <w:iCs w:val="1"/>
          <w:color w:val="auto"/>
        </w:rPr>
        <w:t xml:space="preserve">Other Fair Value Considerations </w:t>
      </w:r>
      <w:r>
        <w:rPr>
          <w:rFonts w:ascii="Arial" w:cs="Arial" w:eastAsia="Arial" w:hAnsi="Arial"/>
          <w:sz w:val="14"/>
          <w:szCs w:val="14"/>
          <w:b w:val="1"/>
          <w:bCs w:val="1"/>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Carrying value of accounts receivables, contract assets, prepaid expenses and other assets, accounts payable and accrued expenses approximate fair value due</w:t>
      </w:r>
      <w:r>
        <w:rPr>
          <w:rFonts w:ascii="Arial" w:cs="Arial" w:eastAsia="Arial" w:hAnsi="Arial"/>
          <w:sz w:val="14"/>
          <w:szCs w:val="14"/>
          <w:i w:val="1"/>
          <w:iCs w:val="1"/>
          <w:color w:val="auto"/>
        </w:rPr>
        <w:t xml:space="preserve"> </w:t>
      </w:r>
      <w:r>
        <w:rPr>
          <w:rFonts w:ascii="Arial" w:cs="Arial" w:eastAsia="Arial" w:hAnsi="Arial"/>
          <w:sz w:val="14"/>
          <w:szCs w:val="14"/>
          <w:color w:val="auto"/>
        </w:rPr>
        <w:t>to their short-term maturities and/or low credit risk.</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 STOCKHOLDERS’ EQUITY</w:t>
      </w:r>
    </w:p>
    <w:p>
      <w:pPr>
        <w:spacing w:after="0" w:line="193" w:lineRule="exact"/>
        <w:rPr>
          <w:sz w:val="20"/>
          <w:szCs w:val="20"/>
          <w:color w:val="auto"/>
        </w:rPr>
      </w:pPr>
    </w:p>
    <w:p>
      <w:pPr>
        <w:jc w:val="both"/>
        <w:ind w:firstLine="254"/>
        <w:spacing w:after="0" w:line="279" w:lineRule="auto"/>
        <w:rPr>
          <w:sz w:val="20"/>
          <w:szCs w:val="20"/>
          <w:color w:val="auto"/>
        </w:rPr>
      </w:pPr>
      <w:r>
        <w:rPr>
          <w:rFonts w:ascii="Arial" w:cs="Arial" w:eastAsia="Arial" w:hAnsi="Arial"/>
          <w:sz w:val="13"/>
          <w:szCs w:val="13"/>
          <w:color w:val="auto"/>
        </w:rPr>
        <w:t xml:space="preserve">The Consolidated Statements of Changes in Stockholders' Equity reflect the reverse recapitalization on June 14, 2022, as discussed in Note 8, Business Combination, </w:t>
      </w:r>
      <w:r>
        <w:rPr>
          <w:rFonts w:ascii="Arial" w:cs="Arial" w:eastAsia="Arial" w:hAnsi="Arial"/>
          <w:sz w:val="13"/>
          <w:szCs w:val="13"/>
          <w:color w:val="222222"/>
        </w:rPr>
        <w:t>to these consolidated</w:t>
      </w:r>
      <w:r>
        <w:rPr>
          <w:rFonts w:ascii="Arial" w:cs="Arial" w:eastAsia="Arial" w:hAnsi="Arial"/>
          <w:sz w:val="13"/>
          <w:szCs w:val="13"/>
          <w:color w:val="auto"/>
        </w:rPr>
        <w:t xml:space="preserve"> </w:t>
      </w:r>
      <w:r>
        <w:rPr>
          <w:rFonts w:ascii="Arial" w:cs="Arial" w:eastAsia="Arial" w:hAnsi="Arial"/>
          <w:sz w:val="13"/>
          <w:szCs w:val="13"/>
          <w:color w:val="222222"/>
        </w:rPr>
        <w:t>financial statements</w:t>
      </w:r>
      <w:r>
        <w:rPr>
          <w:rFonts w:ascii="Arial" w:cs="Arial" w:eastAsia="Arial" w:hAnsi="Arial"/>
          <w:sz w:val="13"/>
          <w:szCs w:val="13"/>
          <w:color w:val="000000"/>
        </w:rPr>
        <w:t>. Because the Company was determined to be the accounting acquirer in the transaction, all periods presented prior to consummation of the transaction reflect the historical activity</w:t>
      </w:r>
      <w:r>
        <w:rPr>
          <w:rFonts w:ascii="Arial" w:cs="Arial" w:eastAsia="Arial" w:hAnsi="Arial"/>
          <w:sz w:val="13"/>
          <w:szCs w:val="13"/>
          <w:color w:val="222222"/>
        </w:rPr>
        <w:t xml:space="preserve"> </w:t>
      </w:r>
      <w:r>
        <w:rPr>
          <w:rFonts w:ascii="Arial" w:cs="Arial" w:eastAsia="Arial" w:hAnsi="Arial"/>
          <w:sz w:val="13"/>
          <w:szCs w:val="13"/>
          <w:color w:val="000000"/>
        </w:rPr>
        <w:t>and balances of Legacy SpringBig, Inc. (other than common stock and potentially issuable shares underlying stock options which have been retroactively restated).</w:t>
      </w:r>
    </w:p>
    <w:p>
      <w:pPr>
        <w:spacing w:after="0" w:line="146" w:lineRule="exact"/>
        <w:rPr>
          <w:sz w:val="20"/>
          <w:szCs w:val="20"/>
          <w:color w:val="auto"/>
        </w:rPr>
      </w:pPr>
    </w:p>
    <w:p>
      <w:pPr>
        <w:jc w:val="both"/>
        <w:ind w:firstLine="285"/>
        <w:spacing w:after="0" w:line="238" w:lineRule="auto"/>
        <w:rPr>
          <w:sz w:val="20"/>
          <w:szCs w:val="20"/>
          <w:color w:val="auto"/>
        </w:rPr>
      </w:pPr>
      <w:r>
        <w:rPr>
          <w:rFonts w:ascii="Arial" w:cs="Arial" w:eastAsia="Arial" w:hAnsi="Arial"/>
          <w:sz w:val="14"/>
          <w:szCs w:val="14"/>
          <w:color w:val="auto"/>
        </w:rPr>
        <w:t>Immediately after giving effect to the business combination, the following equity securities of the SpringBig, were issued and outstanding: (i) 5,752,388 shares of SpringBig, common stock issued to the holders of Tuatara Class A ordinary shares and Tuatara Class B ordinary shares that automatically convert into Tuatara Class A ordinary shares upon the occurrence of the business combination in accordance with Tuatara’s amended and restated memorandum and articles of association as consideration in the business combination (comprised of 1,752,388 Class A ordinary shares after giving effect to the redemptions and the issuance of shares to public shareholders who did not elect to redeem their public shares and 4,000,000 Class B ordinary shares that converted into common stock), (ii) 18,196,526 shares of SpringBig common stock issued to the stockholders of SpringBig as consideration in the business combination, (iii) 10,000,000 warrants to purchase shares of SpringBig common stock issued to holders of the Public Shares upon conversion of warrants to purchase Tuatara Class A ordinary shares in connection with the business combination (each, a “New SpringBig Public Warrant”), (iv) 6,000,000 warrants to purchase shares of SpringBig common stock issued to Sponsor upon conversion of warrants to purchase Tuatara Class A Common Stock, and (v) 1,310,000 shares of SpringBig common stock issued to private investors (the “PIPE Investors”) in the PIPE Financing, plus 31,356 shares paid to certain PIPE Investors pursuant to the Convertible Notes.</w:t>
      </w:r>
    </w:p>
    <w:p>
      <w:pPr>
        <w:spacing w:after="0" w:line="174" w:lineRule="exact"/>
        <w:rPr>
          <w:sz w:val="20"/>
          <w:szCs w:val="20"/>
          <w:color w:val="auto"/>
        </w:rPr>
      </w:pPr>
    </w:p>
    <w:p>
      <w:pPr>
        <w:jc w:val="both"/>
        <w:ind w:firstLine="285"/>
        <w:spacing w:after="0" w:line="251" w:lineRule="auto"/>
        <w:rPr>
          <w:sz w:val="20"/>
          <w:szCs w:val="20"/>
          <w:color w:val="auto"/>
        </w:rPr>
      </w:pPr>
      <w:r>
        <w:rPr>
          <w:rFonts w:ascii="Arial" w:cs="Arial" w:eastAsia="Arial" w:hAnsi="Arial"/>
          <w:sz w:val="14"/>
          <w:szCs w:val="14"/>
          <w:color w:val="auto"/>
        </w:rPr>
        <w:t>Prior to the consummation of the business combination, the capital stock of Legacy SpringBig consisted of Series A, B and Seed preferred stock which was automatically convertible into common stock at the earlier of a $50.0 million initial public offering or vote of 63% of majority of preferred stockholders. The conversation rate of all preferred stock was at a one to one ratio to common stock. The preferred shares of stock were converted to SpringBig common stock at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6" w:right="319" w:bottom="1440" w:gutter="0" w:footer="0" w:header="0"/>
        </w:sectPr>
      </w:pPr>
    </w:p>
    <w:bookmarkStart w:id="25" w:name="page26"/>
    <w:bookmarkEnd w:id="25"/>
    <w:p>
      <w:pPr>
        <w:ind w:left="260"/>
        <w:spacing w:after="0"/>
        <w:rPr>
          <w:sz w:val="20"/>
          <w:szCs w:val="20"/>
          <w:color w:val="auto"/>
        </w:rPr>
      </w:pPr>
      <w:r>
        <w:rPr>
          <w:rFonts w:ascii="Arial" w:cs="Arial" w:eastAsia="Arial" w:hAnsi="Arial"/>
          <w:sz w:val="14"/>
          <w:szCs w:val="14"/>
          <w:color w:val="auto"/>
        </w:rPr>
        <w:t>With the consummation of the business combination, Legacy SpringBig issued and outstanding shares were converted into shares of SpringBig common stock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320" w:type="dxa"/>
            <w:vAlign w:val="bottom"/>
            <w:shd w:val="clear" w:color="auto" w:fill="CCEEFF"/>
          </w:tcPr>
          <w:p>
            <w:pPr>
              <w:spacing w:after="0"/>
              <w:rPr>
                <w:sz w:val="15"/>
                <w:szCs w:val="15"/>
                <w:color w:val="auto"/>
              </w:rPr>
            </w:pPr>
          </w:p>
        </w:tc>
        <w:tc>
          <w:tcPr>
            <w:tcW w:w="1800" w:type="dxa"/>
            <w:vAlign w:val="bottom"/>
            <w:shd w:val="clear" w:color="auto" w:fill="CCEEFF"/>
          </w:tcPr>
          <w:p>
            <w:pPr>
              <w:jc w:val="right"/>
              <w:ind w:right="289"/>
              <w:spacing w:after="0"/>
              <w:rPr>
                <w:sz w:val="20"/>
                <w:szCs w:val="20"/>
                <w:color w:val="auto"/>
              </w:rPr>
            </w:pPr>
            <w:r>
              <w:rPr>
                <w:rFonts w:ascii="Arial" w:cs="Arial" w:eastAsia="Arial" w:hAnsi="Arial"/>
                <w:sz w:val="14"/>
                <w:szCs w:val="14"/>
                <w:b w:val="1"/>
                <w:bCs w:val="1"/>
                <w:color w:val="auto"/>
              </w:rPr>
              <w:t>Legacy SpringBig</w:t>
            </w:r>
          </w:p>
        </w:tc>
        <w:tc>
          <w:tcPr>
            <w:tcW w:w="16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Conversion Rate</w:t>
            </w:r>
          </w:p>
        </w:tc>
        <w:tc>
          <w:tcPr>
            <w:tcW w:w="1520" w:type="dxa"/>
            <w:vAlign w:val="bottom"/>
            <w:shd w:val="clear" w:color="auto" w:fill="CCEEFF"/>
          </w:tcPr>
          <w:p>
            <w:pPr>
              <w:jc w:val="right"/>
              <w:ind w:right="369"/>
              <w:spacing w:after="0"/>
              <w:rPr>
                <w:sz w:val="20"/>
                <w:szCs w:val="20"/>
                <w:color w:val="auto"/>
              </w:rPr>
            </w:pPr>
            <w:r>
              <w:rPr>
                <w:rFonts w:ascii="Arial" w:cs="Arial" w:eastAsia="Arial" w:hAnsi="Arial"/>
                <w:sz w:val="14"/>
                <w:szCs w:val="14"/>
                <w:b w:val="1"/>
                <w:bCs w:val="1"/>
                <w:color w:val="auto"/>
              </w:rPr>
              <w:t>SpringBig</w:t>
            </w:r>
          </w:p>
        </w:tc>
      </w:tr>
      <w:tr>
        <w:trPr>
          <w:trHeight w:val="171"/>
        </w:trPr>
        <w:tc>
          <w:tcPr>
            <w:tcW w:w="6320" w:type="dxa"/>
            <w:vAlign w:val="bottom"/>
          </w:tcPr>
          <w:p>
            <w:pPr>
              <w:ind w:left="20"/>
              <w:spacing w:after="0"/>
              <w:rPr>
                <w:sz w:val="20"/>
                <w:szCs w:val="20"/>
                <w:color w:val="auto"/>
              </w:rPr>
            </w:pPr>
            <w:r>
              <w:rPr>
                <w:rFonts w:ascii="Arial" w:cs="Arial" w:eastAsia="Arial" w:hAnsi="Arial"/>
                <w:sz w:val="14"/>
                <w:szCs w:val="14"/>
                <w:color w:val="auto"/>
              </w:rPr>
              <w:t>Series B Preferred</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4,585,202</w:t>
            </w:r>
          </w:p>
        </w:tc>
        <w:tc>
          <w:tcPr>
            <w:tcW w:w="160" w:type="dxa"/>
            <w:vAlign w:val="bottom"/>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0.59289</w:t>
            </w:r>
          </w:p>
        </w:tc>
        <w:tc>
          <w:tcPr>
            <w:tcW w:w="100" w:type="dxa"/>
            <w:vAlign w:val="bottom"/>
          </w:tcPr>
          <w:p>
            <w:pPr>
              <w:spacing w:after="0"/>
              <w:rPr>
                <w:sz w:val="14"/>
                <w:szCs w:val="14"/>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2,718,522</w:t>
            </w:r>
          </w:p>
        </w:tc>
      </w:tr>
      <w:tr>
        <w:trPr>
          <w:trHeight w:val="180"/>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A Preferred</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5,088,944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0.59289</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3,017,184</w:t>
            </w:r>
          </w:p>
        </w:tc>
      </w:tr>
      <w:tr>
        <w:trPr>
          <w:trHeight w:val="180"/>
        </w:trPr>
        <w:tc>
          <w:tcPr>
            <w:tcW w:w="6320" w:type="dxa"/>
            <w:vAlign w:val="bottom"/>
          </w:tcPr>
          <w:p>
            <w:pPr>
              <w:ind w:left="20"/>
              <w:spacing w:after="0"/>
              <w:rPr>
                <w:sz w:val="20"/>
                <w:szCs w:val="20"/>
                <w:color w:val="auto"/>
              </w:rPr>
            </w:pPr>
            <w:r>
              <w:rPr>
                <w:rFonts w:ascii="Arial" w:cs="Arial" w:eastAsia="Arial" w:hAnsi="Arial"/>
                <w:sz w:val="14"/>
                <w:szCs w:val="14"/>
                <w:color w:val="auto"/>
              </w:rPr>
              <w:t>Series Seed Preferred</w:t>
            </w:r>
          </w:p>
        </w:tc>
        <w:tc>
          <w:tcPr>
            <w:tcW w:w="1800" w:type="dxa"/>
            <w:vAlign w:val="bottom"/>
          </w:tcPr>
          <w:p>
            <w:pPr>
              <w:jc w:val="right"/>
              <w:spacing w:after="0"/>
              <w:rPr>
                <w:sz w:val="20"/>
                <w:szCs w:val="20"/>
                <w:color w:val="auto"/>
              </w:rPr>
            </w:pPr>
            <w:r>
              <w:rPr>
                <w:rFonts w:ascii="Arial" w:cs="Arial" w:eastAsia="Arial" w:hAnsi="Arial"/>
                <w:sz w:val="14"/>
                <w:szCs w:val="14"/>
                <w:color w:val="auto"/>
              </w:rPr>
              <w:t>6,911,715</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0.59289</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4,097,887</w:t>
            </w:r>
          </w:p>
        </w:tc>
      </w:tr>
      <w:tr>
        <w:trPr>
          <w:trHeight w:val="180"/>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14,105,371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0.59289</w:t>
            </w:r>
          </w:p>
        </w:tc>
        <w:tc>
          <w:tcPr>
            <w:tcW w:w="10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8,362,933</w:t>
            </w:r>
          </w:p>
        </w:tc>
      </w:tr>
      <w:tr>
        <w:trPr>
          <w:trHeight w:val="171"/>
        </w:trPr>
        <w:tc>
          <w:tcPr>
            <w:tcW w:w="6320" w:type="dxa"/>
            <w:vAlign w:val="bottom"/>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30,691,232</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18,196,526</w:t>
            </w:r>
          </w:p>
        </w:tc>
      </w:tr>
      <w:tr>
        <w:trPr>
          <w:trHeight w:val="20"/>
        </w:trPr>
        <w:tc>
          <w:tcPr>
            <w:tcW w:w="63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Sponsor Escrow Agreement</w:t>
      </w:r>
    </w:p>
    <w:p>
      <w:pPr>
        <w:spacing w:after="0" w:line="189" w:lineRule="exact"/>
        <w:rPr>
          <w:sz w:val="20"/>
          <w:szCs w:val="20"/>
          <w:color w:val="auto"/>
        </w:rPr>
      </w:pPr>
    </w:p>
    <w:p>
      <w:pPr>
        <w:jc w:val="both"/>
        <w:ind w:firstLine="254"/>
        <w:spacing w:after="0" w:line="239" w:lineRule="auto"/>
        <w:rPr>
          <w:sz w:val="20"/>
          <w:szCs w:val="20"/>
          <w:color w:val="auto"/>
        </w:rPr>
      </w:pPr>
      <w:r>
        <w:rPr>
          <w:rFonts w:ascii="Arial" w:cs="Arial" w:eastAsia="Arial" w:hAnsi="Arial"/>
          <w:sz w:val="14"/>
          <w:szCs w:val="14"/>
          <w:color w:val="auto"/>
        </w:rPr>
        <w:t>At the time of the Closing, TCAC Sponsor, LLC, a Delaware limited liability company (“Sponsor”), Tuatara and certain independent members of Tuatara’s board of directors entered into an escrow agreement (“Sponsor Escrow Agreement”), providing that (i) immediately following the Closing, Sponsor and certain of Tuatara’s board of directors’ independent directors shall deposit an aggregate of 1,000,000 shares of our Common Stock (such deposited shares, the “Sponsor Earnout Shares”) into escrow, (ii) the Sponsor Earnout Shares shall be released to the Sponsor if the closing price of our Common Stock equals or exceeds $12.00 per share (as adjusted for share splits, share dividends, reorganizations, and recapitalizations) on any twenty (20) trading days in a thirty (30) trading-day period ending at any time after the Closing Date and before the fifth anniversary of the Closing Date, and (iii) the Sponsor Earnout Shares will be terminated and canceled by us if such condition is not met by the fifth anniversary of the Closing Date.</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Contingent and Earnout Shares</w:t>
      </w:r>
    </w:p>
    <w:p>
      <w:pPr>
        <w:spacing w:after="0" w:line="189" w:lineRule="exact"/>
        <w:rPr>
          <w:sz w:val="20"/>
          <w:szCs w:val="20"/>
          <w:color w:val="auto"/>
        </w:rPr>
      </w:pPr>
    </w:p>
    <w:p>
      <w:pPr>
        <w:jc w:val="both"/>
        <w:ind w:firstLine="254"/>
        <w:spacing w:after="0" w:line="279" w:lineRule="auto"/>
        <w:rPr>
          <w:sz w:val="20"/>
          <w:szCs w:val="20"/>
          <w:color w:val="auto"/>
        </w:rPr>
      </w:pPr>
      <w:r>
        <w:rPr>
          <w:rFonts w:ascii="Arial" w:cs="Arial" w:eastAsia="Arial" w:hAnsi="Arial"/>
          <w:sz w:val="13"/>
          <w:szCs w:val="13"/>
          <w:color w:val="auto"/>
        </w:rPr>
        <w:t>The holders of Legacy SpringBig’s common stock and the “engaged option holders” (employees or engaged consultants of Legacy SpringBig who held Legacy SpringBig options at the effective time of the merger and who remains employed or engaged by Legacy SpringBig at the time of such payment of contingent shares) shall be entitled to receive their pro rata portion of such number of shares, fully paid and free and clear of all liens other than applicable federal and state securities law restrictions, as set forth below upon satisfaction of any of the following conditions:</w:t>
      </w:r>
    </w:p>
    <w:p>
      <w:pPr>
        <w:spacing w:after="0" w:line="157" w:lineRule="exact"/>
        <w:rPr>
          <w:sz w:val="20"/>
          <w:szCs w:val="20"/>
          <w:color w:val="auto"/>
        </w:rPr>
      </w:pPr>
    </w:p>
    <w:p>
      <w:pPr>
        <w:ind w:left="520" w:hanging="261"/>
        <w:spacing w:after="0" w:line="281" w:lineRule="auto"/>
        <w:tabs>
          <w:tab w:leader="none" w:pos="512" w:val="left"/>
        </w:tabs>
        <w:numPr>
          <w:ilvl w:val="0"/>
          <w:numId w:val="5"/>
        </w:numPr>
        <w:rPr>
          <w:rFonts w:ascii="Arial" w:cs="Arial" w:eastAsia="Arial" w:hAnsi="Arial"/>
          <w:sz w:val="14"/>
          <w:szCs w:val="14"/>
          <w:color w:val="auto"/>
        </w:rPr>
      </w:pPr>
      <w:r>
        <w:rPr>
          <w:rFonts w:ascii="Arial" w:cs="Arial" w:eastAsia="Arial" w:hAnsi="Arial"/>
          <w:sz w:val="14"/>
          <w:szCs w:val="14"/>
          <w:color w:val="auto"/>
        </w:rPr>
        <w:t>7,000,000 contingent shares if the closing price of the Company’s common stock equals or exceeds $12.00 per share on any twenty (20) trading days in a thirty (30)-trading day period at any time after the Closing Date and no later than 60 months following the Closing Date;</w:t>
      </w:r>
    </w:p>
    <w:p>
      <w:pPr>
        <w:spacing w:after="0" w:line="153" w:lineRule="exact"/>
        <w:rPr>
          <w:rFonts w:ascii="Arial" w:cs="Arial" w:eastAsia="Arial" w:hAnsi="Arial"/>
          <w:sz w:val="14"/>
          <w:szCs w:val="14"/>
          <w:color w:val="auto"/>
        </w:rPr>
      </w:pPr>
    </w:p>
    <w:p>
      <w:pPr>
        <w:ind w:left="520" w:hanging="261"/>
        <w:spacing w:after="0" w:line="281"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2,250,000 contingent shares if the closing price of the Company’s common stock equals or exceeds $15.00 per share on any twenty (20) trading days in a thirty (30)-trading day period at any time after the Closing Date and no later than 60 months following the Closing Date; and</w:t>
      </w:r>
    </w:p>
    <w:p>
      <w:pPr>
        <w:spacing w:after="0" w:line="153" w:lineRule="exact"/>
        <w:rPr>
          <w:rFonts w:ascii="Arial" w:cs="Arial" w:eastAsia="Arial" w:hAnsi="Arial"/>
          <w:sz w:val="14"/>
          <w:szCs w:val="14"/>
          <w:color w:val="auto"/>
        </w:rPr>
      </w:pPr>
    </w:p>
    <w:p>
      <w:pPr>
        <w:ind w:left="520" w:hanging="261"/>
        <w:spacing w:after="0" w:line="281" w:lineRule="auto"/>
        <w:tabs>
          <w:tab w:leader="none" w:pos="512" w:val="left"/>
        </w:tabs>
        <w:numPr>
          <w:ilvl w:val="0"/>
          <w:numId w:val="5"/>
        </w:numPr>
        <w:rPr>
          <w:rFonts w:ascii="Arial" w:cs="Arial" w:eastAsia="Arial" w:hAnsi="Arial"/>
          <w:sz w:val="14"/>
          <w:szCs w:val="14"/>
          <w:color w:val="auto"/>
        </w:rPr>
      </w:pPr>
      <w:r>
        <w:rPr>
          <w:rFonts w:ascii="Arial" w:cs="Arial" w:eastAsia="Arial" w:hAnsi="Arial"/>
          <w:sz w:val="14"/>
          <w:szCs w:val="14"/>
          <w:color w:val="auto"/>
        </w:rPr>
        <w:t>1,250,000 contingent shares if the closing price of the Company’s common stock equals or exceeds $18.00 per share on any twenty (20) trading days in a thirty (30)-trading day period at any time after the Closing Date and no later than 60 months following the Closing Date.</w:t>
      </w:r>
    </w:p>
    <w:p>
      <w:pPr>
        <w:spacing w:after="0" w:line="333" w:lineRule="exact"/>
        <w:rPr>
          <w:sz w:val="20"/>
          <w:szCs w:val="20"/>
          <w:color w:val="auto"/>
        </w:rPr>
      </w:pPr>
    </w:p>
    <w:p>
      <w:pPr>
        <w:ind w:firstLine="254"/>
        <w:spacing w:after="0" w:line="236" w:lineRule="auto"/>
        <w:rPr>
          <w:sz w:val="20"/>
          <w:szCs w:val="20"/>
          <w:color w:val="auto"/>
        </w:rPr>
      </w:pPr>
      <w:r>
        <w:rPr>
          <w:rFonts w:ascii="Arial" w:cs="Arial" w:eastAsia="Arial" w:hAnsi="Arial"/>
          <w:sz w:val="14"/>
          <w:szCs w:val="14"/>
          <w:color w:val="auto"/>
        </w:rPr>
        <w:t>With the consummation of the business combination, the Company’s authorized capital stock is 350,000,000 shares, consisting of 300,000,000 shares of common stock and 50,000,000 shares of preferred stock, with par value of 0.0001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7" w:right="319" w:bottom="1440" w:gutter="0" w:footer="0" w:header="0"/>
        </w:sectPr>
      </w:pPr>
    </w:p>
    <w:bookmarkStart w:id="26" w:name="page27"/>
    <w:bookmarkEnd w:id="26"/>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18 – NET LOSS PER SHARE</w:t>
      </w:r>
    </w:p>
    <w:p>
      <w:pPr>
        <w:spacing w:after="0" w:line="193"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 xml:space="preserve">Given the consummation of the business combination, </w:t>
      </w:r>
      <w:r>
        <w:rPr>
          <w:rFonts w:ascii="Arial" w:cs="Arial" w:eastAsia="Arial" w:hAnsi="Arial"/>
          <w:sz w:val="14"/>
          <w:szCs w:val="14"/>
          <w:i w:val="1"/>
          <w:iCs w:val="1"/>
          <w:color w:val="auto"/>
        </w:rPr>
        <w:t>ASC 805</w:t>
      </w:r>
      <w:r>
        <w:rPr>
          <w:rFonts w:ascii="Arial" w:cs="Arial" w:eastAsia="Arial" w:hAnsi="Arial"/>
          <w:sz w:val="14"/>
          <w:szCs w:val="14"/>
          <w:color w:val="auto"/>
        </w:rPr>
        <w:t xml:space="preserve">, </w:t>
      </w:r>
      <w:r>
        <w:rPr>
          <w:rFonts w:ascii="Arial" w:cs="Arial" w:eastAsia="Arial" w:hAnsi="Arial"/>
          <w:sz w:val="14"/>
          <w:szCs w:val="14"/>
          <w:i w:val="1"/>
          <w:iCs w:val="1"/>
          <w:color w:val="auto"/>
        </w:rPr>
        <w:t>Business Combination</w:t>
      </w:r>
      <w:r>
        <w:rPr>
          <w:rFonts w:ascii="Arial" w:cs="Arial" w:eastAsia="Arial" w:hAnsi="Arial"/>
          <w:sz w:val="14"/>
          <w:szCs w:val="14"/>
          <w:color w:val="auto"/>
        </w:rPr>
        <w:t xml:space="preserve"> states that the equity structure for the prior period of Legacy SpringBig (the accounting acquirer) is restated using the exchange ratio established in the acquisition agreement to reflect the number of shares of the accounting acquiree issued in the business combination.</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September 30, 2022 and 2021, there were 26,211,914 and 17,773,607 shares of common stock issued and outstanding, respectively.</w:t>
      </w:r>
    </w:p>
    <w:p>
      <w:pPr>
        <w:spacing w:after="0" w:line="189"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color w:val="auto"/>
        </w:rPr>
        <w:t>Basic net loss per share is computed by dividing the net loss by the weighted-average number of shares of common stock outstanding during the period. Diluted net loss per share is computed by giving effect to all potential shares of common stock, including outstanding stock options. Basic and diluted net loss per share was the same for each period presented, given that there are losses during the period, the inclusion of all potential common shares outstanding would have been anti-dilutive.</w:t>
      </w:r>
    </w:p>
    <w:p>
      <w:pPr>
        <w:spacing w:after="0" w:line="163" w:lineRule="exact"/>
        <w:rPr>
          <w:sz w:val="20"/>
          <w:szCs w:val="20"/>
          <w:color w:val="auto"/>
        </w:rPr>
      </w:pPr>
    </w:p>
    <w:p>
      <w:pPr>
        <w:jc w:val="both"/>
        <w:ind w:firstLine="254"/>
        <w:spacing w:after="0" w:line="249" w:lineRule="auto"/>
        <w:rPr>
          <w:sz w:val="20"/>
          <w:szCs w:val="20"/>
          <w:color w:val="auto"/>
        </w:rPr>
      </w:pPr>
      <w:r>
        <w:rPr>
          <w:rFonts w:ascii="Arial" w:cs="Arial" w:eastAsia="Arial" w:hAnsi="Arial"/>
          <w:sz w:val="14"/>
          <w:szCs w:val="14"/>
          <w:color w:val="auto"/>
        </w:rPr>
        <w:t>The following table reconciles actual basic and diluted earnings per share for the three and nine months ended September 30, 2022 and 2021, respectively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60" w:type="dxa"/>
            <w:vAlign w:val="bottom"/>
            <w:gridSpan w:val="5"/>
            <w:shd w:val="clear" w:color="auto" w:fill="CCEEFF"/>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shd w:val="clear" w:color="auto" w:fill="CCEEFF"/>
          </w:tcPr>
          <w:p>
            <w:pPr>
              <w:spacing w:after="0"/>
              <w:rPr>
                <w:sz w:val="15"/>
                <w:szCs w:val="15"/>
                <w:color w:val="auto"/>
              </w:rPr>
            </w:pPr>
          </w:p>
        </w:tc>
        <w:tc>
          <w:tcPr>
            <w:tcW w:w="2520" w:type="dxa"/>
            <w:vAlign w:val="bottom"/>
            <w:gridSpan w:val="4"/>
            <w:shd w:val="clear" w:color="auto" w:fill="CCEEFF"/>
          </w:tcPr>
          <w:p>
            <w:pPr>
              <w:jc w:val="right"/>
              <w:ind w:right="229"/>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0"/>
        </w:trPr>
        <w:tc>
          <w:tcPr>
            <w:tcW w:w="5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2021</w:t>
            </w:r>
          </w:p>
        </w:tc>
      </w:tr>
      <w:tr>
        <w:trPr>
          <w:trHeight w:val="160"/>
        </w:trPr>
        <w:tc>
          <w:tcPr>
            <w:tcW w:w="572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Loss per share:</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80"/>
        </w:trPr>
        <w:tc>
          <w:tcPr>
            <w:tcW w:w="5720" w:type="dxa"/>
            <w:vAlign w:val="bottom"/>
          </w:tcPr>
          <w:p>
            <w:pPr>
              <w:ind w:left="20"/>
              <w:spacing w:after="0"/>
              <w:rPr>
                <w:sz w:val="20"/>
                <w:szCs w:val="20"/>
                <w:color w:val="auto"/>
              </w:rPr>
            </w:pPr>
            <w:r>
              <w:rPr>
                <w:rFonts w:ascii="Arial" w:cs="Arial" w:eastAsia="Arial" w:hAnsi="Arial"/>
                <w:sz w:val="14"/>
                <w:szCs w:val="14"/>
                <w:color w:val="auto"/>
              </w:rPr>
              <w:t>Numerator:</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(3,230)</w:t>
            </w:r>
          </w:p>
        </w:tc>
      </w:tr>
      <w:tr>
        <w:trPr>
          <w:trHeight w:val="180"/>
        </w:trPr>
        <w:tc>
          <w:tcPr>
            <w:tcW w:w="572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5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Weighted-average common shares outstanding</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Arial" w:cs="Arial" w:eastAsia="Arial" w:hAnsi="Arial"/>
                <w:sz w:val="14"/>
                <w:szCs w:val="14"/>
                <w:color w:val="auto"/>
              </w:rPr>
              <w:t>Basic and diluted</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25,629,910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17,771,134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20,928,363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17,757,363</w:t>
            </w:r>
          </w:p>
        </w:tc>
      </w:tr>
      <w:tr>
        <w:trPr>
          <w:trHeight w:val="180"/>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per common share</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Arial" w:cs="Arial" w:eastAsia="Arial" w:hAnsi="Arial"/>
                <w:sz w:val="14"/>
                <w:szCs w:val="14"/>
                <w:color w:val="auto"/>
              </w:rPr>
              <w:t>Basic and diluted</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(0.18)</w:t>
            </w: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120" w:firstLine="254"/>
        <w:spacing w:after="0" w:line="265" w:lineRule="auto"/>
        <w:rPr>
          <w:sz w:val="20"/>
          <w:szCs w:val="20"/>
          <w:color w:val="auto"/>
        </w:rPr>
      </w:pPr>
      <w:r>
        <w:rPr>
          <w:rFonts w:ascii="Arial" w:cs="Arial" w:eastAsia="Arial" w:hAnsi="Arial"/>
          <w:sz w:val="14"/>
          <w:szCs w:val="14"/>
          <w:color w:val="auto"/>
        </w:rPr>
        <w:t>The anti-dilutive securities excluded from the weighted-average shares used to calculate the diluted net loss per common share for the three months ended September 30, 2022 and 2021 were as follows:</w:t>
      </w:r>
    </w:p>
    <w:p>
      <w:pPr>
        <w:spacing w:after="0" w:line="196" w:lineRule="exact"/>
        <w:rPr>
          <w:sz w:val="20"/>
          <w:szCs w:val="20"/>
          <w:color w:val="auto"/>
        </w:rPr>
      </w:pPr>
    </w:p>
    <w:tbl>
      <w:tblPr>
        <w:tblLayout w:type="fixed"/>
        <w:tblInd w:w="260" w:type="dxa"/>
        <w:tblCellMar>
          <w:top w:w="0" w:type="dxa"/>
          <w:left w:w="0" w:type="dxa"/>
          <w:bottom w:w="0" w:type="dxa"/>
          <w:right w:w="0" w:type="dxa"/>
        </w:tblCellMar>
      </w:tblPr>
      <w:tr>
        <w:trPr>
          <w:trHeight w:val="180"/>
        </w:trPr>
        <w:tc>
          <w:tcPr>
            <w:tcW w:w="7800" w:type="dxa"/>
            <w:vAlign w:val="bottom"/>
            <w:shd w:val="clear" w:color="auto" w:fill="CCEEFF"/>
          </w:tcPr>
          <w:p>
            <w:pPr>
              <w:spacing w:after="0"/>
              <w:rPr>
                <w:sz w:val="15"/>
                <w:szCs w:val="15"/>
                <w:color w:val="auto"/>
              </w:rPr>
            </w:pPr>
          </w:p>
        </w:tc>
        <w:tc>
          <w:tcPr>
            <w:tcW w:w="3140" w:type="dxa"/>
            <w:vAlign w:val="bottom"/>
            <w:gridSpan w:val="3"/>
            <w:shd w:val="clear" w:color="auto" w:fill="CCEEFF"/>
          </w:tcPr>
          <w:p>
            <w:pPr>
              <w:jc w:val="right"/>
              <w:ind w:right="289"/>
              <w:spacing w:after="0"/>
              <w:rPr>
                <w:sz w:val="20"/>
                <w:szCs w:val="20"/>
                <w:color w:val="auto"/>
              </w:rPr>
            </w:pPr>
            <w:r>
              <w:rPr>
                <w:rFonts w:ascii="Arial" w:cs="Arial" w:eastAsia="Arial" w:hAnsi="Arial"/>
                <w:sz w:val="14"/>
                <w:szCs w:val="14"/>
                <w:b w:val="1"/>
                <w:bCs w:val="1"/>
                <w:color w:val="auto"/>
              </w:rPr>
              <w:t>Nine Months Ended September 30, 2022</w:t>
            </w:r>
          </w:p>
        </w:tc>
      </w:tr>
      <w:tr>
        <w:trPr>
          <w:trHeight w:val="180"/>
        </w:trPr>
        <w:tc>
          <w:tcPr>
            <w:tcW w:w="78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2021</w:t>
            </w:r>
          </w:p>
        </w:tc>
      </w:tr>
      <w:tr>
        <w:trPr>
          <w:trHeight w:val="171"/>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unvested and subject to exercise of stock options</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168,603</w:t>
            </w: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4,154,898</w:t>
            </w:r>
          </w:p>
        </w:tc>
      </w:tr>
      <w:tr>
        <w:trPr>
          <w:trHeight w:val="180"/>
        </w:trPr>
        <w:tc>
          <w:tcPr>
            <w:tcW w:w="7800" w:type="dxa"/>
            <w:vAlign w:val="bottom"/>
          </w:tcPr>
          <w:p>
            <w:pPr>
              <w:ind w:left="20"/>
              <w:spacing w:after="0"/>
              <w:rPr>
                <w:sz w:val="20"/>
                <w:szCs w:val="20"/>
                <w:color w:val="auto"/>
              </w:rPr>
            </w:pPr>
            <w:r>
              <w:rPr>
                <w:rFonts w:ascii="Arial" w:cs="Arial" w:eastAsia="Arial" w:hAnsi="Arial"/>
                <w:sz w:val="14"/>
                <w:szCs w:val="14"/>
                <w:color w:val="auto"/>
              </w:rPr>
              <w:t>Shares subject to outstanding common stock options</w:t>
            </w:r>
          </w:p>
        </w:tc>
        <w:tc>
          <w:tcPr>
            <w:tcW w:w="1420" w:type="dxa"/>
            <w:vAlign w:val="bottom"/>
          </w:tcPr>
          <w:p>
            <w:pPr>
              <w:jc w:val="right"/>
              <w:spacing w:after="0"/>
              <w:rPr>
                <w:sz w:val="20"/>
                <w:szCs w:val="20"/>
                <w:color w:val="auto"/>
              </w:rPr>
            </w:pPr>
            <w:r>
              <w:rPr>
                <w:rFonts w:ascii="Arial" w:cs="Arial" w:eastAsia="Arial" w:hAnsi="Arial"/>
                <w:sz w:val="14"/>
                <w:szCs w:val="14"/>
                <w:color w:val="auto"/>
              </w:rPr>
              <w:t>3,423,488</w:t>
            </w: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2,515,944</w:t>
            </w:r>
          </w:p>
        </w:tc>
      </w:tr>
      <w:tr>
        <w:trPr>
          <w:trHeight w:val="180"/>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subject to convertible notes stock conversion</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916,667</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800" w:type="dxa"/>
            <w:vAlign w:val="bottom"/>
          </w:tcPr>
          <w:p>
            <w:pPr>
              <w:ind w:left="20"/>
              <w:spacing w:after="0"/>
              <w:rPr>
                <w:sz w:val="20"/>
                <w:szCs w:val="20"/>
                <w:color w:val="auto"/>
              </w:rPr>
            </w:pPr>
            <w:r>
              <w:rPr>
                <w:rFonts w:ascii="Arial" w:cs="Arial" w:eastAsia="Arial" w:hAnsi="Arial"/>
                <w:sz w:val="14"/>
                <w:szCs w:val="14"/>
                <w:color w:val="auto"/>
              </w:rPr>
              <w:t>Shares subject to warrants stock conversion</w:t>
            </w:r>
          </w:p>
        </w:tc>
        <w:tc>
          <w:tcPr>
            <w:tcW w:w="1420" w:type="dxa"/>
            <w:vAlign w:val="bottom"/>
          </w:tcPr>
          <w:p>
            <w:pPr>
              <w:jc w:val="right"/>
              <w:spacing w:after="0"/>
              <w:rPr>
                <w:sz w:val="20"/>
                <w:szCs w:val="20"/>
                <w:color w:val="auto"/>
              </w:rPr>
            </w:pPr>
            <w:r>
              <w:rPr>
                <w:rFonts w:ascii="Arial" w:cs="Arial" w:eastAsia="Arial" w:hAnsi="Arial"/>
                <w:sz w:val="14"/>
                <w:szCs w:val="14"/>
                <w:color w:val="auto"/>
              </w:rPr>
              <w:t>16,586,980</w:t>
            </w: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subject to contingent earn out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10,500,000</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80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1420" w:type="dxa"/>
            <w:vAlign w:val="bottom"/>
          </w:tcPr>
          <w:p>
            <w:pPr>
              <w:jc w:val="right"/>
              <w:spacing w:after="0"/>
              <w:rPr>
                <w:sz w:val="20"/>
                <w:szCs w:val="20"/>
                <w:color w:val="auto"/>
              </w:rPr>
            </w:pPr>
            <w:r>
              <w:rPr>
                <w:rFonts w:ascii="Arial" w:cs="Arial" w:eastAsia="Arial" w:hAnsi="Arial"/>
                <w:sz w:val="14"/>
                <w:szCs w:val="14"/>
                <w:color w:val="auto"/>
              </w:rPr>
              <w:t>761,500</w:t>
            </w: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color w:val="auto"/>
        </w:rPr>
        <w:t>NOTE 19 – BENEFIT PLAN</w:t>
      </w:r>
    </w:p>
    <w:p>
      <w:pPr>
        <w:spacing w:after="0" w:line="193"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color w:val="auto"/>
        </w:rPr>
        <w:t>The Company maintains a safe harbor 401(k) retirement plan for the benefit of its employees. The plan allows participants to make contributions subject to certain limitations. Company matching contributions were $160,000 and $64,000 for the three months ended September 30, 2022 and 2021, respectively, and $345,000 and $97,000 for the nine months ended September 30, 2022 and 2021, respectively.</w:t>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20 – INCOME TAXES</w:t>
      </w:r>
    </w:p>
    <w:p>
      <w:pPr>
        <w:spacing w:after="0" w:line="193" w:lineRule="exact"/>
        <w:rPr>
          <w:sz w:val="20"/>
          <w:szCs w:val="20"/>
          <w:color w:val="auto"/>
        </w:rPr>
      </w:pPr>
    </w:p>
    <w:p>
      <w:pPr>
        <w:jc w:val="both"/>
        <w:ind w:firstLine="254"/>
        <w:spacing w:after="0" w:line="271" w:lineRule="auto"/>
        <w:rPr>
          <w:sz w:val="20"/>
          <w:szCs w:val="20"/>
          <w:color w:val="auto"/>
        </w:rPr>
      </w:pPr>
      <w:r>
        <w:rPr>
          <w:rFonts w:ascii="Arial" w:cs="Arial" w:eastAsia="Arial" w:hAnsi="Arial"/>
          <w:sz w:val="13"/>
          <w:szCs w:val="13"/>
          <w:color w:val="auto"/>
        </w:rPr>
        <w:t>In determining quarterly provisions for income taxes, the Company uses the annual estimated effective tax rate applied to the actual year-to-date profit or loss, adjusted for discrete items arising in that quarter. The Company’s annual estimated effective tax rate differs from the U.S. federal statutory rate primarily as a result of state taxes, foreign taxes, and changes in the Company’s valuation allowance against its deferred tax assets. For the three and nine months ended September 30, 2022, the Company recorded an immaterial provision for income taxes.</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21 – SUBSEQUENT EVENTS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Management has considered subsequent events through November 14, 2022, the date this report was issued, and there were no events that required additional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2"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"SpringBig," "the Company," "we," "us" or "our" refer to SpringBig Holdings, Inc. and its subsidiaries, unless the context otherwise requires.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Forward Looking Statements</w:t>
      </w:r>
    </w:p>
    <w:p>
      <w:pPr>
        <w:spacing w:after="0" w:line="193" w:lineRule="exact"/>
        <w:rPr>
          <w:sz w:val="20"/>
          <w:szCs w:val="20"/>
          <w:color w:val="auto"/>
        </w:rPr>
      </w:pPr>
    </w:p>
    <w:p>
      <w:pPr>
        <w:jc w:val="both"/>
        <w:ind w:firstLine="254"/>
        <w:spacing w:after="0" w:line="267" w:lineRule="auto"/>
        <w:rPr>
          <w:sz w:val="20"/>
          <w:szCs w:val="20"/>
          <w:color w:val="auto"/>
        </w:rPr>
      </w:pPr>
      <w:r>
        <w:rPr>
          <w:rFonts w:ascii="Arial" w:cs="Arial" w:eastAsia="Arial" w:hAnsi="Arial"/>
          <w:sz w:val="13"/>
          <w:szCs w:val="13"/>
          <w:i w:val="1"/>
          <w:iCs w:val="1"/>
          <w:color w:val="auto"/>
        </w:rPr>
        <w:t>All statements other than statements of historical facts contained in this report, including statements regarding future operations, are forward-looking statements. In some cases, forward-looking statements may be identified by words such as "believe," "may," "will," "estimate," "continue," "anticipate," "intend," "could," "would," "expect," "objective," "plan," "potential," "seek," "grow," "target," "if," and similar expressions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objectives, and financial needs. Our actual results could differ materially from those anticipated due to various factors discussed under “Risk Factors” in this Quarterly Report on Form 10-Q.</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Business Overview</w:t>
      </w:r>
    </w:p>
    <w:p>
      <w:pPr>
        <w:spacing w:after="0" w:line="182" w:lineRule="exact"/>
        <w:rPr>
          <w:sz w:val="20"/>
          <w:szCs w:val="20"/>
          <w:color w:val="auto"/>
        </w:rPr>
      </w:pPr>
    </w:p>
    <w:p>
      <w:pPr>
        <w:jc w:val="both"/>
        <w:ind w:firstLine="254"/>
        <w:spacing w:after="0" w:line="262" w:lineRule="auto"/>
        <w:rPr>
          <w:sz w:val="20"/>
          <w:szCs w:val="20"/>
          <w:color w:val="auto"/>
        </w:rPr>
      </w:pPr>
      <w:r>
        <w:rPr>
          <w:rFonts w:ascii="Arial" w:cs="Arial" w:eastAsia="Arial" w:hAnsi="Arial"/>
          <w:sz w:val="13"/>
          <w:szCs w:val="13"/>
          <w:color w:val="auto"/>
        </w:rPr>
        <w:t>SpringBig Holdings, Inc. (the “Company” or “SpringBig”) is a market-leading software platform providing customer loyalty and marketing automation solutions to retailers and brands. We have leveraged our deep expertise in loyalty marketing to develop solutions that address the key challenges faced by retailers and brands, including those in the cannabis industry. Stringent, complex, and rapidly evolving regulations have resulted in restricted access to traditional marketing and advertising channels for cannabis retailers and brands, preventing them from utilizing many traditional methods for effectively accessing and engaging with consumers. In addition, the lack of industry-specific data and market intelligence solutions limit cannabis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 marketing solutions to drive new customer acquisition, customer spend and retail foot traffic. Our proven business-to-business-to-customer (“B2B2C”) software platform creates powerful network effects between retailers and brands and provides an ability for both to connect directly with consumers. As retailers and brand scale, a virtuous cycle amplifies growth, ultimately expanding SpringBig's reach and strengthening our value proposition.</w:t>
      </w:r>
    </w:p>
    <w:p>
      <w:pPr>
        <w:spacing w:after="0" w:line="147"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SpringBig serves approximately 1,390 brand and retailer clients across more than 2,800 distinct retail locations in North America. Our clients distribute more than 2.0 billion messages annually, and in the last year more than $7.3 billion of gross merchandise value was accounted for by clients utilizing our platform.</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Business Combination and Public Company Costs</w:t>
      </w:r>
    </w:p>
    <w:p>
      <w:pPr>
        <w:spacing w:after="0" w:line="193" w:lineRule="exact"/>
        <w:rPr>
          <w:sz w:val="20"/>
          <w:szCs w:val="20"/>
          <w:color w:val="auto"/>
        </w:rPr>
      </w:pPr>
    </w:p>
    <w:p>
      <w:pPr>
        <w:jc w:val="both"/>
        <w:ind w:firstLine="254"/>
        <w:spacing w:after="0" w:line="287" w:lineRule="auto"/>
        <w:rPr>
          <w:sz w:val="20"/>
          <w:szCs w:val="20"/>
          <w:color w:val="auto"/>
        </w:rPr>
      </w:pPr>
      <w:r>
        <w:rPr>
          <w:rFonts w:ascii="Arial" w:cs="Arial" w:eastAsia="Arial" w:hAnsi="Arial"/>
          <w:sz w:val="12"/>
          <w:szCs w:val="12"/>
          <w:color w:val="auto"/>
        </w:rPr>
        <w:t>On June 14, 2022, SpringBig Holdings, Inc., a Delaware corporation (formerly known as Tuatara Capital Acquisition Corporation (“Tuatara” or “TCAC”)), consummated the previously announced business combination of Tuatara and SpringBig, Inc. (“Legacy SpringBig”), a Delaware corporation. Pursuant to the merger agreement, prior to the closing of the business combination, Tuatara changed its jurisdiction of incorporation by deregistering as a Cayman Islands exempted company and continuing and domesticating as a corporation incorporated under the laws of the State of Delaware. Prior to the closing date, and in connection with the Closing, Tuatara changed its name to SpringBig Holdings, Inc. Legacy SpringBig was deemed to be the accounting acquirer in the business combination based on an analysis of the criteria outlined in Accounting Standards Codification 805. While Tuatara was the legal acquirer in the business combination, because Legacy SpringBig was deemed the accounting acquirer, the historical financial statements of Legacy SpringBig became the historical financial statements of the combined company, upon the Closing.</w:t>
      </w:r>
    </w:p>
    <w:p>
      <w:pPr>
        <w:spacing w:after="0" w:line="144" w:lineRule="exact"/>
        <w:rPr>
          <w:sz w:val="20"/>
          <w:szCs w:val="20"/>
          <w:color w:val="auto"/>
        </w:rPr>
      </w:pPr>
    </w:p>
    <w:p>
      <w:pPr>
        <w:jc w:val="both"/>
        <w:ind w:firstLine="254"/>
        <w:spacing w:after="0" w:line="241" w:lineRule="auto"/>
        <w:rPr>
          <w:sz w:val="20"/>
          <w:szCs w:val="20"/>
          <w:color w:val="auto"/>
        </w:rPr>
      </w:pPr>
      <w:r>
        <w:rPr>
          <w:rFonts w:ascii="Arial" w:cs="Arial" w:eastAsia="Arial" w:hAnsi="Arial"/>
          <w:sz w:val="14"/>
          <w:szCs w:val="14"/>
          <w:color w:val="auto"/>
        </w:rPr>
        <w:t>The business combination was accounted for as a “reverse recapitalization”. A reverse recapitalization does not result in a new basis of accounting, and the financial statements of the combined entity represent the continuation of the financial statements of Legacy SpringBig in many respects. Under this method of accounting, Tuatara was treated as the “acquired” company for financial reporting purposes. For accounting purposes, Legacy SpringBig was deemed to be the accounting acquirer in the transaction and, consequently, the transaction was treated as a recapitalization of Legacy SpringBig (i.e., a capital transaction involving the issuance of stock by Tuatara for stock of Legacy SpringBig). Accordingly, the consolidated assets, liabilities and results of operations of Legacy SpringBig became the historical financial statements of the combined company, and Tuatara’s assets, liabilities and results of operations were consolidated with Legacy SpringBig beginning on the acquisition date. Operations prior to the business combination are presented as those of Legacy SpringBig. The net assets of Tuatara were recognized at historical cost (which are consistent with carrying value), with no goodwill or other intangible assets recorded.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0" w:right="319" w:bottom="1440" w:gutter="0" w:footer="0" w:header="0"/>
        </w:sectPr>
      </w:pPr>
    </w:p>
    <w:bookmarkStart w:id="29" w:name="page30"/>
    <w:bookmarkEnd w:id="29"/>
    <w:p>
      <w:pPr>
        <w:jc w:val="both"/>
        <w:ind w:firstLine="254"/>
        <w:spacing w:after="0" w:line="241" w:lineRule="auto"/>
        <w:rPr>
          <w:sz w:val="20"/>
          <w:szCs w:val="20"/>
          <w:color w:val="auto"/>
        </w:rPr>
      </w:pPr>
      <w:r>
        <w:rPr>
          <w:rFonts w:ascii="Arial" w:cs="Arial" w:eastAsia="Arial" w:hAnsi="Arial"/>
          <w:sz w:val="14"/>
          <w:szCs w:val="14"/>
          <w:color w:val="auto"/>
        </w:rPr>
        <w:t>As a consequence of the business combination, Legacy SpringBig became the successor to an SEC-registered and Nasdaq-listed company, which requires us to incur additional expenses and implement procedures and processes to address public company regulatory requirements and customary practices. We have and expect to continue to incur additional annual expenses as a public company for, amongst other things, directors’ and officers’ liability insurance, director fees and additional internal and external accounting, legal and administrative resources, including increased audit and legal fees.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Operating and Financial Metrics</w:t>
      </w:r>
    </w:p>
    <w:p>
      <w:pPr>
        <w:spacing w:after="0" w:line="193" w:lineRule="exact"/>
        <w:rPr>
          <w:sz w:val="20"/>
          <w:szCs w:val="20"/>
          <w:color w:val="auto"/>
        </w:rPr>
      </w:pPr>
    </w:p>
    <w:p>
      <w:pPr>
        <w:ind w:right="280" w:firstLine="254"/>
        <w:spacing w:after="0" w:line="265" w:lineRule="auto"/>
        <w:rPr>
          <w:sz w:val="20"/>
          <w:szCs w:val="20"/>
          <w:color w:val="auto"/>
        </w:rPr>
      </w:pPr>
      <w:r>
        <w:rPr>
          <w:rFonts w:ascii="Arial" w:cs="Arial" w:eastAsia="Arial" w:hAnsi="Arial"/>
          <w:sz w:val="14"/>
          <w:szCs w:val="14"/>
          <w:color w:val="auto"/>
        </w:rPr>
        <w:t>We monitor the following key financial and operational metrics to evaluate our business, measure our performance, identify trends affecting our business, formulate business plans, and make strategic decisions. The following is our analysis for the three and nine months ended September 30, 2022 and 2021,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40" w:type="dxa"/>
            <w:vAlign w:val="bottom"/>
            <w:shd w:val="clear" w:color="auto" w:fill="CCEEFF"/>
          </w:tcPr>
          <w:p>
            <w:pPr>
              <w:spacing w:after="0"/>
              <w:rPr>
                <w:sz w:val="15"/>
                <w:szCs w:val="15"/>
                <w:color w:val="auto"/>
              </w:rPr>
            </w:pPr>
          </w:p>
        </w:tc>
        <w:tc>
          <w:tcPr>
            <w:tcW w:w="3280" w:type="dxa"/>
            <w:vAlign w:val="bottom"/>
            <w:gridSpan w:val="6"/>
            <w:shd w:val="clear" w:color="auto" w:fill="CCEEFF"/>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shd w:val="clear" w:color="auto" w:fill="CCEEFF"/>
          </w:tcPr>
          <w:p>
            <w:pPr>
              <w:spacing w:after="0"/>
              <w:rPr>
                <w:sz w:val="15"/>
                <w:szCs w:val="15"/>
                <w:color w:val="auto"/>
              </w:rPr>
            </w:pPr>
          </w:p>
        </w:tc>
        <w:tc>
          <w:tcPr>
            <w:tcW w:w="2860" w:type="dxa"/>
            <w:vAlign w:val="bottom"/>
            <w:gridSpan w:val="4"/>
            <w:shd w:val="clear" w:color="auto" w:fill="CCEEFF"/>
          </w:tcPr>
          <w:p>
            <w:pPr>
              <w:jc w:val="right"/>
              <w:ind w:right="449"/>
              <w:spacing w:after="0"/>
              <w:rPr>
                <w:sz w:val="20"/>
                <w:szCs w:val="20"/>
                <w:color w:val="auto"/>
              </w:rPr>
            </w:pPr>
            <w:r>
              <w:rPr>
                <w:rFonts w:ascii="Arial" w:cs="Arial" w:eastAsia="Arial" w:hAnsi="Arial"/>
                <w:sz w:val="14"/>
                <w:szCs w:val="14"/>
                <w:b w:val="1"/>
                <w:bCs w:val="1"/>
                <w:color w:val="auto"/>
              </w:rPr>
              <w:t>Nine Months Ended September 30,</w:t>
            </w:r>
          </w:p>
        </w:tc>
      </w:tr>
      <w:tr>
        <w:trPr>
          <w:trHeight w:val="180"/>
        </w:trPr>
        <w:tc>
          <w:tcPr>
            <w:tcW w:w="48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2021</w:t>
            </w:r>
          </w:p>
        </w:tc>
      </w:tr>
      <w:tr>
        <w:trPr>
          <w:trHeight w:val="171"/>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7,456</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6,121</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20,404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17,028</w:t>
            </w:r>
          </w:p>
        </w:tc>
      </w:tr>
      <w:tr>
        <w:trPr>
          <w:trHeight w:val="180"/>
        </w:trPr>
        <w:tc>
          <w:tcPr>
            <w:tcW w:w="4840" w:type="dxa"/>
            <w:vAlign w:val="bottom"/>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tcPr>
          <w:p>
            <w:pPr>
              <w:spacing w:after="0"/>
              <w:rPr>
                <w:sz w:val="15"/>
                <w:szCs w:val="15"/>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color w:val="auto"/>
                <w:w w:val="94"/>
              </w:rPr>
              <w:t>(3,059)</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(658)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(8,535)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Arial" w:cs="Arial" w:eastAsia="Arial" w:hAnsi="Arial"/>
                <w:sz w:val="14"/>
                <w:szCs w:val="14"/>
                <w:color w:val="auto"/>
              </w:rPr>
              <w:t>(3,230)</w:t>
            </w:r>
          </w:p>
        </w:tc>
      </w:tr>
      <w:tr>
        <w:trPr>
          <w:trHeight w:val="18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94"/>
              </w:rPr>
              <w:t>(3,490)</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(1,207)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(9,634)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(3,531)</w:t>
            </w:r>
          </w:p>
        </w:tc>
      </w:tr>
      <w:tr>
        <w:trPr>
          <w:trHeight w:val="212"/>
        </w:trPr>
        <w:tc>
          <w:tcPr>
            <w:tcW w:w="4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retail clients</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1,390</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1,390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850</w:t>
            </w:r>
          </w:p>
        </w:tc>
      </w:tr>
      <w:tr>
        <w:trPr>
          <w:trHeight w:val="180"/>
        </w:trPr>
        <w:tc>
          <w:tcPr>
            <w:tcW w:w="4840" w:type="dxa"/>
            <w:vAlign w:val="bottom"/>
          </w:tcPr>
          <w:p>
            <w:pPr>
              <w:ind w:left="20"/>
              <w:spacing w:after="0"/>
              <w:rPr>
                <w:sz w:val="20"/>
                <w:szCs w:val="20"/>
                <w:color w:val="auto"/>
              </w:rPr>
            </w:pPr>
            <w:r>
              <w:rPr>
                <w:rFonts w:ascii="Arial" w:cs="Arial" w:eastAsia="Arial" w:hAnsi="Arial"/>
                <w:sz w:val="14"/>
                <w:szCs w:val="14"/>
                <w:color w:val="auto"/>
              </w:rPr>
              <w:t>Net revenue retention</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119 %</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85 %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119 %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85 %</w:t>
            </w:r>
          </w:p>
        </w:tc>
      </w:tr>
      <w:tr>
        <w:trPr>
          <w:trHeight w:val="180"/>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messages (million)</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586</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1,501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1,336</w:t>
            </w:r>
          </w:p>
        </w:tc>
      </w:tr>
    </w:tbl>
    <w:p>
      <w:pPr>
        <w:spacing w:after="0" w:line="24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 a reconciliation of net loss to Adjusted EBITDA see “EBITDA and Adjusted EBITDA”, below.</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Revenue</w:t>
      </w:r>
    </w:p>
    <w:p>
      <w:pPr>
        <w:spacing w:after="0" w:line="189" w:lineRule="exact"/>
        <w:rPr>
          <w:sz w:val="20"/>
          <w:szCs w:val="20"/>
          <w:color w:val="auto"/>
        </w:rPr>
      </w:pPr>
    </w:p>
    <w:p>
      <w:pPr>
        <w:jc w:val="both"/>
        <w:ind w:firstLine="254"/>
        <w:spacing w:after="0" w:line="241" w:lineRule="auto"/>
        <w:rPr>
          <w:sz w:val="20"/>
          <w:szCs w:val="20"/>
          <w:color w:val="auto"/>
        </w:rPr>
      </w:pPr>
      <w:r>
        <w:rPr>
          <w:rFonts w:ascii="Arial" w:cs="Arial" w:eastAsia="Arial" w:hAnsi="Arial"/>
          <w:sz w:val="14"/>
          <w:szCs w:val="14"/>
          <w:color w:val="auto"/>
        </w:rPr>
        <w:t>We generate revenue from the sale of monthly subscriptions that provide retail clients with access to an integrated platform through which they can manage loyalty programs and communications with their consumers. We also generate additional revenue from these retail clients when the quantum of messages sent to consumers exceeds the amounts in the subscription package. The subscriptions generally have twelve-month terms (which typically are not subject to early termination without a cancellation fee payable by the client), are payable monthly, and automatically renew for subsequent and recurring 12-month periods unless notice of cancellation is provided in advance.</w:t>
      </w:r>
    </w:p>
    <w:p>
      <w:pPr>
        <w:spacing w:after="0" w:line="170" w:lineRule="exact"/>
        <w:rPr>
          <w:sz w:val="20"/>
          <w:szCs w:val="20"/>
          <w:color w:val="auto"/>
        </w:rPr>
      </w:pPr>
    </w:p>
    <w:p>
      <w:pPr>
        <w:jc w:val="both"/>
        <w:ind w:firstLine="254"/>
        <w:spacing w:after="0" w:line="280" w:lineRule="auto"/>
        <w:rPr>
          <w:sz w:val="20"/>
          <w:szCs w:val="20"/>
          <w:color w:val="auto"/>
        </w:rPr>
      </w:pPr>
      <w:r>
        <w:rPr>
          <w:rFonts w:ascii="Arial" w:cs="Arial" w:eastAsia="Arial" w:hAnsi="Arial"/>
          <w:sz w:val="13"/>
          <w:szCs w:val="13"/>
          <w:color w:val="auto"/>
        </w:rPr>
        <w:t>The Company's revenue growth is generally achieved through a mix of new clients, clients upgrading their subscriptions (as new clients will frequently enter into a relatively low level of subscription (with respect to the size of such client's database and the number of their customers on such database) and/or the number of pre-determined communication credits), which frequently</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occurs shortly after such a client initially becomes a client, and the excess use element of revenues. “Excess use” revenues are revenues derived from amounts charged to clients for exceeding the pre-determined credit volume set forth in the applicable client’s subscription agreement. Given this combination, and particularly the tendency for clients to upgrade soon after becoming a client, the Company does not actively monitor revenue split between new and existing clients, preferring to use the split between subscription and excess use in combination with net dollar retention and the number of clients as key metrics, as described below.</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Other Key Operating Metrics</w:t>
      </w:r>
    </w:p>
    <w:p>
      <w:pPr>
        <w:spacing w:after="0" w:line="189" w:lineRule="exact"/>
        <w:rPr>
          <w:sz w:val="20"/>
          <w:szCs w:val="20"/>
          <w:color w:val="auto"/>
        </w:rPr>
      </w:pPr>
    </w:p>
    <w:p>
      <w:pPr>
        <w:jc w:val="both"/>
        <w:ind w:firstLine="254"/>
        <w:spacing w:after="0"/>
        <w:rPr>
          <w:sz w:val="20"/>
          <w:szCs w:val="20"/>
          <w:color w:val="auto"/>
        </w:rPr>
      </w:pPr>
      <w:r>
        <w:rPr>
          <w:rFonts w:ascii="Arial" w:cs="Arial" w:eastAsia="Arial" w:hAnsi="Arial"/>
          <w:sz w:val="14"/>
          <w:szCs w:val="14"/>
          <w:color w:val="auto"/>
        </w:rPr>
        <w:t>The growth in our revenues is a key metric at this stage in our development as a Company and therefore to provide investors with additional information, we have disclosed in the table above the number of our retail clients, our net revenue retention rate and the number of standardized messages distributed through the SpringBig platform by our clients. We regularly review the key operating and financial metrics set forth above to evaluate our business, our growth, assess our performance and make decisions regarding our business. We believe these key metrics are useful to investors both because they allow for greater transparency with respect to key metrics used by management in its financial and operational decision-making, and they may be helpful in evaluating the state and growth of our business.</w:t>
      </w:r>
    </w:p>
    <w:p>
      <w:pPr>
        <w:spacing w:after="0" w:line="170" w:lineRule="exact"/>
        <w:rPr>
          <w:sz w:val="20"/>
          <w:szCs w:val="20"/>
          <w:color w:val="auto"/>
        </w:rPr>
      </w:pPr>
    </w:p>
    <w:p>
      <w:pPr>
        <w:jc w:val="both"/>
        <w:ind w:firstLine="254"/>
        <w:spacing w:after="0" w:line="304" w:lineRule="auto"/>
        <w:rPr>
          <w:sz w:val="20"/>
          <w:szCs w:val="20"/>
          <w:color w:val="auto"/>
        </w:rPr>
      </w:pPr>
      <w:r>
        <w:rPr>
          <w:rFonts w:ascii="Arial" w:cs="Arial" w:eastAsia="Arial" w:hAnsi="Arial"/>
          <w:sz w:val="13"/>
          <w:szCs w:val="13"/>
          <w:i w:val="1"/>
          <w:iCs w:val="1"/>
          <w:color w:val="auto"/>
        </w:rPr>
        <w:t xml:space="preserve">Number of Retail Clients. </w:t>
      </w:r>
      <w:r>
        <w:rPr>
          <w:rFonts w:ascii="Arial" w:cs="Arial" w:eastAsia="Arial" w:hAnsi="Arial"/>
          <w:sz w:val="13"/>
          <w:szCs w:val="13"/>
          <w:color w:val="auto"/>
        </w:rPr>
        <w:t>We disclose in the table above the number of clients of the business at the end of the relevant period. We view the number of clients as an important metric to assess the</w:t>
      </w:r>
      <w:r>
        <w:rPr>
          <w:rFonts w:ascii="Arial" w:cs="Arial" w:eastAsia="Arial" w:hAnsi="Arial"/>
          <w:sz w:val="13"/>
          <w:szCs w:val="13"/>
          <w:i w:val="1"/>
          <w:iCs w:val="1"/>
          <w:color w:val="auto"/>
        </w:rPr>
        <w:t xml:space="preserve"> </w:t>
      </w:r>
      <w:r>
        <w:rPr>
          <w:rFonts w:ascii="Arial" w:cs="Arial" w:eastAsia="Arial" w:hAnsi="Arial"/>
          <w:sz w:val="13"/>
          <w:szCs w:val="13"/>
          <w:color w:val="auto"/>
        </w:rPr>
        <w:t>performance of our business because an increased number of clients drives growth, increases brand awareness and helps contribute to our reach and strengthening our value proposition.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0" w:name="page31"/>
    <w:bookmarkEnd w:id="30"/>
    <w:p>
      <w:pPr>
        <w:jc w:val="both"/>
        <w:ind w:firstLine="254"/>
        <w:spacing w:after="0" w:line="263" w:lineRule="auto"/>
        <w:rPr>
          <w:sz w:val="20"/>
          <w:szCs w:val="20"/>
          <w:color w:val="auto"/>
        </w:rPr>
      </w:pPr>
      <w:r>
        <w:rPr>
          <w:rFonts w:ascii="Arial" w:cs="Arial" w:eastAsia="Arial" w:hAnsi="Arial"/>
          <w:sz w:val="13"/>
          <w:szCs w:val="13"/>
          <w:i w:val="1"/>
          <w:iCs w:val="1"/>
          <w:color w:val="auto"/>
        </w:rPr>
        <w:t xml:space="preserve">Net Revenue Retention. </w:t>
      </w:r>
      <w:r>
        <w:rPr>
          <w:rFonts w:ascii="Arial" w:cs="Arial" w:eastAsia="Arial" w:hAnsi="Arial"/>
          <w:sz w:val="13"/>
          <w:szCs w:val="13"/>
          <w:color w:val="auto"/>
        </w:rPr>
        <w:t>We believe that the growth in the use of our platform by our clients is an important metric in evaluating our business and growth. We monitor our dollar-based net revenue</w:t>
      </w:r>
      <w:r>
        <w:rPr>
          <w:rFonts w:ascii="Arial" w:cs="Arial" w:eastAsia="Arial" w:hAnsi="Arial"/>
          <w:sz w:val="13"/>
          <w:szCs w:val="13"/>
          <w:i w:val="1"/>
          <w:iCs w:val="1"/>
          <w:color w:val="auto"/>
        </w:rPr>
        <w:t xml:space="preserve"> </w:t>
      </w:r>
      <w:r>
        <w:rPr>
          <w:rFonts w:ascii="Arial" w:cs="Arial" w:eastAsia="Arial" w:hAnsi="Arial"/>
          <w:sz w:val="13"/>
          <w:szCs w:val="13"/>
          <w:color w:val="auto"/>
        </w:rPr>
        <w:t>retention rate on a rolling basis to track the maintenance of revenue and revenue-increasing activity growth. “Net revenue retention rate” (also referred to as “net dollar retention rate”) does not have a standardized meaning and is therefore unlikely to be comparable to similarly titled measures presented by other companies, and further, investors should not consider it in isolation. When evaluating our retention rates and calculating our net revenue retention rate, SpringBig calculates the average recurring monthly revenue from retail clients, adjusted for losses, increases and decreases in monthly subscriptions during the prior twelve months divided by the average recurring monthly subscription revenue over the same trailing twelve-month period.</w:t>
      </w:r>
    </w:p>
    <w:p>
      <w:pPr>
        <w:spacing w:after="0" w:line="156" w:lineRule="exact"/>
        <w:rPr>
          <w:sz w:val="20"/>
          <w:szCs w:val="20"/>
          <w:color w:val="auto"/>
        </w:rPr>
      </w:pPr>
    </w:p>
    <w:p>
      <w:pPr>
        <w:jc w:val="both"/>
        <w:ind w:firstLine="254"/>
        <w:spacing w:after="0" w:line="271" w:lineRule="auto"/>
        <w:rPr>
          <w:sz w:val="20"/>
          <w:szCs w:val="20"/>
          <w:color w:val="auto"/>
        </w:rPr>
      </w:pPr>
      <w:r>
        <w:rPr>
          <w:rFonts w:ascii="Arial" w:cs="Arial" w:eastAsia="Arial" w:hAnsi="Arial"/>
          <w:sz w:val="13"/>
          <w:szCs w:val="13"/>
          <w:color w:val="auto"/>
        </w:rPr>
        <w:t>We view a net revenue retention rate exceeding 100% as positive because this is indicative of increasing subscription revenue without including the impact of the initial recurring revenue from new clients during the month in which they are on-boarded. We believe that we can drive this metric by continuing to focus on existing clients and by revenue-increasing activities, such as client upgrades. Net revenue retention is measured over the twelve-month period ending at the reporting date and if the ratio exceeds 100% this is an indication of upgrades from clients exceeding the value of any lost clients and downgrades in subscriptions. The net revenue retention is calculated based on subscription revenues only and does not include the impact of excess use revenue.</w:t>
      </w:r>
    </w:p>
    <w:p>
      <w:pPr>
        <w:spacing w:after="0" w:line="152"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i w:val="1"/>
          <w:iCs w:val="1"/>
          <w:color w:val="auto"/>
        </w:rPr>
        <w:t xml:space="preserve">Number of Messages Sent. </w:t>
      </w:r>
      <w:r>
        <w:rPr>
          <w:rFonts w:ascii="Arial" w:cs="Arial" w:eastAsia="Arial" w:hAnsi="Arial"/>
          <w:sz w:val="14"/>
          <w:szCs w:val="14"/>
          <w:color w:val="auto"/>
        </w:rPr>
        <w:t>We believe that the volume of messages sent, measured in standardized message size, is important as it indicates the frequency of use and level of engagement of our</w:t>
      </w:r>
      <w:r>
        <w:rPr>
          <w:rFonts w:ascii="Arial" w:cs="Arial" w:eastAsia="Arial" w:hAnsi="Arial"/>
          <w:sz w:val="14"/>
          <w:szCs w:val="14"/>
          <w:i w:val="1"/>
          <w:iCs w:val="1"/>
          <w:color w:val="auto"/>
        </w:rPr>
        <w:t xml:space="preserve"> </w:t>
      </w:r>
      <w:r>
        <w:rPr>
          <w:rFonts w:ascii="Arial" w:cs="Arial" w:eastAsia="Arial" w:hAnsi="Arial"/>
          <w:sz w:val="14"/>
          <w:szCs w:val="14"/>
          <w:color w:val="auto"/>
        </w:rPr>
        <w:t>platform by our clients.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EBITDA and Adjusted EBITDA</w:t>
      </w:r>
    </w:p>
    <w:p>
      <w:pPr>
        <w:spacing w:after="0" w:line="189" w:lineRule="exact"/>
        <w:rPr>
          <w:sz w:val="20"/>
          <w:szCs w:val="20"/>
          <w:color w:val="auto"/>
        </w:rPr>
      </w:pPr>
    </w:p>
    <w:p>
      <w:pPr>
        <w:jc w:val="both"/>
        <w:ind w:firstLine="254"/>
        <w:spacing w:after="0" w:line="304" w:lineRule="auto"/>
        <w:rPr>
          <w:sz w:val="20"/>
          <w:szCs w:val="20"/>
          <w:color w:val="auto"/>
        </w:rPr>
      </w:pPr>
      <w:r>
        <w:rPr>
          <w:rFonts w:ascii="Arial" w:cs="Arial" w:eastAsia="Arial" w:hAnsi="Arial"/>
          <w:sz w:val="13"/>
          <w:szCs w:val="13"/>
          <w:color w:val="auto"/>
        </w:rPr>
        <w:t>To provide investors with additional information regarding our financial results, we have disclosed EBITDA, which is a non-GAAP financial measure that we calculate as net income before interest, taxes, depreciation and amortization and Adjusted EBITDA, which represents EBITDA adjusted for certain unusual or infrequent items (such as changes in the fair value of warrants).</w:t>
      </w:r>
    </w:p>
    <w:p>
      <w:pPr>
        <w:spacing w:after="0" w:line="130" w:lineRule="exact"/>
        <w:rPr>
          <w:sz w:val="20"/>
          <w:szCs w:val="20"/>
          <w:color w:val="auto"/>
        </w:rPr>
      </w:pPr>
    </w:p>
    <w:p>
      <w:pPr>
        <w:jc w:val="both"/>
        <w:ind w:firstLine="254"/>
        <w:spacing w:after="0" w:line="241" w:lineRule="auto"/>
        <w:rPr>
          <w:sz w:val="20"/>
          <w:szCs w:val="20"/>
          <w:color w:val="auto"/>
        </w:rPr>
      </w:pPr>
      <w:r>
        <w:rPr>
          <w:rFonts w:ascii="Arial" w:cs="Arial" w:eastAsia="Arial" w:hAnsi="Arial"/>
          <w:sz w:val="14"/>
          <w:szCs w:val="14"/>
          <w:color w:val="auto"/>
        </w:rPr>
        <w:t>We present EBITDA and Adjusted EBITDA because they are key measures used by our management and board of directors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 and board of directors, and is widely used by analysts, investors and competitors to measure a company's operating performance.</w:t>
      </w:r>
    </w:p>
    <w:p>
      <w:pPr>
        <w:spacing w:after="0" w:line="170"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EBITDA and Adjusted EBITDA have limitations, and you should not consider these in isolation or as a substitute for analysis of our results as reported under GAAP, including net loss, which we consider to be the most directly comparable GAAP financial measure. Some of these limitations are:</w:t>
      </w:r>
    </w:p>
    <w:p>
      <w:pPr>
        <w:spacing w:after="0" w:line="185" w:lineRule="exact"/>
        <w:rPr>
          <w:sz w:val="20"/>
          <w:szCs w:val="20"/>
          <w:color w:val="auto"/>
        </w:rPr>
      </w:pPr>
    </w:p>
    <w:p>
      <w:pPr>
        <w:ind w:left="520" w:hanging="261"/>
        <w:spacing w:after="0" w:line="222" w:lineRule="auto"/>
        <w:tabs>
          <w:tab w:leader="none" w:pos="516" w:val="left"/>
        </w:tabs>
        <w:numPr>
          <w:ilvl w:val="0"/>
          <w:numId w:val="6"/>
        </w:numPr>
        <w:rPr>
          <w:rFonts w:ascii="Arial" w:cs="Arial" w:eastAsia="Arial" w:hAnsi="Arial"/>
          <w:sz w:val="17"/>
          <w:szCs w:val="17"/>
          <w:color w:val="auto"/>
        </w:rPr>
      </w:pPr>
      <w:r>
        <w:rPr>
          <w:rFonts w:ascii="Arial" w:cs="Arial" w:eastAsia="Arial" w:hAnsi="Arial"/>
          <w:sz w:val="14"/>
          <w:szCs w:val="14"/>
          <w:color w:val="auto"/>
        </w:rPr>
        <w:t>although depreciation is a non-cash charge, the assets being depreciated may have to be replaced in the future, and neither EBITDA nor Adjusted EBITDA reflect cash capital expenditure requirements for such replacements or for new capital expenditure requirements;</w:t>
      </w:r>
    </w:p>
    <w:p>
      <w:pPr>
        <w:ind w:left="520" w:hanging="261"/>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EBITDA and Adjusted EBITDA do not reflect interest payments that may represent a reduction in cash available;</w:t>
      </w:r>
    </w:p>
    <w:p>
      <w:pPr>
        <w:spacing w:after="0" w:line="6" w:lineRule="exact"/>
        <w:rPr>
          <w:rFonts w:ascii="Arial" w:cs="Arial" w:eastAsia="Arial" w:hAnsi="Arial"/>
          <w:sz w:val="14"/>
          <w:szCs w:val="14"/>
          <w:color w:val="auto"/>
        </w:rPr>
      </w:pPr>
    </w:p>
    <w:p>
      <w:pPr>
        <w:ind w:left="500" w:hanging="241"/>
        <w:spacing w:after="0" w:line="234"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4"/>
          <w:szCs w:val="14"/>
          <w:color w:val="auto"/>
        </w:rPr>
        <w:t>EBITDA and Adjusted EBITDA do not reflect changes in, or cash requirements for, our working capital needs; and</w:t>
      </w:r>
    </w:p>
    <w:p>
      <w:pPr>
        <w:spacing w:after="0" w:line="8" w:lineRule="exact"/>
        <w:rPr>
          <w:rFonts w:ascii="Arial" w:cs="Arial" w:eastAsia="Arial" w:hAnsi="Arial"/>
          <w:sz w:val="17"/>
          <w:szCs w:val="17"/>
          <w:color w:val="auto"/>
        </w:rPr>
      </w:pPr>
    </w:p>
    <w:p>
      <w:pPr>
        <w:ind w:left="500" w:hanging="241"/>
        <w:spacing w:after="0" w:line="224"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4"/>
          <w:szCs w:val="14"/>
          <w:color w:val="auto"/>
        </w:rPr>
        <w:t>EBITDA and Adjusted EBITDA do not reflect tax payments that may represent a reduction in cash available.</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Because of these limitations, you should consider EBITDA and Adjusted EBITDA alongside other financial performance measures, including net loss and our other GAAP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3" w:right="319" w:bottom="1440" w:gutter="0" w:footer="0" w:header="0"/>
        </w:sectPr>
      </w:pPr>
    </w:p>
    <w:bookmarkStart w:id="31" w:name="page32"/>
    <w:bookmarkEnd w:id="31"/>
    <w:p>
      <w:pPr>
        <w:ind w:left="260"/>
        <w:spacing w:after="0"/>
        <w:rPr>
          <w:sz w:val="20"/>
          <w:szCs w:val="20"/>
          <w:color w:val="auto"/>
        </w:rPr>
      </w:pPr>
      <w:r>
        <w:rPr>
          <w:rFonts w:ascii="Arial" w:cs="Arial" w:eastAsia="Arial" w:hAnsi="Arial"/>
          <w:sz w:val="14"/>
          <w:szCs w:val="14"/>
          <w:color w:val="auto"/>
        </w:rPr>
        <w:t>A reconciliation of net loss before taxes to non-GAAP EBITDA and Adjusted EBITDA is as follows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40" w:type="dxa"/>
            <w:vAlign w:val="bottom"/>
            <w:shd w:val="clear" w:color="auto" w:fill="CCEEFF"/>
          </w:tcPr>
          <w:p>
            <w:pPr>
              <w:spacing w:after="0"/>
              <w:rPr>
                <w:sz w:val="15"/>
                <w:szCs w:val="15"/>
                <w:color w:val="auto"/>
              </w:rPr>
            </w:pPr>
          </w:p>
        </w:tc>
        <w:tc>
          <w:tcPr>
            <w:tcW w:w="3100" w:type="dxa"/>
            <w:vAlign w:val="bottom"/>
            <w:gridSpan w:val="6"/>
            <w:shd w:val="clear" w:color="auto" w:fill="CCEEFF"/>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shd w:val="clear" w:color="auto" w:fill="CCEEFF"/>
          </w:tcPr>
          <w:p>
            <w:pPr>
              <w:spacing w:after="0"/>
              <w:rPr>
                <w:sz w:val="15"/>
                <w:szCs w:val="15"/>
                <w:color w:val="auto"/>
              </w:rPr>
            </w:pPr>
          </w:p>
        </w:tc>
        <w:tc>
          <w:tcPr>
            <w:tcW w:w="2540" w:type="dxa"/>
            <w:vAlign w:val="bottom"/>
            <w:gridSpan w:val="4"/>
            <w:shd w:val="clear" w:color="auto" w:fill="CCEEFF"/>
          </w:tcPr>
          <w:p>
            <w:pPr>
              <w:jc w:val="right"/>
              <w:ind w:right="249"/>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80"/>
        </w:trPr>
        <w:tc>
          <w:tcPr>
            <w:tcW w:w="54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1"/>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00" w:type="dxa"/>
            <w:vAlign w:val="bottom"/>
            <w:shd w:val="clear" w:color="auto" w:fill="CCEEFF"/>
          </w:tcPr>
          <w:p>
            <w:pPr>
              <w:jc w:val="right"/>
              <w:ind w:right="74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(3,059)</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(8,535)</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(3,230)</w:t>
            </w:r>
          </w:p>
        </w:tc>
        <w:tc>
          <w:tcPr>
            <w:tcW w:w="0" w:type="dxa"/>
            <w:vAlign w:val="bottom"/>
          </w:tcPr>
          <w:p>
            <w:pPr>
              <w:spacing w:after="0"/>
              <w:rPr>
                <w:sz w:val="1"/>
                <w:szCs w:val="1"/>
                <w:color w:val="auto"/>
              </w:rPr>
            </w:pPr>
          </w:p>
        </w:tc>
      </w:tr>
      <w:tr>
        <w:trPr>
          <w:trHeight w:val="180"/>
        </w:trPr>
        <w:tc>
          <w:tcPr>
            <w:tcW w:w="544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Depreciation expense</w:t>
            </w:r>
          </w:p>
        </w:tc>
        <w:tc>
          <w:tcPr>
            <w:tcW w:w="9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2"/>
        </w:trPr>
        <w:tc>
          <w:tcPr>
            <w:tcW w:w="5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440" w:type="dxa"/>
            <w:vAlign w:val="bottom"/>
          </w:tcPr>
          <w:p>
            <w:pPr>
              <w:ind w:left="20"/>
              <w:spacing w:after="0"/>
              <w:rPr>
                <w:sz w:val="20"/>
                <w:szCs w:val="20"/>
                <w:color w:val="auto"/>
              </w:rPr>
            </w:pPr>
            <w:r>
              <w:rPr>
                <w:rFonts w:ascii="Arial" w:cs="Arial" w:eastAsia="Arial" w:hAnsi="Arial"/>
                <w:sz w:val="14"/>
                <w:szCs w:val="14"/>
                <w:color w:val="auto"/>
              </w:rPr>
              <w:t>EBITDA</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(2,679)</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(7,719)</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(3,165)</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44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9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1,226</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180"/>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PPP Loan Forgiveness</w:t>
            </w:r>
          </w:p>
        </w:tc>
        <w:tc>
          <w:tcPr>
            <w:tcW w:w="9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80"/>
        </w:trPr>
        <w:tc>
          <w:tcPr>
            <w:tcW w:w="5440" w:type="dxa"/>
            <w:vAlign w:val="bottom"/>
          </w:tcPr>
          <w:p>
            <w:pPr>
              <w:ind w:left="20"/>
              <w:spacing w:after="0"/>
              <w:rPr>
                <w:sz w:val="20"/>
                <w:szCs w:val="20"/>
                <w:color w:val="auto"/>
              </w:rPr>
            </w:pPr>
            <w:r>
              <w:rPr>
                <w:rFonts w:ascii="Arial" w:cs="Arial" w:eastAsia="Arial" w:hAnsi="Arial"/>
                <w:sz w:val="14"/>
                <w:szCs w:val="14"/>
                <w:color w:val="auto"/>
              </w:rPr>
              <w:t>Business combination related bonus</w:t>
            </w:r>
          </w:p>
        </w:tc>
        <w:tc>
          <w:tcPr>
            <w:tcW w:w="90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550</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warrants</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(3,691)</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54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(3,490)</w:t>
            </w: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(9,634)</w:t>
            </w:r>
          </w:p>
        </w:tc>
        <w:tc>
          <w:tcPr>
            <w:tcW w:w="1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1"/>
                <w:szCs w:val="11"/>
                <w:color w:val="auto"/>
              </w:rPr>
              <w:t>*Stock-based compensation is recorded in General and Administrative expenses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4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Factors Affecting Our Performance</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Overall Economic Trends</w:t>
      </w:r>
    </w:p>
    <w:p>
      <w:pPr>
        <w:spacing w:after="0" w:line="189"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color w:val="auto"/>
        </w:rPr>
        <w:t>The overall economic environment and related changes to consumer behavior have a significant impact on our business. Overall, positive conditions in the broader economy promote consumer spending on marketplaces and our customers’ products, while economic weakness, which generally results in reduced consumer spending, may have a negative impact on our customers’ sales, which in turn may impact our revenue.</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Growth and Retention of Customers</w:t>
      </w:r>
    </w:p>
    <w:p>
      <w:pPr>
        <w:spacing w:after="0" w:line="199" w:lineRule="exact"/>
        <w:rPr>
          <w:sz w:val="20"/>
          <w:szCs w:val="20"/>
          <w:color w:val="auto"/>
        </w:rPr>
      </w:pPr>
    </w:p>
    <w:p>
      <w:pPr>
        <w:jc w:val="both"/>
        <w:ind w:firstLine="254"/>
        <w:spacing w:after="0" w:line="266" w:lineRule="auto"/>
        <w:rPr>
          <w:sz w:val="20"/>
          <w:szCs w:val="20"/>
          <w:color w:val="auto"/>
        </w:rPr>
      </w:pPr>
      <w:r>
        <w:rPr>
          <w:rFonts w:ascii="Arial" w:cs="Arial" w:eastAsia="Arial" w:hAnsi="Arial"/>
          <w:sz w:val="14"/>
          <w:szCs w:val="14"/>
          <w:color w:val="auto"/>
        </w:rPr>
        <w:t>Our revenue grows primarily through acquiring and retaining customers and expanding relationships with customers over time, increasing the revenue per customer. We have historically been able to attract, retain and grow relationships with customers as a result of the Company’s comprehensive product suite, differentiated loyalty programs, consistent communications with customers, and reliable customer service.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Regulation and Maturation of Cannabis Markets</w:t>
      </w:r>
    </w:p>
    <w:p>
      <w:pPr>
        <w:spacing w:after="0" w:line="189"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3"/>
          <w:szCs w:val="13"/>
          <w:color w:val="auto"/>
        </w:rPr>
        <w:t>We believe that we will have significant opportunities for growth as more jurisdictions legalize cannabis for medical and/or adult use and the regulatory environment continues to develop. We intend to explore new expansion opportunities as additional jurisdictions legalize cannabis for medical or adult use and leverage our existing business model to enter new markets. We believe our understanding of the space coupled with our experienced sales force will enable us to quickly enter and execute in new markets and capture new business, which we sustain via our best-in-class product offerings. Further, a change in U.S. federal regulations could result in our ability to engage in additional outlets, including the fintech, payments and e-commerce space.</w:t>
      </w:r>
    </w:p>
    <w:p>
      <w:pPr>
        <w:spacing w:after="0" w:line="156" w:lineRule="exact"/>
        <w:rPr>
          <w:sz w:val="20"/>
          <w:szCs w:val="20"/>
          <w:color w:val="auto"/>
        </w:rPr>
      </w:pPr>
    </w:p>
    <w:p>
      <w:pPr>
        <w:jc w:val="both"/>
        <w:ind w:firstLine="254"/>
        <w:spacing w:after="0" w:line="304" w:lineRule="auto"/>
        <w:rPr>
          <w:sz w:val="20"/>
          <w:szCs w:val="20"/>
          <w:color w:val="auto"/>
        </w:rPr>
      </w:pPr>
      <w:r>
        <w:rPr>
          <w:rFonts w:ascii="Arial" w:cs="Arial" w:eastAsia="Arial" w:hAnsi="Arial"/>
          <w:sz w:val="13"/>
          <w:szCs w:val="13"/>
          <w:color w:val="auto"/>
        </w:rPr>
        <w:t>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w:t>
      </w:r>
    </w:p>
    <w:p>
      <w:pPr>
        <w:spacing w:after="0" w:line="130"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We believe that maintaining and enhancing our brand identity and our reputation is critical to maintaining and growing our relationships with customers and to our ability to attract new customers.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2" w:name="page33"/>
    <w:bookmarkEnd w:id="32"/>
    <w:p>
      <w:pPr>
        <w:ind w:left="520"/>
        <w:spacing w:after="0"/>
        <w:rPr>
          <w:sz w:val="20"/>
          <w:szCs w:val="20"/>
          <w:color w:val="auto"/>
        </w:rPr>
      </w:pPr>
      <w:r>
        <w:rPr>
          <w:rFonts w:ascii="Arial" w:cs="Arial" w:eastAsia="Arial" w:hAnsi="Arial"/>
          <w:sz w:val="12"/>
          <w:szCs w:val="12"/>
          <w:color w:val="auto"/>
        </w:rPr>
        <w:t>We believe our platform’s scale and strong customer loyalty market themselves; however, we implement a variety of marketing efforts to attract retailers and brands not yet on our platform.</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Marketing efforts include multiple strategies designed to attract and retain both retail and brands subscribers.</w:t>
      </w:r>
    </w:p>
    <w:p>
      <w:pPr>
        <w:spacing w:after="0" w:line="166" w:lineRule="exact"/>
        <w:rPr>
          <w:sz w:val="20"/>
          <w:szCs w:val="20"/>
          <w:color w:val="auto"/>
        </w:rPr>
      </w:pPr>
    </w:p>
    <w:p>
      <w:pPr>
        <w:jc w:val="both"/>
        <w:ind w:firstLine="254"/>
        <w:spacing w:after="0" w:line="246" w:lineRule="auto"/>
        <w:rPr>
          <w:sz w:val="20"/>
          <w:szCs w:val="20"/>
          <w:color w:val="auto"/>
        </w:rPr>
      </w:pPr>
      <w:r>
        <w:rPr>
          <w:rFonts w:ascii="Arial" w:cs="Arial" w:eastAsia="Arial" w:hAnsi="Arial"/>
          <w:sz w:val="14"/>
          <w:szCs w:val="14"/>
          <w:color w:val="auto"/>
        </w:rPr>
        <w:t>Negative publicity, whether or not justified, relating to events or activities attributed to us, our employees, customers or others associated with any of these parties, may tarnish our reputation and reduce the value of our brand. Given our high visibility,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value of our brand may be costly and time consuming, and such efforts may not ultimately be successful.</w:t>
      </w:r>
    </w:p>
    <w:p>
      <w:pPr>
        <w:spacing w:after="0" w:line="167"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Components of Our Results of Operations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Revenue</w:t>
      </w:r>
    </w:p>
    <w:p>
      <w:pPr>
        <w:spacing w:after="0" w:line="189"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color w:val="auto"/>
        </w:rPr>
        <w:t>SpringBig provides its retail customers with access to an integrated platform that provides all the functions of the Company’s proprietary software, which uses proprietary technology to send text or email messages to the customer’s contacts. This access is provided to customers under a contract, with revenue generated from monthly fixed fees for credits (up to pre-contracted amount) and optional purchases of additional credits.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Cost of Revenue</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Cost of revenue primarily consists of amounts payable to distributors of messages on behalf of the Company’s customers across cellular networks and integrations.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Selling, Servicing and Marketing Expenses</w:t>
      </w:r>
    </w:p>
    <w:p>
      <w:pPr>
        <w:spacing w:after="0" w:line="189"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Selling, servicing, and marketing expenses consist of salaries, benefits, travel expense, and incentive compensation for our sales, servicing, and marketing employees. In addition, sales, servicing, and marketing expenses include business acquisition marketing, events cost, and branding and advertising costs.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Technology and Software Development Expenses</w:t>
      </w:r>
    </w:p>
    <w:p>
      <w:pPr>
        <w:spacing w:after="0" w:line="189" w:lineRule="exact"/>
        <w:rPr>
          <w:sz w:val="20"/>
          <w:szCs w:val="20"/>
          <w:color w:val="auto"/>
        </w:rPr>
      </w:pPr>
    </w:p>
    <w:p>
      <w:pPr>
        <w:jc w:val="both"/>
        <w:ind w:firstLine="254"/>
        <w:spacing w:after="0" w:line="244" w:lineRule="auto"/>
        <w:rPr>
          <w:sz w:val="20"/>
          <w:szCs w:val="20"/>
          <w:color w:val="auto"/>
        </w:rPr>
      </w:pPr>
      <w:r>
        <w:rPr>
          <w:rFonts w:ascii="Arial" w:cs="Arial" w:eastAsia="Arial" w:hAnsi="Arial"/>
          <w:sz w:val="14"/>
          <w:szCs w:val="14"/>
          <w:color w:val="auto"/>
        </w:rPr>
        <w:t>Technology and software development costs consist of salaries and benefits for employees, including engineering and technical teams who are responsible for building new products, as well as maintaining and improving existing products. We capitalize certain costs associated with technology and software development in accordance with ACS 350-40, Intangibles – Goodwill and Other – Internal Use Software, but these are limited in quantum as we are constantly and regularly making enhancements to our technology platform and do not consider appropriate to be capitalized. Capitalized costs are generally amortized over a three-year period commencing on the date that the specific software product is placed in service. We believe that continued investment in our platform is important for our growth.</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General and Administrative Expenses</w:t>
      </w:r>
    </w:p>
    <w:p>
      <w:pPr>
        <w:spacing w:after="0" w:line="178"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color w:val="auto"/>
        </w:rPr>
        <w:t>General and administrative expenses consist primarily of payroll and related benefits costs for our employees involved in general corporate functions including finance, human resources and investor relations, as well as costs associated with the use by these functions of software and equipment. All rent, insurance and other occupancy costs are also included in general and administrative expenses as are professional and outside services related to legal, audit and other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5660" w:type="dxa"/>
            <w:vAlign w:val="bottom"/>
          </w:tcPr>
          <w:p>
            <w:pPr>
              <w:ind w:left="260"/>
              <w:spacing w:after="0"/>
              <w:rPr>
                <w:sz w:val="20"/>
                <w:szCs w:val="20"/>
                <w:color w:val="auto"/>
              </w:rPr>
            </w:pPr>
            <w:r>
              <w:rPr>
                <w:rFonts w:ascii="Arial" w:cs="Arial" w:eastAsia="Arial" w:hAnsi="Arial"/>
                <w:sz w:val="14"/>
                <w:szCs w:val="14"/>
                <w:b w:val="1"/>
                <w:bCs w:val="1"/>
                <w:color w:val="auto"/>
              </w:rPr>
              <w:t>Results of Operations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0"/>
        </w:trPr>
        <w:tc>
          <w:tcPr>
            <w:tcW w:w="7120" w:type="dxa"/>
            <w:vAlign w:val="bottom"/>
            <w:gridSpan w:val="4"/>
          </w:tcPr>
          <w:p>
            <w:pPr>
              <w:ind w:left="260"/>
              <w:spacing w:after="0"/>
              <w:rPr>
                <w:sz w:val="20"/>
                <w:szCs w:val="20"/>
                <w:color w:val="auto"/>
              </w:rPr>
            </w:pPr>
            <w:r>
              <w:rPr>
                <w:rFonts w:ascii="Arial" w:cs="Arial" w:eastAsia="Arial" w:hAnsi="Arial"/>
                <w:sz w:val="14"/>
                <w:szCs w:val="14"/>
                <w:b w:val="1"/>
                <w:bCs w:val="1"/>
                <w:i w:val="1"/>
                <w:iCs w:val="1"/>
                <w:color w:val="auto"/>
                <w:w w:val="92"/>
              </w:rPr>
              <w:t>Comparison of Three Months Ended September 30, 2022 compared to Three Months Ended September 30, 2021</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9"/>
        </w:trPr>
        <w:tc>
          <w:tcPr>
            <w:tcW w:w="5660" w:type="dxa"/>
            <w:vAlign w:val="bottom"/>
          </w:tcPr>
          <w:p>
            <w:pPr>
              <w:ind w:left="260"/>
              <w:spacing w:after="0"/>
              <w:rPr>
                <w:sz w:val="20"/>
                <w:szCs w:val="20"/>
                <w:color w:val="auto"/>
              </w:rPr>
            </w:pPr>
            <w:r>
              <w:rPr>
                <w:rFonts w:ascii="Arial" w:cs="Arial" w:eastAsia="Arial" w:hAnsi="Arial"/>
                <w:sz w:val="14"/>
                <w:szCs w:val="14"/>
                <w:color w:val="auto"/>
              </w:rPr>
              <w:t>The following tables set forth our results of operations for the periods indicated:</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2"/>
        </w:trPr>
        <w:tc>
          <w:tcPr>
            <w:tcW w:w="5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80"/>
        </w:trPr>
        <w:tc>
          <w:tcPr>
            <w:tcW w:w="5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760" w:type="dxa"/>
            <w:vAlign w:val="bottom"/>
            <w:gridSpan w:val="5"/>
            <w:shd w:val="clear" w:color="auto" w:fill="CCEEFF"/>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40" w:type="dxa"/>
            <w:vAlign w:val="bottom"/>
            <w:shd w:val="clear" w:color="auto" w:fill="CCEEFF"/>
          </w:tcPr>
          <w:p>
            <w:pPr>
              <w:spacing w:after="0"/>
              <w:rPr>
                <w:sz w:val="15"/>
                <w:szCs w:val="15"/>
                <w:color w:val="auto"/>
              </w:rPr>
            </w:pPr>
          </w:p>
        </w:tc>
      </w:tr>
      <w:tr>
        <w:trPr>
          <w:trHeight w:val="180"/>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Increase (decrease)</w:t>
            </w:r>
          </w:p>
        </w:tc>
        <w:tc>
          <w:tcPr>
            <w:tcW w:w="1240" w:type="dxa"/>
            <w:vAlign w:val="bottom"/>
          </w:tcPr>
          <w:p>
            <w:pPr>
              <w:jc w:val="right"/>
              <w:ind w:right="489"/>
              <w:spacing w:after="0"/>
              <w:rPr>
                <w:sz w:val="20"/>
                <w:szCs w:val="20"/>
                <w:color w:val="auto"/>
              </w:rPr>
            </w:pPr>
            <w:r>
              <w:rPr>
                <w:rFonts w:ascii="Arial" w:cs="Arial" w:eastAsia="Arial" w:hAnsi="Arial"/>
                <w:sz w:val="14"/>
                <w:szCs w:val="14"/>
                <w:b w:val="1"/>
                <w:bCs w:val="1"/>
                <w:color w:val="auto"/>
              </w:rPr>
              <w:t>%</w:t>
            </w:r>
          </w:p>
        </w:tc>
      </w:tr>
      <w:tr>
        <w:trPr>
          <w:trHeight w:val="150"/>
        </w:trPr>
        <w:tc>
          <w:tcPr>
            <w:tcW w:w="56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gridSpan w:val="2"/>
            <w:shd w:val="clear" w:color="auto" w:fill="CCEEFF"/>
          </w:tcPr>
          <w:p>
            <w:pPr>
              <w:ind w:left="160"/>
              <w:spacing w:after="0"/>
              <w:rPr>
                <w:sz w:val="20"/>
                <w:szCs w:val="20"/>
                <w:color w:val="auto"/>
              </w:rPr>
            </w:pPr>
            <w:r>
              <w:rPr>
                <w:rFonts w:ascii="Arial" w:cs="Arial" w:eastAsia="Arial" w:hAnsi="Arial"/>
                <w:sz w:val="11"/>
                <w:szCs w:val="11"/>
                <w:b w:val="1"/>
                <w:bCs w:val="1"/>
                <w:color w:val="auto"/>
              </w:rPr>
              <w:t>(in thousands)</w:t>
            </w:r>
          </w:p>
        </w:tc>
        <w:tc>
          <w:tcPr>
            <w:tcW w:w="4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r>
      <w:tr>
        <w:trPr>
          <w:trHeight w:val="180"/>
        </w:trPr>
        <w:tc>
          <w:tcPr>
            <w:tcW w:w="5660" w:type="dxa"/>
            <w:vAlign w:val="bottom"/>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7,456</w:t>
            </w:r>
          </w:p>
        </w:tc>
        <w:tc>
          <w:tcPr>
            <w:tcW w:w="16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6,121</w:t>
            </w:r>
          </w:p>
        </w:tc>
        <w:tc>
          <w:tcPr>
            <w:tcW w:w="16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1,335</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180"/>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1,912</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1,560</w:t>
            </w:r>
          </w:p>
        </w:tc>
        <w:tc>
          <w:tcPr>
            <w:tcW w:w="16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2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r>
      <w:tr>
        <w:trPr>
          <w:trHeight w:val="171"/>
        </w:trPr>
        <w:tc>
          <w:tcPr>
            <w:tcW w:w="5660" w:type="dxa"/>
            <w:vAlign w:val="bottom"/>
          </w:tcPr>
          <w:p>
            <w:pPr>
              <w:ind w:left="20"/>
              <w:spacing w:after="0" w:line="160" w:lineRule="exact"/>
              <w:rPr>
                <w:sz w:val="20"/>
                <w:szCs w:val="20"/>
                <w:color w:val="auto"/>
              </w:rPr>
            </w:pPr>
            <w:r>
              <w:rPr>
                <w:rFonts w:ascii="Arial" w:cs="Arial" w:eastAsia="Arial" w:hAnsi="Arial"/>
                <w:sz w:val="14"/>
                <w:szCs w:val="14"/>
                <w:color w:val="auto"/>
              </w:rPr>
              <w:t>Gross profit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5,544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4,561</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983</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180"/>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5660" w:type="dxa"/>
            <w:vAlign w:val="bottom"/>
          </w:tcPr>
          <w:p>
            <w:pPr>
              <w:ind w:left="100"/>
              <w:spacing w:after="0"/>
              <w:rPr>
                <w:sz w:val="20"/>
                <w:szCs w:val="20"/>
                <w:color w:val="auto"/>
              </w:rPr>
            </w:pPr>
            <w:r>
              <w:rPr>
                <w:rFonts w:ascii="Arial" w:cs="Arial" w:eastAsia="Arial" w:hAnsi="Arial"/>
                <w:sz w:val="14"/>
                <w:szCs w:val="14"/>
                <w:color w:val="auto"/>
              </w:rPr>
              <w:t>Selling, servicing and marketing</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3,075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2,570</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505</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180"/>
        </w:trPr>
        <w:tc>
          <w:tcPr>
            <w:tcW w:w="5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Technology and software development</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2,811</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1,916</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r>
      <w:tr>
        <w:trPr>
          <w:trHeight w:val="180"/>
        </w:trPr>
        <w:tc>
          <w:tcPr>
            <w:tcW w:w="56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3,215</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1,510</w:t>
            </w:r>
          </w:p>
        </w:tc>
        <w:tc>
          <w:tcPr>
            <w:tcW w:w="1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1,705</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113 %</w:t>
            </w:r>
          </w:p>
        </w:tc>
      </w:tr>
      <w:tr>
        <w:trPr>
          <w:trHeight w:val="171"/>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9,101</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5,996</w:t>
            </w:r>
          </w:p>
        </w:tc>
        <w:tc>
          <w:tcPr>
            <w:tcW w:w="1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3,105</w:t>
            </w:r>
          </w:p>
        </w:tc>
        <w:tc>
          <w:tcPr>
            <w:tcW w:w="12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52 %</w:t>
            </w:r>
          </w:p>
        </w:tc>
      </w:tr>
      <w:tr>
        <w:trPr>
          <w:trHeight w:val="171"/>
        </w:trPr>
        <w:tc>
          <w:tcPr>
            <w:tcW w:w="5660" w:type="dxa"/>
            <w:vAlign w:val="bottom"/>
          </w:tcPr>
          <w:p>
            <w:pPr>
              <w:ind w:left="20"/>
              <w:spacing w:after="0" w:line="160" w:lineRule="exact"/>
              <w:rPr>
                <w:sz w:val="20"/>
                <w:szCs w:val="20"/>
                <w:color w:val="auto"/>
              </w:rPr>
            </w:pPr>
            <w:r>
              <w:rPr>
                <w:rFonts w:ascii="Arial" w:cs="Arial" w:eastAsia="Arial" w:hAnsi="Arial"/>
                <w:sz w:val="14"/>
                <w:szCs w:val="14"/>
                <w:color w:val="auto"/>
              </w:rPr>
              <w:t>Loss from operations</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(3,557)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(1,435)</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(2,122)</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148 %</w:t>
            </w:r>
          </w:p>
        </w:tc>
      </w:tr>
      <w:tr>
        <w:trPr>
          <w:trHeight w:val="180"/>
        </w:trPr>
        <w:tc>
          <w:tcPr>
            <w:tcW w:w="5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income</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0"/>
        </w:trPr>
        <w:tc>
          <w:tcPr>
            <w:tcW w:w="5660" w:type="dxa"/>
            <w:vAlign w:val="bottom"/>
          </w:tcPr>
          <w:p>
            <w:pPr>
              <w:ind w:left="10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80"/>
        </w:trPr>
        <w:tc>
          <w:tcPr>
            <w:tcW w:w="5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Forgiveness of PPP Loan</w:t>
            </w: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0"/>
        </w:trPr>
        <w:tc>
          <w:tcPr>
            <w:tcW w:w="5660" w:type="dxa"/>
            <w:vAlign w:val="bottom"/>
          </w:tcPr>
          <w:p>
            <w:pPr>
              <w:ind w:left="100"/>
              <w:spacing w:after="0"/>
              <w:rPr>
                <w:sz w:val="20"/>
                <w:szCs w:val="20"/>
                <w:color w:val="auto"/>
              </w:rPr>
            </w:pPr>
            <w:r>
              <w:rPr>
                <w:rFonts w:ascii="Arial" w:cs="Arial" w:eastAsia="Arial" w:hAnsi="Arial"/>
                <w:sz w:val="14"/>
                <w:szCs w:val="14"/>
                <w:color w:val="auto"/>
              </w:rPr>
              <w:t>Change in fair value of warrants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71"/>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taxes</w:t>
            </w: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(3,059)</w:t>
            </w:r>
          </w:p>
        </w:tc>
        <w:tc>
          <w:tcPr>
            <w:tcW w:w="1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1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(2,401)</w:t>
            </w: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365 %</w:t>
            </w:r>
          </w:p>
        </w:tc>
      </w:tr>
      <w:tr>
        <w:trPr>
          <w:trHeight w:val="180"/>
        </w:trPr>
        <w:tc>
          <w:tcPr>
            <w:tcW w:w="5660" w:type="dxa"/>
            <w:vAlign w:val="bottom"/>
          </w:tcPr>
          <w:p>
            <w:pPr>
              <w:ind w:left="100"/>
              <w:spacing w:after="0"/>
              <w:rPr>
                <w:sz w:val="20"/>
                <w:szCs w:val="20"/>
                <w:color w:val="auto"/>
              </w:rPr>
            </w:pPr>
            <w:r>
              <w:rPr>
                <w:rFonts w:ascii="Arial" w:cs="Arial" w:eastAsia="Arial" w:hAnsi="Arial"/>
                <w:sz w:val="14"/>
                <w:szCs w:val="14"/>
                <w:color w:val="auto"/>
              </w:rPr>
              <w:t>Provision for income taxes</w:t>
            </w:r>
          </w:p>
        </w:tc>
        <w:tc>
          <w:tcPr>
            <w:tcW w:w="300" w:type="dxa"/>
            <w:vAlign w:val="bottom"/>
          </w:tcPr>
          <w:p>
            <w:pPr>
              <w:spacing w:after="0"/>
              <w:rPr>
                <w:sz w:val="15"/>
                <w:szCs w:val="15"/>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color w:val="auto"/>
              </w:rPr>
              <w:t>—</w:t>
            </w:r>
          </w:p>
        </w:tc>
      </w:tr>
      <w:tr>
        <w:trPr>
          <w:trHeight w:val="196"/>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after taxes</w:t>
            </w: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(3,059)</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260"/>
        <w:spacing w:after="0"/>
        <w:rPr>
          <w:sz w:val="20"/>
          <w:szCs w:val="20"/>
          <w:color w:val="auto"/>
        </w:rPr>
      </w:pPr>
      <w:r>
        <w:rPr>
          <w:rFonts w:ascii="Arial" w:cs="Arial" w:eastAsia="Arial" w:hAnsi="Arial"/>
          <w:sz w:val="11"/>
          <w:szCs w:val="11"/>
          <w:color w:val="auto"/>
        </w:rPr>
        <w:t>nm-not meaningful</w:t>
      </w:r>
    </w:p>
    <w:p>
      <w:pPr>
        <w:spacing w:after="0" w:line="7" w:lineRule="exact"/>
        <w:rPr>
          <w:sz w:val="20"/>
          <w:szCs w:val="20"/>
          <w:color w:val="auto"/>
        </w:rPr>
      </w:pPr>
    </w:p>
    <w:p>
      <w:pPr>
        <w:jc w:val="both"/>
        <w:ind w:firstLine="254"/>
        <w:spacing w:after="0" w:line="239" w:lineRule="auto"/>
        <w:rPr>
          <w:sz w:val="20"/>
          <w:szCs w:val="20"/>
          <w:color w:val="auto"/>
        </w:rPr>
      </w:pPr>
      <w:r>
        <w:rPr>
          <w:rFonts w:ascii="Arial" w:cs="Arial" w:eastAsia="Arial" w:hAnsi="Arial"/>
          <w:sz w:val="14"/>
          <w:szCs w:val="14"/>
          <w:i w:val="1"/>
          <w:iCs w:val="1"/>
          <w:color w:val="auto"/>
        </w:rPr>
        <w:t>Revenues</w:t>
      </w:r>
      <w:r>
        <w:rPr>
          <w:rFonts w:ascii="Arial" w:cs="Arial" w:eastAsia="Arial" w:hAnsi="Arial"/>
          <w:sz w:val="14"/>
          <w:szCs w:val="14"/>
          <w:color w:val="auto"/>
        </w:rPr>
        <w:t>. Revenues increased $1.3 million for the three months ended September 30, 2022, representing a 22% increase compared with the same period in 2021. Our subscription revenue was</w:t>
      </w:r>
      <w:r>
        <w:rPr>
          <w:rFonts w:ascii="Arial" w:cs="Arial" w:eastAsia="Arial" w:hAnsi="Arial"/>
          <w:sz w:val="14"/>
          <w:szCs w:val="14"/>
          <w:i w:val="1"/>
          <w:iCs w:val="1"/>
          <w:color w:val="auto"/>
        </w:rPr>
        <w:t xml:space="preserve"> </w:t>
      </w:r>
      <w:r>
        <w:rPr>
          <w:rFonts w:ascii="Arial" w:cs="Arial" w:eastAsia="Arial" w:hAnsi="Arial"/>
          <w:sz w:val="14"/>
          <w:szCs w:val="14"/>
          <w:color w:val="auto"/>
        </w:rPr>
        <w:t>$5.4 million for the three months ended September 30, 2022 compared with $3.6 million in the same quarter in 2021, representing 48% year over year growth. The excess use revenue declined by 24% year over year due to the weaker economy and the fact that some excess use revenue in the comparable prior period had converted into recurring subscription revenues due to clients upgrading their subscriptions. Our revenue from Brands clients increased by 61% year over year and was $267,000 in the three months ended September 30, 2022, as compared to $166,000 for the three months ended September 30, 2021.</w:t>
      </w:r>
    </w:p>
    <w:p>
      <w:pPr>
        <w:spacing w:after="0" w:line="172"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The Company's net revenue retention rate was 119% for the three months ended September 30, 2022, an increase from our net revenue retention rate of 85% for the same period in 2021, with the ratio continuing to exceed our target of 100% as a result of subscription upgrades and growth exceeding the value of lost and downgraded subscriptions.</w:t>
      </w:r>
    </w:p>
    <w:p>
      <w:pPr>
        <w:spacing w:after="0" w:line="143" w:lineRule="exact"/>
        <w:rPr>
          <w:sz w:val="20"/>
          <w:szCs w:val="20"/>
          <w:color w:val="auto"/>
        </w:rPr>
      </w:pPr>
    </w:p>
    <w:p>
      <w:pPr>
        <w:jc w:val="both"/>
        <w:ind w:firstLine="254"/>
        <w:spacing w:after="0" w:line="244" w:lineRule="auto"/>
        <w:rPr>
          <w:sz w:val="20"/>
          <w:szCs w:val="20"/>
          <w:color w:val="auto"/>
        </w:rPr>
      </w:pPr>
      <w:r>
        <w:rPr>
          <w:rFonts w:ascii="Arial" w:cs="Arial" w:eastAsia="Arial" w:hAnsi="Arial"/>
          <w:sz w:val="14"/>
          <w:szCs w:val="14"/>
          <w:i w:val="1"/>
          <w:iCs w:val="1"/>
          <w:color w:val="auto"/>
        </w:rPr>
        <w:t>Gross Profit</w:t>
      </w:r>
      <w:r>
        <w:rPr>
          <w:rFonts w:ascii="Arial" w:cs="Arial" w:eastAsia="Arial" w:hAnsi="Arial"/>
          <w:sz w:val="14"/>
          <w:szCs w:val="14"/>
          <w:color w:val="auto"/>
        </w:rPr>
        <w:t>. Gross profit increased to $5.5 million for the three months ended September 30, 2022 from $4.6 million for the three months ended September 30, 2021, representing a 22%</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 The cost of revenue increased by $0.4 million, representing a 23% increase over the three months ended September 30, 2021. The increase was primarily due to the increasing volume of communication messages distributed by clients, with a total of approximately 586 million messages in the quarter ending September 30, 2022, which constitutes an increase of 101 million messages, or 17% higher than in the same period last year. Our gross margin percentage remains reasonably consistent at 74.5% for the quarter ended September 30, 2022 as compared to 74.4% for the same period in 2021.</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Operating Expenses</w:t>
      </w:r>
      <w:r>
        <w:rPr>
          <w:rFonts w:ascii="Arial" w:cs="Arial" w:eastAsia="Arial" w:hAnsi="Arial"/>
          <w:sz w:val="14"/>
          <w:szCs w:val="14"/>
          <w:color w:val="auto"/>
        </w:rPr>
        <w:t>. Our operating expenses increased by $3.1 million, or 52%, for the three months ended September 30, 2022 compared with the same period in 2021.</w:t>
      </w:r>
    </w:p>
    <w:p>
      <w:pPr>
        <w:spacing w:after="0" w:line="189"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Selling, servicing and marketing expenses increased by $0.5 million, or 20%, for the quarter ended September 30, 2022, compared to the same period in 2021. As we continue to scale the business, we have continued to increase the scale of our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8" w:right="319" w:bottom="1440" w:gutter="0" w:footer="0" w:header="0"/>
        </w:sectPr>
      </w:pPr>
    </w:p>
    <w:bookmarkStart w:id="34" w:name="page35"/>
    <w:bookmarkEnd w:id="34"/>
    <w:p>
      <w:pPr>
        <w:jc w:val="both"/>
        <w:spacing w:after="0" w:line="265" w:lineRule="auto"/>
        <w:rPr>
          <w:sz w:val="20"/>
          <w:szCs w:val="20"/>
          <w:color w:val="auto"/>
        </w:rPr>
      </w:pPr>
      <w:r>
        <w:rPr>
          <w:rFonts w:ascii="Arial" w:cs="Arial" w:eastAsia="Arial" w:hAnsi="Arial"/>
          <w:sz w:val="14"/>
          <w:szCs w:val="14"/>
          <w:color w:val="auto"/>
        </w:rPr>
        <w:t>sales, service and marketing operations, and in particular grew the number of employees in our Toronto office and in our client support organization when comparing the quarter ending September 30, 2022 with the same three months in the prior year.</w:t>
      </w:r>
    </w:p>
    <w:p>
      <w:pPr>
        <w:spacing w:after="0" w:line="143" w:lineRule="exact"/>
        <w:rPr>
          <w:sz w:val="20"/>
          <w:szCs w:val="20"/>
          <w:color w:val="auto"/>
        </w:rPr>
      </w:pPr>
    </w:p>
    <w:p>
      <w:pPr>
        <w:jc w:val="both"/>
        <w:ind w:firstLine="254"/>
        <w:spacing w:after="0" w:line="304" w:lineRule="auto"/>
        <w:rPr>
          <w:sz w:val="20"/>
          <w:szCs w:val="20"/>
          <w:color w:val="auto"/>
        </w:rPr>
      </w:pPr>
      <w:r>
        <w:rPr>
          <w:rFonts w:ascii="Arial" w:cs="Arial" w:eastAsia="Arial" w:hAnsi="Arial"/>
          <w:sz w:val="13"/>
          <w:szCs w:val="13"/>
          <w:color w:val="auto"/>
        </w:rPr>
        <w:t>Technology and software development expenses increased by $0.9 million, or 47%, for the quarter ended September 30, 2022, compared to the same period in 2021, with the increase being attributable to higher headcount primarily through using offshore contract engineering resources to enable an acceleration in the pace of developing and enhancing our software platform.</w:t>
      </w:r>
    </w:p>
    <w:p>
      <w:pPr>
        <w:spacing w:after="0" w:line="130" w:lineRule="exact"/>
        <w:rPr>
          <w:sz w:val="20"/>
          <w:szCs w:val="20"/>
          <w:color w:val="auto"/>
        </w:rPr>
      </w:pPr>
    </w:p>
    <w:p>
      <w:pPr>
        <w:jc w:val="both"/>
        <w:ind w:firstLine="254"/>
        <w:spacing w:after="0" w:line="246" w:lineRule="auto"/>
        <w:rPr>
          <w:sz w:val="20"/>
          <w:szCs w:val="20"/>
          <w:color w:val="auto"/>
        </w:rPr>
      </w:pPr>
      <w:r>
        <w:rPr>
          <w:rFonts w:ascii="Arial" w:cs="Arial" w:eastAsia="Arial" w:hAnsi="Arial"/>
          <w:sz w:val="14"/>
          <w:szCs w:val="14"/>
          <w:color w:val="auto"/>
        </w:rPr>
        <w:t>General and administrative expenses increased by $1.7 million, or 115%, for the quarter ended September 30, 2022, compared to the same period in 2021 due to additional rent expense, including the expansion of our office in Toronto, higher personnel-related costs as we increased headcount, and additional expenses related to preparing for and becoming a publicly listed company, specifically relating to legal, accounting and auditing fees, and directors’ and officers’ liability insurance premiums. We incurred expenses related to being a publicly listed company of approximately $1.2 million for the three months ended September 30, 2022.</w:t>
      </w:r>
    </w:p>
    <w:p>
      <w:pPr>
        <w:spacing w:after="0" w:line="167"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i w:val="1"/>
          <w:iCs w:val="1"/>
          <w:color w:val="auto"/>
        </w:rPr>
        <w:t>Interest Expense</w:t>
      </w:r>
      <w:r>
        <w:rPr>
          <w:rFonts w:ascii="Arial" w:cs="Arial" w:eastAsia="Arial" w:hAnsi="Arial"/>
          <w:sz w:val="14"/>
          <w:szCs w:val="14"/>
          <w:color w:val="auto"/>
        </w:rPr>
        <w:t>. Interest expense was $0.3 million for the quarter ended September 30, 2022 due to interest payable on the 6.0% Convertible Notes issued in connection with the merger</w:t>
      </w:r>
      <w:r>
        <w:rPr>
          <w:rFonts w:ascii="Arial" w:cs="Arial" w:eastAsia="Arial" w:hAnsi="Arial"/>
          <w:sz w:val="14"/>
          <w:szCs w:val="14"/>
          <w:i w:val="1"/>
          <w:iCs w:val="1"/>
          <w:color w:val="auto"/>
        </w:rPr>
        <w:t xml:space="preserve"> </w:t>
      </w:r>
      <w:r>
        <w:rPr>
          <w:rFonts w:ascii="Arial" w:cs="Arial" w:eastAsia="Arial" w:hAnsi="Arial"/>
          <w:sz w:val="14"/>
          <w:szCs w:val="14"/>
          <w:color w:val="auto"/>
        </w:rPr>
        <w:t>completed on June 14, 2022.</w:t>
      </w:r>
    </w:p>
    <w:p>
      <w:pPr>
        <w:spacing w:after="0" w:line="153" w:lineRule="exact"/>
        <w:rPr>
          <w:sz w:val="20"/>
          <w:szCs w:val="20"/>
          <w:color w:val="auto"/>
        </w:rPr>
      </w:pPr>
    </w:p>
    <w:p>
      <w:pPr>
        <w:jc w:val="both"/>
        <w:ind w:firstLine="254"/>
        <w:spacing w:after="0" w:line="279" w:lineRule="auto"/>
        <w:rPr>
          <w:sz w:val="20"/>
          <w:szCs w:val="20"/>
          <w:color w:val="auto"/>
        </w:rPr>
      </w:pPr>
      <w:r>
        <w:rPr>
          <w:rFonts w:ascii="Arial" w:cs="Arial" w:eastAsia="Arial" w:hAnsi="Arial"/>
          <w:sz w:val="13"/>
          <w:szCs w:val="13"/>
          <w:i w:val="1"/>
          <w:iCs w:val="1"/>
          <w:color w:val="auto"/>
        </w:rPr>
        <w:t>Change in fair value of warrants</w:t>
      </w:r>
      <w:r>
        <w:rPr>
          <w:rFonts w:ascii="Arial" w:cs="Arial" w:eastAsia="Arial" w:hAnsi="Arial"/>
          <w:sz w:val="13"/>
          <w:szCs w:val="13"/>
          <w:color w:val="auto"/>
        </w:rPr>
        <w:t>. The liability relating to warrants issued by SpringBig is included on the balance sheet at the fair value prevailing at the end of the accounting period and any</w:t>
      </w:r>
      <w:r>
        <w:rPr>
          <w:rFonts w:ascii="Arial" w:cs="Arial" w:eastAsia="Arial" w:hAnsi="Arial"/>
          <w:sz w:val="13"/>
          <w:szCs w:val="13"/>
          <w:i w:val="1"/>
          <w:iCs w:val="1"/>
          <w:color w:val="auto"/>
        </w:rPr>
        <w:t xml:space="preserve"> </w:t>
      </w:r>
      <w:r>
        <w:rPr>
          <w:rFonts w:ascii="Arial" w:cs="Arial" w:eastAsia="Arial" w:hAnsi="Arial"/>
          <w:sz w:val="13"/>
          <w:szCs w:val="13"/>
          <w:color w:val="auto"/>
        </w:rPr>
        <w:t>change in value is reported in the income statement. As at September 30, 2022, the market value of the public warrants, which are listed on the Nasdaq stock exchange was $0.0503 per warrant compared with $0.1012 at June 30, 2022. The reduction in and the resulting change in value since the the quarter ending June 30, 2022 was $0.8 million.</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Comparison of Nine Months Ended September 30, 2022 and Nine Months Ended September 30,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ind w:left="260"/>
              <w:spacing w:after="0"/>
              <w:rPr>
                <w:sz w:val="20"/>
                <w:szCs w:val="20"/>
                <w:color w:val="auto"/>
              </w:rPr>
            </w:pPr>
            <w:r>
              <w:rPr>
                <w:rFonts w:ascii="Arial" w:cs="Arial" w:eastAsia="Arial" w:hAnsi="Arial"/>
                <w:sz w:val="14"/>
                <w:szCs w:val="14"/>
                <w:color w:val="auto"/>
              </w:rPr>
              <w:t>The following tables set forth our results of operations for the periods indicated:</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566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740" w:type="dxa"/>
            <w:vAlign w:val="bottom"/>
            <w:tcBorders>
              <w:bottom w:val="single" w:sz="8" w:color="auto"/>
            </w:tcBorders>
            <w:gridSpan w:val="5"/>
            <w:shd w:val="clear" w:color="auto" w:fill="CCEEFF"/>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1240" w:type="dxa"/>
            <w:vAlign w:val="bottom"/>
            <w:tcBorders>
              <w:bottom w:val="single" w:sz="8" w:color="auto"/>
            </w:tcBorders>
            <w:shd w:val="clear" w:color="auto" w:fill="CCEEFF"/>
          </w:tcPr>
          <w:p>
            <w:pPr>
              <w:spacing w:after="0"/>
              <w:rPr>
                <w:sz w:val="16"/>
                <w:szCs w:val="16"/>
                <w:color w:val="auto"/>
              </w:rPr>
            </w:pPr>
          </w:p>
        </w:tc>
      </w:tr>
      <w:tr>
        <w:trPr>
          <w:trHeight w:val="171"/>
        </w:trPr>
        <w:tc>
          <w:tcPr>
            <w:tcW w:w="56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Increase (decrease)</w:t>
            </w:r>
          </w:p>
        </w:tc>
        <w:tc>
          <w:tcPr>
            <w:tcW w:w="1240" w:type="dxa"/>
            <w:vAlign w:val="bottom"/>
          </w:tcPr>
          <w:p>
            <w:pPr>
              <w:jc w:val="right"/>
              <w:ind w:right="489"/>
              <w:spacing w:after="0"/>
              <w:rPr>
                <w:sz w:val="20"/>
                <w:szCs w:val="20"/>
                <w:color w:val="auto"/>
              </w:rPr>
            </w:pPr>
            <w:r>
              <w:rPr>
                <w:rFonts w:ascii="Arial" w:cs="Arial" w:eastAsia="Arial" w:hAnsi="Arial"/>
                <w:sz w:val="14"/>
                <w:szCs w:val="14"/>
                <w:b w:val="1"/>
                <w:bCs w:val="1"/>
                <w:color w:val="auto"/>
              </w:rPr>
              <w:t>%</w:t>
            </w:r>
          </w:p>
        </w:tc>
      </w:tr>
      <w:tr>
        <w:trPr>
          <w:trHeight w:val="150"/>
        </w:trPr>
        <w:tc>
          <w:tcPr>
            <w:tcW w:w="56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1"/>
                <w:szCs w:val="11"/>
                <w:b w:val="1"/>
                <w:bCs w:val="1"/>
                <w:color w:val="auto"/>
              </w:rPr>
              <w:t>(in thousands)</w:t>
            </w:r>
          </w:p>
        </w:tc>
        <w:tc>
          <w:tcPr>
            <w:tcW w:w="4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r>
      <w:tr>
        <w:trPr>
          <w:trHeight w:val="180"/>
        </w:trPr>
        <w:tc>
          <w:tcPr>
            <w:tcW w:w="5660" w:type="dxa"/>
            <w:vAlign w:val="bottom"/>
          </w:tcPr>
          <w:p>
            <w:pPr>
              <w:ind w:left="20"/>
              <w:spacing w:after="0"/>
              <w:rPr>
                <w:sz w:val="20"/>
                <w:szCs w:val="20"/>
                <w:color w:val="auto"/>
              </w:rPr>
            </w:pPr>
            <w:r>
              <w:rPr>
                <w:rFonts w:ascii="Arial" w:cs="Arial" w:eastAsia="Arial" w:hAnsi="Arial"/>
                <w:sz w:val="14"/>
                <w:szCs w:val="14"/>
                <w:color w:val="auto"/>
              </w:rPr>
              <w:t>Revenue</w:t>
            </w:r>
          </w:p>
        </w:tc>
        <w:tc>
          <w:tcPr>
            <w:tcW w:w="800" w:type="dxa"/>
            <w:vAlign w:val="bottom"/>
          </w:tcPr>
          <w:p>
            <w:pPr>
              <w:jc w:val="right"/>
              <w:ind w:right="629"/>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20,404</w:t>
            </w:r>
          </w:p>
        </w:tc>
        <w:tc>
          <w:tcPr>
            <w:tcW w:w="16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17,028</w:t>
            </w:r>
          </w:p>
        </w:tc>
        <w:tc>
          <w:tcPr>
            <w:tcW w:w="16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3,376</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180"/>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8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5,754</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4,913</w:t>
            </w:r>
          </w:p>
        </w:tc>
        <w:tc>
          <w:tcPr>
            <w:tcW w:w="1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12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r>
      <w:tr>
        <w:trPr>
          <w:trHeight w:val="171"/>
        </w:trPr>
        <w:tc>
          <w:tcPr>
            <w:tcW w:w="5660" w:type="dxa"/>
            <w:vAlign w:val="bottom"/>
          </w:tcPr>
          <w:p>
            <w:pPr>
              <w:ind w:left="20"/>
              <w:spacing w:after="0" w:line="160" w:lineRule="exact"/>
              <w:rPr>
                <w:sz w:val="20"/>
                <w:szCs w:val="20"/>
                <w:color w:val="auto"/>
              </w:rPr>
            </w:pPr>
            <w:r>
              <w:rPr>
                <w:rFonts w:ascii="Arial" w:cs="Arial" w:eastAsia="Arial" w:hAnsi="Arial"/>
                <w:sz w:val="14"/>
                <w:szCs w:val="14"/>
                <w:color w:val="auto"/>
              </w:rPr>
              <w:t>Gross profit</w:t>
            </w: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14,650</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12,115</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2,535</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21 %</w:t>
            </w:r>
          </w:p>
        </w:tc>
      </w:tr>
      <w:tr>
        <w:trPr>
          <w:trHeight w:val="180"/>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5660" w:type="dxa"/>
            <w:vAlign w:val="bottom"/>
          </w:tcPr>
          <w:p>
            <w:pPr>
              <w:ind w:left="100"/>
              <w:spacing w:after="0"/>
              <w:rPr>
                <w:sz w:val="20"/>
                <w:szCs w:val="20"/>
                <w:color w:val="auto"/>
              </w:rPr>
            </w:pPr>
            <w:r>
              <w:rPr>
                <w:rFonts w:ascii="Arial" w:cs="Arial" w:eastAsia="Arial" w:hAnsi="Arial"/>
                <w:sz w:val="14"/>
                <w:szCs w:val="14"/>
                <w:color w:val="auto"/>
              </w:rPr>
              <w:t>Selling, servicing and marketing</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9,103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6,993</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2,110</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30 %</w:t>
            </w:r>
          </w:p>
        </w:tc>
      </w:tr>
      <w:tr>
        <w:trPr>
          <w:trHeight w:val="180"/>
        </w:trPr>
        <w:tc>
          <w:tcPr>
            <w:tcW w:w="5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Technology and software development</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8,358</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4,747</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3,611</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76 %</w:t>
            </w:r>
          </w:p>
        </w:tc>
      </w:tr>
      <w:tr>
        <w:trPr>
          <w:trHeight w:val="180"/>
        </w:trPr>
        <w:tc>
          <w:tcPr>
            <w:tcW w:w="56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General and administrative</w:t>
            </w: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8,790</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4,383</w:t>
            </w: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4,407</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101 %</w:t>
            </w:r>
          </w:p>
        </w:tc>
      </w:tr>
      <w:tr>
        <w:trPr>
          <w:trHeight w:val="171"/>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26,251</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16,123</w:t>
            </w:r>
          </w:p>
        </w:tc>
        <w:tc>
          <w:tcPr>
            <w:tcW w:w="16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10,128</w:t>
            </w:r>
          </w:p>
        </w:tc>
        <w:tc>
          <w:tcPr>
            <w:tcW w:w="120" w:type="dxa"/>
            <w:vAlign w:val="bottom"/>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63 %</w:t>
            </w:r>
          </w:p>
        </w:tc>
      </w:tr>
      <w:tr>
        <w:trPr>
          <w:trHeight w:val="171"/>
        </w:trPr>
        <w:tc>
          <w:tcPr>
            <w:tcW w:w="5660" w:type="dxa"/>
            <w:vAlign w:val="bottom"/>
          </w:tcPr>
          <w:p>
            <w:pPr>
              <w:ind w:left="20"/>
              <w:spacing w:after="0" w:line="160" w:lineRule="exact"/>
              <w:rPr>
                <w:sz w:val="20"/>
                <w:szCs w:val="20"/>
                <w:color w:val="auto"/>
              </w:rPr>
            </w:pPr>
            <w:r>
              <w:rPr>
                <w:rFonts w:ascii="Arial" w:cs="Arial" w:eastAsia="Arial" w:hAnsi="Arial"/>
                <w:sz w:val="14"/>
                <w:szCs w:val="14"/>
                <w:color w:val="auto"/>
              </w:rPr>
              <w:t>Loss from operations</w:t>
            </w: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88"/>
              </w:rPr>
              <w:t>(11,601)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(4,008)</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(7,593)</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189 %</w:t>
            </w:r>
          </w:p>
        </w:tc>
      </w:tr>
      <w:tr>
        <w:trPr>
          <w:trHeight w:val="180"/>
        </w:trPr>
        <w:tc>
          <w:tcPr>
            <w:tcW w:w="5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income</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0"/>
        </w:trPr>
        <w:tc>
          <w:tcPr>
            <w:tcW w:w="5660" w:type="dxa"/>
            <w:vAlign w:val="bottom"/>
          </w:tcPr>
          <w:p>
            <w:pPr>
              <w:ind w:left="100"/>
              <w:spacing w:after="0"/>
              <w:rPr>
                <w:sz w:val="20"/>
                <w:szCs w:val="20"/>
                <w:color w:val="auto"/>
              </w:rPr>
            </w:pPr>
            <w:r>
              <w:rPr>
                <w:rFonts w:ascii="Arial" w:cs="Arial" w:eastAsia="Arial" w:hAnsi="Arial"/>
                <w:sz w:val="14"/>
                <w:szCs w:val="14"/>
                <w:color w:val="auto"/>
              </w:rPr>
              <w:t>Interest expense</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(632)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80"/>
        </w:trPr>
        <w:tc>
          <w:tcPr>
            <w:tcW w:w="5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Forgiveness of PPP loan</w:t>
            </w:r>
          </w:p>
        </w:tc>
        <w:tc>
          <w:tcPr>
            <w:tcW w:w="8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0"/>
        </w:trPr>
        <w:tc>
          <w:tcPr>
            <w:tcW w:w="5660" w:type="dxa"/>
            <w:vAlign w:val="bottom"/>
          </w:tcPr>
          <w:p>
            <w:pPr>
              <w:ind w:left="100"/>
              <w:spacing w:after="0"/>
              <w:rPr>
                <w:sz w:val="20"/>
                <w:szCs w:val="20"/>
                <w:color w:val="auto"/>
              </w:rPr>
            </w:pPr>
            <w:r>
              <w:rPr>
                <w:rFonts w:ascii="Arial" w:cs="Arial" w:eastAsia="Arial" w:hAnsi="Arial"/>
                <w:sz w:val="14"/>
                <w:szCs w:val="14"/>
                <w:color w:val="auto"/>
              </w:rPr>
              <w:t>Change in fair value of warrants</w:t>
            </w:r>
          </w:p>
        </w:tc>
        <w:tc>
          <w:tcPr>
            <w:tcW w:w="8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3,691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3,691</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71"/>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taxes</w:t>
            </w:r>
          </w:p>
        </w:tc>
        <w:tc>
          <w:tcPr>
            <w:tcW w:w="8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(8,535)</w:t>
            </w: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(3,230)</w:t>
            </w:r>
          </w:p>
        </w:tc>
        <w:tc>
          <w:tcPr>
            <w:tcW w:w="1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(5,305)</w:t>
            </w:r>
          </w:p>
        </w:tc>
        <w:tc>
          <w:tcPr>
            <w:tcW w:w="12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164 %</w:t>
            </w:r>
          </w:p>
        </w:tc>
      </w:tr>
      <w:tr>
        <w:trPr>
          <w:trHeight w:val="180"/>
        </w:trPr>
        <w:tc>
          <w:tcPr>
            <w:tcW w:w="5660" w:type="dxa"/>
            <w:vAlign w:val="bottom"/>
          </w:tcPr>
          <w:p>
            <w:pPr>
              <w:ind w:left="100"/>
              <w:spacing w:after="0"/>
              <w:rPr>
                <w:sz w:val="20"/>
                <w:szCs w:val="20"/>
                <w:color w:val="auto"/>
              </w:rPr>
            </w:pPr>
            <w:r>
              <w:rPr>
                <w:rFonts w:ascii="Arial" w:cs="Arial" w:eastAsia="Arial" w:hAnsi="Arial"/>
                <w:sz w:val="14"/>
                <w:szCs w:val="14"/>
                <w:color w:val="auto"/>
              </w:rPr>
              <w:t>Provision for income taxes</w:t>
            </w:r>
          </w:p>
        </w:tc>
        <w:tc>
          <w:tcPr>
            <w:tcW w:w="80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09"/>
              <w:spacing w:after="0"/>
              <w:rPr>
                <w:sz w:val="20"/>
                <w:szCs w:val="20"/>
                <w:color w:val="auto"/>
              </w:rPr>
            </w:pPr>
            <w:r>
              <w:rPr>
                <w:rFonts w:ascii="Arial" w:cs="Arial" w:eastAsia="Arial" w:hAnsi="Arial"/>
                <w:sz w:val="14"/>
                <w:szCs w:val="14"/>
                <w:color w:val="auto"/>
              </w:rPr>
              <w:t>—</w:t>
            </w:r>
          </w:p>
        </w:tc>
      </w:tr>
      <w:tr>
        <w:trPr>
          <w:trHeight w:val="196"/>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after taxes</w:t>
            </w:r>
          </w:p>
        </w:tc>
        <w:tc>
          <w:tcPr>
            <w:tcW w:w="800" w:type="dxa"/>
            <w:vAlign w:val="bottom"/>
            <w:tcBorders>
              <w:top w:val="single" w:sz="8" w:color="auto"/>
              <w:bottom w:val="single" w:sz="8" w:color="auto"/>
            </w:tcBorders>
            <w:shd w:val="clear" w:color="auto" w:fill="CCEEFF"/>
          </w:tcPr>
          <w:p>
            <w:pPr>
              <w:jc w:val="right"/>
              <w:ind w:right="629"/>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(8,535)</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(3,230)</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1"/>
          <w:szCs w:val="11"/>
          <w:color w:val="auto"/>
        </w:rPr>
        <w:t>nm - not meaningful</w:t>
      </w:r>
    </w:p>
    <w:p>
      <w:pPr>
        <w:spacing w:after="0" w:line="185" w:lineRule="exact"/>
        <w:rPr>
          <w:sz w:val="20"/>
          <w:szCs w:val="20"/>
          <w:color w:val="auto"/>
        </w:rPr>
      </w:pPr>
    </w:p>
    <w:p>
      <w:pPr>
        <w:jc w:val="both"/>
        <w:ind w:firstLine="254"/>
        <w:spacing w:after="0" w:line="246" w:lineRule="auto"/>
        <w:rPr>
          <w:sz w:val="20"/>
          <w:szCs w:val="20"/>
          <w:color w:val="auto"/>
        </w:rPr>
      </w:pPr>
      <w:r>
        <w:rPr>
          <w:rFonts w:ascii="Arial" w:cs="Arial" w:eastAsia="Arial" w:hAnsi="Arial"/>
          <w:sz w:val="14"/>
          <w:szCs w:val="14"/>
          <w:i w:val="1"/>
          <w:iCs w:val="1"/>
          <w:color w:val="auto"/>
        </w:rPr>
        <w:t>Revenues</w:t>
      </w:r>
      <w:r>
        <w:rPr>
          <w:rFonts w:ascii="Arial" w:cs="Arial" w:eastAsia="Arial" w:hAnsi="Arial"/>
          <w:sz w:val="14"/>
          <w:szCs w:val="14"/>
          <w:color w:val="auto"/>
        </w:rPr>
        <w:t>. Revenues increased by $3.4 million for the nine months ended September 30, 2022, representing a 20% increase compared with the same period in 2021. Our subscription revenue was</w:t>
      </w:r>
      <w:r>
        <w:rPr>
          <w:rFonts w:ascii="Arial" w:cs="Arial" w:eastAsia="Arial" w:hAnsi="Arial"/>
          <w:sz w:val="14"/>
          <w:szCs w:val="14"/>
          <w:i w:val="1"/>
          <w:iCs w:val="1"/>
          <w:color w:val="auto"/>
        </w:rPr>
        <w:t xml:space="preserve"> </w:t>
      </w:r>
      <w:r>
        <w:rPr>
          <w:rFonts w:ascii="Arial" w:cs="Arial" w:eastAsia="Arial" w:hAnsi="Arial"/>
          <w:sz w:val="14"/>
          <w:szCs w:val="14"/>
          <w:color w:val="auto"/>
        </w:rPr>
        <w:t>$15.2 million for the nine months ended September 30, 2022 compared with $10.6 million in the same period in 2021, representing 40% year over year growth. The excess use revenue declined by 22% year over year due to the weaker economy and the fact that some prior year excess use revenue has now converted into recurring subscription revenues due to clients upgrading their subscriptions. Our revenue from brands clients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auto"/>
        </w:rPr>
        <w:t>increased by 56% year over year and was $704,000 in the nine months ended September 30, 2022, as compared to $450,000 for the nine months ended September 30, 2021.</w:t>
      </w:r>
    </w:p>
    <w:p>
      <w:pPr>
        <w:spacing w:after="0" w:line="189" w:lineRule="exact"/>
        <w:rPr>
          <w:sz w:val="20"/>
          <w:szCs w:val="20"/>
          <w:color w:val="auto"/>
        </w:rPr>
      </w:pPr>
    </w:p>
    <w:p>
      <w:pPr>
        <w:jc w:val="both"/>
        <w:ind w:firstLine="254"/>
        <w:spacing w:after="0"/>
        <w:rPr>
          <w:sz w:val="20"/>
          <w:szCs w:val="20"/>
          <w:color w:val="auto"/>
        </w:rPr>
      </w:pPr>
      <w:r>
        <w:rPr>
          <w:rFonts w:ascii="Arial" w:cs="Arial" w:eastAsia="Arial" w:hAnsi="Arial"/>
          <w:sz w:val="14"/>
          <w:szCs w:val="14"/>
          <w:i w:val="1"/>
          <w:iCs w:val="1"/>
          <w:color w:val="auto"/>
        </w:rPr>
        <w:t>Gross Profit</w:t>
      </w:r>
      <w:r>
        <w:rPr>
          <w:rFonts w:ascii="Arial" w:cs="Arial" w:eastAsia="Arial" w:hAnsi="Arial"/>
          <w:sz w:val="14"/>
          <w:szCs w:val="14"/>
          <w:color w:val="auto"/>
        </w:rPr>
        <w:t>. Gross profit increased to $14.7 million for the nine months ended September 30, 2022 from $12.1 million for nine months ended September 30, 2021, representing a 21% increase.</w:t>
      </w:r>
      <w:r>
        <w:rPr>
          <w:rFonts w:ascii="Arial" w:cs="Arial" w:eastAsia="Arial" w:hAnsi="Arial"/>
          <w:sz w:val="14"/>
          <w:szCs w:val="14"/>
          <w:i w:val="1"/>
          <w:iCs w:val="1"/>
          <w:color w:val="auto"/>
        </w:rPr>
        <w:t xml:space="preserve"> </w:t>
      </w:r>
      <w:r>
        <w:rPr>
          <w:rFonts w:ascii="Arial" w:cs="Arial" w:eastAsia="Arial" w:hAnsi="Arial"/>
          <w:sz w:val="14"/>
          <w:szCs w:val="14"/>
          <w:color w:val="auto"/>
        </w:rPr>
        <w:t>The cost of revenue increased by $841,000, representing an 17% increase, for the nine months ended September 30, 2022. The increase was primarily due to the increasing volume of communication messages distributed by clients, with a total of approximately 1.50 billion messages during the nine months ended September 30, 2022, representing an increase of 165 million, or 12% higher, than in the same period last year. The percentage increase in cost of revenue is lower than our revenue growth over the same period and therefore our gross margin percentage increased by 0.7% compared with the same period in 2021 to 71.8% for the nine months ended September 30, 2022.</w:t>
      </w:r>
    </w:p>
    <w:p>
      <w:pPr>
        <w:spacing w:after="0" w:line="170"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i w:val="1"/>
          <w:iCs w:val="1"/>
          <w:color w:val="auto"/>
        </w:rPr>
        <w:t xml:space="preserve">Operating Expenses. </w:t>
      </w:r>
      <w:r>
        <w:rPr>
          <w:rFonts w:ascii="Arial" w:cs="Arial" w:eastAsia="Arial" w:hAnsi="Arial"/>
          <w:sz w:val="14"/>
          <w:szCs w:val="14"/>
          <w:color w:val="auto"/>
        </w:rPr>
        <w:t>SpringBig continues to prioritize revenue growth while ensuring expenses are managed in an appropriate manner to ensure we are able to handle the growth with appropriate</w:t>
      </w:r>
      <w:r>
        <w:rPr>
          <w:rFonts w:ascii="Arial" w:cs="Arial" w:eastAsia="Arial" w:hAnsi="Arial"/>
          <w:sz w:val="14"/>
          <w:szCs w:val="14"/>
          <w:i w:val="1"/>
          <w:iCs w:val="1"/>
          <w:color w:val="auto"/>
        </w:rPr>
        <w:t xml:space="preserve"> </w:t>
      </w:r>
      <w:r>
        <w:rPr>
          <w:rFonts w:ascii="Arial" w:cs="Arial" w:eastAsia="Arial" w:hAnsi="Arial"/>
          <w:sz w:val="14"/>
          <w:szCs w:val="14"/>
          <w:color w:val="auto"/>
        </w:rPr>
        <w:t>personnel, infrastructure, and processes and also ensuring net loss is maintained within an acceptable range.</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operating expenses increased by $10.1 million, or 63%, for the nine months ended September 30, 2022 compared with the same period in 2021.</w:t>
      </w:r>
    </w:p>
    <w:p>
      <w:pPr>
        <w:spacing w:after="0" w:line="189"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color w:val="auto"/>
        </w:rPr>
        <w:t>Selling, servicing, and marketing expenses increased by $2.1 million, or 30%, for the nine months ended September 30, 2022, compared to the same period in 2021. As we continue to scale the business, we continue to increase the scale of our sales, service, and marketing operations, in particular we grew the number of employees in our Toronto office and in our client support organization when comparing the nine months ended September 30, 2022 with the same period in 2021.</w:t>
      </w:r>
    </w:p>
    <w:p>
      <w:pPr>
        <w:spacing w:after="0" w:line="163" w:lineRule="exact"/>
        <w:rPr>
          <w:sz w:val="20"/>
          <w:szCs w:val="20"/>
          <w:color w:val="auto"/>
        </w:rPr>
      </w:pPr>
    </w:p>
    <w:p>
      <w:pPr>
        <w:jc w:val="both"/>
        <w:ind w:firstLine="254"/>
        <w:spacing w:after="0" w:line="304" w:lineRule="auto"/>
        <w:rPr>
          <w:sz w:val="20"/>
          <w:szCs w:val="20"/>
          <w:color w:val="auto"/>
        </w:rPr>
      </w:pPr>
      <w:r>
        <w:rPr>
          <w:rFonts w:ascii="Arial" w:cs="Arial" w:eastAsia="Arial" w:hAnsi="Arial"/>
          <w:sz w:val="13"/>
          <w:szCs w:val="13"/>
          <w:color w:val="auto"/>
        </w:rPr>
        <w:t>Technology and software development expenses increased by $3.6 million, or 76%, for nine months ended September 30, 2022, compared to the same period in 2021, with the increase being attributable to higher headcount primarily through using offshore contract engineering resources to enable an acceleration in the pace of developing and enhancing our software platform.</w:t>
      </w:r>
    </w:p>
    <w:p>
      <w:pPr>
        <w:spacing w:after="0" w:line="130" w:lineRule="exact"/>
        <w:rPr>
          <w:sz w:val="20"/>
          <w:szCs w:val="20"/>
          <w:color w:val="auto"/>
        </w:rPr>
      </w:pPr>
    </w:p>
    <w:p>
      <w:pPr>
        <w:jc w:val="both"/>
        <w:ind w:firstLine="254"/>
        <w:spacing w:after="0" w:line="243" w:lineRule="auto"/>
        <w:rPr>
          <w:sz w:val="20"/>
          <w:szCs w:val="20"/>
          <w:color w:val="auto"/>
        </w:rPr>
      </w:pPr>
      <w:r>
        <w:rPr>
          <w:rFonts w:ascii="Arial" w:cs="Arial" w:eastAsia="Arial" w:hAnsi="Arial"/>
          <w:sz w:val="14"/>
          <w:szCs w:val="14"/>
          <w:color w:val="auto"/>
        </w:rPr>
        <w:t>General and administrative expenses increased by $4.4 million, or 101%, for the nine months ended September 30, 2022, compared to the same period in 2021 due to additional rent expense, including the expansion of our office in Toronto, higher personnel-related costs as we increased headcount and additional expenses related to preparing for and becoming a publicly listed company, specifically relating to legal, accounting and auditing fees, and directors’ and officers’ liability insurance premiums..</w:t>
      </w:r>
    </w:p>
    <w:p>
      <w:pPr>
        <w:spacing w:after="0" w:line="168"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i w:val="1"/>
          <w:iCs w:val="1"/>
          <w:color w:val="auto"/>
        </w:rPr>
        <w:t xml:space="preserve">Stock based compenstation. </w:t>
      </w:r>
      <w:r>
        <w:rPr>
          <w:rFonts w:ascii="Arial" w:cs="Arial" w:eastAsia="Arial" w:hAnsi="Arial"/>
          <w:sz w:val="14"/>
          <w:szCs w:val="14"/>
          <w:color w:val="auto"/>
        </w:rPr>
        <w:t>Compensation expense recorded in connection with the Legacy Incentive Plan was $1.2 million and $415,000 for the nine months ended September 30, 2022, which</w:t>
      </w:r>
      <w:r>
        <w:rPr>
          <w:rFonts w:ascii="Arial" w:cs="Arial" w:eastAsia="Arial" w:hAnsi="Arial"/>
          <w:sz w:val="14"/>
          <w:szCs w:val="14"/>
          <w:i w:val="1"/>
          <w:iCs w:val="1"/>
          <w:color w:val="auto"/>
        </w:rPr>
        <w:t xml:space="preserve"> </w:t>
      </w:r>
      <w:r>
        <w:rPr>
          <w:rFonts w:ascii="Arial" w:cs="Arial" w:eastAsia="Arial" w:hAnsi="Arial"/>
          <w:sz w:val="14"/>
          <w:szCs w:val="14"/>
          <w:color w:val="auto"/>
        </w:rPr>
        <w:t>are included in administrative expense on the statements of operations.</w:t>
      </w:r>
    </w:p>
    <w:p>
      <w:pPr>
        <w:spacing w:after="0" w:line="153"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i w:val="1"/>
          <w:iCs w:val="1"/>
          <w:color w:val="auto"/>
        </w:rPr>
        <w:t>Interest Income (Expense)</w:t>
      </w:r>
      <w:r>
        <w:rPr>
          <w:rFonts w:ascii="Arial" w:cs="Arial" w:eastAsia="Arial" w:hAnsi="Arial"/>
          <w:sz w:val="14"/>
          <w:szCs w:val="14"/>
          <w:color w:val="auto"/>
        </w:rPr>
        <w:t>. Interest expense was $632,000 for the nine months ended September 30, 2022 due to interest on the 15% Convertible Notes and the 6.0% Convertible Notes issued in</w:t>
      </w:r>
      <w:r>
        <w:rPr>
          <w:rFonts w:ascii="Arial" w:cs="Arial" w:eastAsia="Arial" w:hAnsi="Arial"/>
          <w:sz w:val="14"/>
          <w:szCs w:val="14"/>
          <w:i w:val="1"/>
          <w:iCs w:val="1"/>
          <w:color w:val="auto"/>
        </w:rPr>
        <w:t xml:space="preserve"> </w:t>
      </w:r>
      <w:r>
        <w:rPr>
          <w:rFonts w:ascii="Arial" w:cs="Arial" w:eastAsia="Arial" w:hAnsi="Arial"/>
          <w:sz w:val="14"/>
          <w:szCs w:val="14"/>
          <w:color w:val="auto"/>
        </w:rPr>
        <w:t>connection with the the merger consummated on June 14, 2022. Interest expense was immaterial for the nine months ended September 30, 2021.</w:t>
      </w:r>
    </w:p>
    <w:p>
      <w:pPr>
        <w:spacing w:after="0" w:line="153" w:lineRule="exact"/>
        <w:rPr>
          <w:sz w:val="20"/>
          <w:szCs w:val="20"/>
          <w:color w:val="auto"/>
        </w:rPr>
      </w:pPr>
    </w:p>
    <w:p>
      <w:pPr>
        <w:jc w:val="both"/>
        <w:ind w:firstLine="254"/>
        <w:spacing w:after="0" w:line="267" w:lineRule="auto"/>
        <w:rPr>
          <w:sz w:val="20"/>
          <w:szCs w:val="20"/>
          <w:color w:val="auto"/>
        </w:rPr>
      </w:pPr>
      <w:r>
        <w:rPr>
          <w:rFonts w:ascii="Arial" w:cs="Arial" w:eastAsia="Arial" w:hAnsi="Arial"/>
          <w:sz w:val="13"/>
          <w:szCs w:val="13"/>
          <w:i w:val="1"/>
          <w:iCs w:val="1"/>
          <w:color w:val="auto"/>
        </w:rPr>
        <w:t>Change in fair value of warrants</w:t>
      </w:r>
      <w:r>
        <w:rPr>
          <w:rFonts w:ascii="Arial" w:cs="Arial" w:eastAsia="Arial" w:hAnsi="Arial"/>
          <w:sz w:val="13"/>
          <w:szCs w:val="13"/>
          <w:color w:val="auto"/>
        </w:rPr>
        <w:t>. The liability relating to warrants issued by SpringBig is included on the balance sheet at the fair value prevailing at the end of the accounting period and any</w:t>
      </w:r>
      <w:r>
        <w:rPr>
          <w:rFonts w:ascii="Arial" w:cs="Arial" w:eastAsia="Arial" w:hAnsi="Arial"/>
          <w:sz w:val="13"/>
          <w:szCs w:val="13"/>
          <w:i w:val="1"/>
          <w:iCs w:val="1"/>
          <w:color w:val="auto"/>
        </w:rPr>
        <w:t xml:space="preserve"> </w:t>
      </w:r>
      <w:r>
        <w:rPr>
          <w:rFonts w:ascii="Arial" w:cs="Arial" w:eastAsia="Arial" w:hAnsi="Arial"/>
          <w:sz w:val="13"/>
          <w:szCs w:val="13"/>
          <w:color w:val="auto"/>
        </w:rPr>
        <w:t>change in value is reported in the income statement. As at September 30, 2022, the market value of the public warrants, which are listed on the Nasdaq stock exchange was $0.0503 per warrant. These warrants were not issued as of December 31, 2021, but were recorded in connection with the accounting related to the June 14, 2022 merger. As of the merger date, the fair value per warrant was $0.2810. The liability relating to warrants issued by SpringBig is included on the balance sheet at the fair value prevailing at the end of the accounting period. During the nine months ended September 30, 2022, $3.7 million of gain related to the change in value of the warrants is reported in the income statement.</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Liquidity &amp; Capital Resources</w:t>
      </w:r>
    </w:p>
    <w:p>
      <w:pPr>
        <w:spacing w:after="0" w:line="193" w:lineRule="exact"/>
        <w:rPr>
          <w:sz w:val="20"/>
          <w:szCs w:val="20"/>
          <w:color w:val="auto"/>
        </w:rPr>
      </w:pPr>
    </w:p>
    <w:p>
      <w:pPr>
        <w:jc w:val="both"/>
        <w:ind w:firstLine="254"/>
        <w:spacing w:after="0" w:line="287" w:lineRule="auto"/>
        <w:rPr>
          <w:sz w:val="20"/>
          <w:szCs w:val="20"/>
          <w:color w:val="auto"/>
        </w:rPr>
      </w:pPr>
      <w:r>
        <w:rPr>
          <w:rFonts w:ascii="Arial" w:cs="Arial" w:eastAsia="Arial" w:hAnsi="Arial"/>
          <w:sz w:val="13"/>
          <w:szCs w:val="13"/>
          <w:color w:val="auto"/>
        </w:rPr>
        <w:t>We have incurred net losses since inception, and experienced negative cash flows from operations. Prior to the business combination, we financed our operations and capital expenditures primarily through the private sales of equity securities and revenue. Our primary uses of cash in the short-term are to fund our operations as we continue to grow our business.</w:t>
      </w:r>
    </w:p>
    <w:p>
      <w:pPr>
        <w:spacing w:after="0" w:line="141"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color w:val="auto"/>
        </w:rPr>
        <w:t>In connection with the execution of the merger agreement in November 2021, Legacy SpringBig and TCAC entered into subscription agreements, pursuant to which certain investors (the “PIPE Investors”) agreed to purchase an aggregate of 1,310,000 shares of common stock of the combined company, for $10.00 per share, for an aggregate purchase price of $13,100,000. On February 25, 2022, SpringBig entered into convertible notes (the "Convertible Notes”) with certain of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6" w:name="page37"/>
    <w:bookmarkEnd w:id="36"/>
    <w:p>
      <w:pPr>
        <w:jc w:val="both"/>
        <w:spacing w:after="0" w:line="243" w:lineRule="auto"/>
        <w:rPr>
          <w:sz w:val="20"/>
          <w:szCs w:val="20"/>
          <w:color w:val="auto"/>
        </w:rPr>
      </w:pPr>
      <w:r>
        <w:rPr>
          <w:rFonts w:ascii="Arial" w:cs="Arial" w:eastAsia="Arial" w:hAnsi="Arial"/>
          <w:sz w:val="14"/>
          <w:szCs w:val="14"/>
          <w:color w:val="auto"/>
        </w:rPr>
        <w:t>PIPE Investors for a principal sum of $7.0 million in aggregate. On the closing of the merger, the outstanding principal balance of the Convertible Notes became due and payable and was satisfied, along with the interest due on such notes, by the issuance to holders of such notes shares of the Company’s common stock and the remainder of the investment from the PIPE Investors was funded and paid to the Company.</w:t>
      </w:r>
    </w:p>
    <w:p>
      <w:pPr>
        <w:spacing w:after="0" w:line="168" w:lineRule="exact"/>
        <w:rPr>
          <w:sz w:val="20"/>
          <w:szCs w:val="20"/>
          <w:color w:val="auto"/>
        </w:rPr>
      </w:pPr>
    </w:p>
    <w:p>
      <w:pPr>
        <w:ind w:right="40" w:firstLine="254"/>
        <w:spacing w:after="0" w:line="251" w:lineRule="auto"/>
        <w:rPr>
          <w:sz w:val="20"/>
          <w:szCs w:val="20"/>
          <w:color w:val="auto"/>
        </w:rPr>
      </w:pPr>
      <w:r>
        <w:rPr>
          <w:rFonts w:ascii="Arial" w:cs="Arial" w:eastAsia="Arial" w:hAnsi="Arial"/>
          <w:sz w:val="14"/>
          <w:szCs w:val="14"/>
          <w:color w:val="auto"/>
        </w:rPr>
        <w:t>Additionally, following the execution of the merger agreement, we entered into two incremental financing agreements. An institutional investor through a securities purchase agreement agreed to purchase $11.0 million of 6.0% Senior Secured Original Issue Discount Convertible Notes due in 2024 and a number of warrants equal to one-half of the principal amount of notes divided by the volume weighted average price on the trading day prior to closing. This financing closed immediately after the business combination.</w:t>
      </w:r>
    </w:p>
    <w:p>
      <w:pPr>
        <w:spacing w:after="0" w:line="163" w:lineRule="exact"/>
        <w:rPr>
          <w:sz w:val="20"/>
          <w:szCs w:val="20"/>
          <w:color w:val="auto"/>
        </w:rPr>
      </w:pPr>
    </w:p>
    <w:p>
      <w:pPr>
        <w:ind w:right="160" w:firstLine="509"/>
        <w:spacing w:after="0" w:line="251" w:lineRule="auto"/>
        <w:rPr>
          <w:sz w:val="20"/>
          <w:szCs w:val="20"/>
          <w:color w:val="auto"/>
        </w:rPr>
      </w:pPr>
      <w:r>
        <w:rPr>
          <w:rFonts w:ascii="Arial" w:cs="Arial" w:eastAsia="Arial" w:hAnsi="Arial"/>
          <w:sz w:val="14"/>
          <w:szCs w:val="14"/>
          <w:color w:val="auto"/>
        </w:rPr>
        <w:t>The Company also entered into a committed equity line facility (the “Facility”) with CF Principal Investments, LLC (“Cantor”) for up to $50.0 million in aggregate gross purchase price of newly issued shares of our common stock after the closing of the business combination. In connection with the Facility, the Company incurred a $1.5 million commitment fee which it settled in exchange for 877,193 shares of common stock.</w:t>
      </w:r>
    </w:p>
    <w:p>
      <w:pPr>
        <w:spacing w:after="0" w:line="163" w:lineRule="exact"/>
        <w:rPr>
          <w:sz w:val="20"/>
          <w:szCs w:val="20"/>
          <w:color w:val="auto"/>
        </w:rPr>
      </w:pPr>
    </w:p>
    <w:p>
      <w:pPr>
        <w:jc w:val="both"/>
        <w:ind w:firstLine="254"/>
        <w:spacing w:after="0" w:line="246" w:lineRule="auto"/>
        <w:rPr>
          <w:sz w:val="20"/>
          <w:szCs w:val="20"/>
          <w:color w:val="auto"/>
        </w:rPr>
      </w:pPr>
      <w:r>
        <w:rPr>
          <w:rFonts w:ascii="Arial" w:cs="Arial" w:eastAsia="Arial" w:hAnsi="Arial"/>
          <w:sz w:val="14"/>
          <w:szCs w:val="14"/>
          <w:color w:val="auto"/>
        </w:rPr>
        <w:t>The Company may, from time to time at its option, sell to Cantor newly issued shares of common stock pursuant to the terms of the Facility. The use of the Facility under the agreement with Cantor is subject to certain conditions, including the effectiveness of a registration statement relating to the resale of the common stock issuable under the Facility. Therefore, funds from the $50.0 million gross purchase price will not be immediately available, if at all, to SpringBig, and there can be no assurances that the Facility will be available to the Company at all times during its terms or that such purchase price will ever become available.</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our cash, accounts receivable, and working capital at September 30, 2022 and December 31, 2021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00" w:type="dxa"/>
            <w:vAlign w:val="bottom"/>
            <w:shd w:val="clear" w:color="auto" w:fill="CCEEFF"/>
          </w:tcPr>
          <w:p>
            <w:pPr>
              <w:spacing w:after="0"/>
              <w:rPr>
                <w:sz w:val="15"/>
                <w:szCs w:val="15"/>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September 30, 2022</w:t>
            </w:r>
          </w:p>
        </w:tc>
        <w:tc>
          <w:tcPr>
            <w:tcW w:w="480" w:type="dxa"/>
            <w:vAlign w:val="bottom"/>
            <w:tcBorders>
              <w:bottom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920" w:type="dxa"/>
            <w:vAlign w:val="bottom"/>
            <w:tcBorders>
              <w:bottom w:val="single" w:sz="8" w:color="auto"/>
            </w:tcBorders>
            <w:shd w:val="clear" w:color="auto" w:fill="CCEEFF"/>
          </w:tcPr>
          <w:p>
            <w:pPr>
              <w:jc w:val="right"/>
              <w:ind w:right="489"/>
              <w:spacing w:after="0"/>
              <w:rPr>
                <w:sz w:val="20"/>
                <w:szCs w:val="20"/>
                <w:color w:val="auto"/>
              </w:rPr>
            </w:pPr>
            <w:r>
              <w:rPr>
                <w:rFonts w:ascii="Arial" w:cs="Arial" w:eastAsia="Arial" w:hAnsi="Arial"/>
                <w:sz w:val="14"/>
                <w:szCs w:val="14"/>
                <w:b w:val="1"/>
                <w:bCs w:val="1"/>
                <w:color w:val="auto"/>
              </w:rPr>
              <w:t>December 31, 2021</w:t>
            </w:r>
          </w:p>
        </w:tc>
      </w:tr>
      <w:tr>
        <w:trPr>
          <w:trHeight w:val="171"/>
        </w:trPr>
        <w:tc>
          <w:tcPr>
            <w:tcW w:w="66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760" w:type="dxa"/>
            <w:vAlign w:val="bottom"/>
          </w:tcPr>
          <w:p>
            <w:pPr>
              <w:jc w:val="right"/>
              <w:ind w:right="158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6,806</w:t>
            </w:r>
          </w:p>
        </w:tc>
        <w:tc>
          <w:tcPr>
            <w:tcW w:w="20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2,227</w:t>
            </w:r>
          </w:p>
        </w:tc>
      </w:tr>
      <w:tr>
        <w:trPr>
          <w:trHeight w:val="180"/>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17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4,727</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3,045</w:t>
            </w:r>
          </w:p>
        </w:tc>
      </w:tr>
      <w:tr>
        <w:trPr>
          <w:trHeight w:val="180"/>
        </w:trPr>
        <w:tc>
          <w:tcPr>
            <w:tcW w:w="6600" w:type="dxa"/>
            <w:vAlign w:val="bottom"/>
          </w:tcPr>
          <w:p>
            <w:pPr>
              <w:ind w:left="20"/>
              <w:spacing w:after="0"/>
              <w:rPr>
                <w:sz w:val="20"/>
                <w:szCs w:val="20"/>
                <w:color w:val="auto"/>
              </w:rPr>
            </w:pPr>
            <w:r>
              <w:rPr>
                <w:rFonts w:ascii="Arial" w:cs="Arial" w:eastAsia="Arial" w:hAnsi="Arial"/>
                <w:sz w:val="14"/>
                <w:szCs w:val="14"/>
                <w:color w:val="auto"/>
              </w:rPr>
              <w:t>Working capital</w:t>
            </w:r>
          </w:p>
        </w:tc>
        <w:tc>
          <w:tcPr>
            <w:tcW w:w="17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10,212</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3,979</w:t>
            </w:r>
          </w:p>
        </w:tc>
      </w:tr>
    </w:tbl>
    <w:p>
      <w:pPr>
        <w:spacing w:after="0" w:line="233"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3"/>
          <w:szCs w:val="13"/>
          <w:color w:val="auto"/>
        </w:rPr>
        <w:t>We believe that the balance of cash, which was $6.8 million as of September 30, 2022, will be sufficient to satisfy our operating cash requirements over the next twelve months and beyond. This estimate is based on our current business plan and expectations and assumptions in light of current macroeconomic conditions. We have based these estimates on assumptions that may prove to be wrong and could use our available capital resources sooner than we currently expect, and future capital requirements and the adequacy of available funds will depend on many factors, including those described in the section entitled “Risk Factors” in the Quarterly Report on Form 10-Q for Q2 2022. Although we are not currently a party to any agreement or letter of intent with respect to potential investments in, or acquisitions of, complementary businesses, services or technologies, we may enter into these types of arrangements in the future, which could also require us to seek additional equity financing, incur indebtedness, or use cash resources. We have no present understandings, commitments or agreements to enter into any such acquisitions.</w:t>
      </w:r>
    </w:p>
    <w:p>
      <w:pPr>
        <w:spacing w:after="0" w:line="154" w:lineRule="exact"/>
        <w:rPr>
          <w:sz w:val="20"/>
          <w:szCs w:val="20"/>
          <w:color w:val="auto"/>
        </w:rPr>
      </w:pPr>
    </w:p>
    <w:p>
      <w:pPr>
        <w:jc w:val="both"/>
        <w:ind w:firstLine="254"/>
        <w:spacing w:after="0" w:line="277" w:lineRule="auto"/>
        <w:rPr>
          <w:sz w:val="20"/>
          <w:szCs w:val="20"/>
          <w:color w:val="auto"/>
        </w:rPr>
      </w:pPr>
      <w:r>
        <w:rPr>
          <w:rFonts w:ascii="Arial" w:cs="Arial" w:eastAsia="Arial" w:hAnsi="Arial"/>
          <w:sz w:val="12"/>
          <w:szCs w:val="12"/>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by incurring indebtedness, such indebtedness may have rights that are senior to holders of our equity securities and could contain covenants that restrict operations. Any additional equity financing may be dilutive to stockholders. Further, the Secured Convertible Notes also contain a number of restrictive covenants that may impose significant restrictions on obtaining future financings, including restrictions on SpringBig’s ability to do any of each following while the Secured Convertible Notes remain outstanding:</w:t>
      </w:r>
    </w:p>
    <w:p>
      <w:pPr>
        <w:ind w:left="180" w:hanging="175"/>
        <w:spacing w:after="0"/>
        <w:tabs>
          <w:tab w:leader="none" w:pos="18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incurring additional indebtedness and guaranteeing indebtedness; (ii) incurring liens or allowing mortgages or other encumbrances; (iii) prepaying, redeeming, or repurchasing certain other debt;</w:t>
      </w:r>
    </w:p>
    <w:p>
      <w:pPr>
        <w:spacing w:after="0" w:line="9" w:lineRule="exact"/>
        <w:rPr>
          <w:rFonts w:ascii="Arial" w:cs="Arial" w:eastAsia="Arial" w:hAnsi="Arial"/>
          <w:sz w:val="13"/>
          <w:szCs w:val="13"/>
          <w:color w:val="auto"/>
        </w:rPr>
      </w:pPr>
    </w:p>
    <w:p>
      <w:pPr>
        <w:jc w:val="both"/>
        <w:ind w:firstLine="5"/>
        <w:spacing w:after="0" w:line="238" w:lineRule="auto"/>
        <w:tabs>
          <w:tab w:leader="none" w:pos="243" w:val="left"/>
        </w:tabs>
        <w:numPr>
          <w:ilvl w:val="0"/>
          <w:numId w:val="8"/>
        </w:numPr>
        <w:rPr>
          <w:rFonts w:ascii="Arial" w:cs="Arial" w:eastAsia="Arial" w:hAnsi="Arial"/>
          <w:sz w:val="14"/>
          <w:szCs w:val="14"/>
          <w:color w:val="auto"/>
        </w:rPr>
      </w:pPr>
      <w:r>
        <w:rPr>
          <w:rFonts w:ascii="Arial" w:cs="Arial" w:eastAsia="Arial" w:hAnsi="Arial"/>
          <w:sz w:val="14"/>
          <w:szCs w:val="14"/>
          <w:color w:val="auto"/>
        </w:rPr>
        <w:t>paying dividends or making other distributions or repurchasing or redeeming its capital stock; (v) selling assets or entering into or effecting certain other transactions (including a reorganization, consolidation, dissolution or similar transaction or selling, leasing, licensing, transferring, or otherwise disposing of assets of the Company or its subsidiaries); (vi) issuing additional equity (outside of the equity facility, issuances under our equity compensation plan and other limited exceptions until a resale registration statement registering all of the common stock underlying the notes and warrants with the Investor is declared effective by the SEC); (vii) entering into variable rate transactions (exclusive of the equity facility); and (viii) adopting certain amendments to our governing documents, among other restrictions. In addition, the noteholders have the right, for 18 months following the first closing of the notes and warrants with the Investor, to purchase up to 30% of the securities we may offer in subsequent financings. Accordingly, we may be limited in our ability to raise additional capital on acceptable terms or at all within such limitations. Such restrictions may be waived by consent of the noteholder.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7" w:name="page38"/>
    <w:bookmarkEnd w:id="37"/>
    <w:p>
      <w:pPr>
        <w:ind w:left="260"/>
        <w:spacing w:after="0"/>
        <w:rPr>
          <w:sz w:val="20"/>
          <w:szCs w:val="20"/>
          <w:color w:val="auto"/>
        </w:rPr>
      </w:pPr>
      <w:r>
        <w:rPr>
          <w:rFonts w:ascii="Arial" w:cs="Arial" w:eastAsia="Arial" w:hAnsi="Arial"/>
          <w:sz w:val="14"/>
          <w:szCs w:val="14"/>
          <w:b w:val="1"/>
          <w:bCs w:val="1"/>
          <w:i w:val="1"/>
          <w:iCs w:val="1"/>
          <w:color w:val="auto"/>
        </w:rPr>
        <w:t>Cash Flows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following table summarizes our cash flows from operating, investing and financing activities for the nine months ended September 30, 2022 and 2021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0" w:type="dxa"/>
            <w:vAlign w:val="bottom"/>
            <w:shd w:val="clear" w:color="auto" w:fill="CCEEFF"/>
          </w:tcPr>
          <w:p>
            <w:pPr>
              <w:spacing w:after="0"/>
              <w:rPr>
                <w:sz w:val="14"/>
                <w:szCs w:val="14"/>
                <w:color w:val="auto"/>
              </w:rPr>
            </w:pPr>
          </w:p>
        </w:tc>
        <w:tc>
          <w:tcPr>
            <w:tcW w:w="2720" w:type="dxa"/>
            <w:vAlign w:val="bottom"/>
            <w:tcBorders>
              <w:bottom w:val="single" w:sz="8" w:color="auto"/>
            </w:tcBorders>
            <w:gridSpan w:val="4"/>
            <w:shd w:val="clear" w:color="auto" w:fill="CCEEFF"/>
          </w:tcPr>
          <w:p>
            <w:pPr>
              <w:jc w:val="right"/>
              <w:ind w:right="69"/>
              <w:spacing w:after="0"/>
              <w:rPr>
                <w:sz w:val="20"/>
                <w:szCs w:val="20"/>
                <w:color w:val="auto"/>
              </w:rPr>
            </w:pPr>
            <w:r>
              <w:rPr>
                <w:rFonts w:ascii="Arial" w:cs="Arial" w:eastAsia="Arial" w:hAnsi="Arial"/>
                <w:sz w:val="13"/>
                <w:szCs w:val="13"/>
                <w:b w:val="1"/>
                <w:bCs w:val="1"/>
                <w:color w:val="auto"/>
              </w:rPr>
              <w:t>Nine Months Ended September 30,</w:t>
            </w:r>
          </w:p>
        </w:tc>
        <w:tc>
          <w:tcPr>
            <w:tcW w:w="560" w:type="dxa"/>
            <w:vAlign w:val="bottom"/>
            <w:tcBorders>
              <w:bottom w:val="single" w:sz="8" w:color="auto"/>
            </w:tcBorders>
            <w:shd w:val="clear" w:color="auto" w:fill="CCEEFF"/>
          </w:tcPr>
          <w:p>
            <w:pPr>
              <w:spacing w:after="0"/>
              <w:rPr>
                <w:sz w:val="14"/>
                <w:szCs w:val="14"/>
                <w:color w:val="auto"/>
              </w:rPr>
            </w:pPr>
          </w:p>
        </w:tc>
      </w:tr>
      <w:tr>
        <w:trPr>
          <w:trHeight w:val="171"/>
        </w:trPr>
        <w:tc>
          <w:tcPr>
            <w:tcW w:w="80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right w:val="single" w:sz="8" w:color="DBDBDB"/>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r>
      <w:tr>
        <w:trPr>
          <w:trHeight w:val="160"/>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Statement of Cash Flows Data:</w:t>
            </w:r>
          </w:p>
        </w:tc>
        <w:tc>
          <w:tcPr>
            <w:tcW w:w="96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80"/>
        </w:trPr>
        <w:tc>
          <w:tcPr>
            <w:tcW w:w="8000" w:type="dxa"/>
            <w:vAlign w:val="bottom"/>
          </w:tcPr>
          <w:p>
            <w:pPr>
              <w:ind w:left="20"/>
              <w:spacing w:after="0"/>
              <w:rPr>
                <w:sz w:val="20"/>
                <w:szCs w:val="20"/>
                <w:color w:val="auto"/>
              </w:rPr>
            </w:pPr>
            <w:r>
              <w:rPr>
                <w:rFonts w:ascii="Arial" w:cs="Arial" w:eastAsia="Arial" w:hAnsi="Arial"/>
                <w:sz w:val="14"/>
                <w:szCs w:val="14"/>
                <w:color w:val="auto"/>
              </w:rPr>
              <w:t>Total cash (used in) provided by:</w:t>
            </w: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8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Operating activities</w:t>
            </w:r>
          </w:p>
        </w:tc>
        <w:tc>
          <w:tcPr>
            <w:tcW w:w="960" w:type="dxa"/>
            <w:vAlign w:val="bottom"/>
            <w:shd w:val="clear" w:color="auto" w:fill="CCEEFF"/>
          </w:tcPr>
          <w:p>
            <w:pPr>
              <w:jc w:val="right"/>
              <w:ind w:right="811"/>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(12,318)</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8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(3,886)</w:t>
            </w:r>
          </w:p>
        </w:tc>
      </w:tr>
      <w:tr>
        <w:trPr>
          <w:trHeight w:val="180"/>
        </w:trPr>
        <w:tc>
          <w:tcPr>
            <w:tcW w:w="8000" w:type="dxa"/>
            <w:vAlign w:val="bottom"/>
          </w:tcPr>
          <w:p>
            <w:pPr>
              <w:ind w:left="100"/>
              <w:spacing w:after="0"/>
              <w:rPr>
                <w:sz w:val="20"/>
                <w:szCs w:val="20"/>
                <w:color w:val="auto"/>
              </w:rPr>
            </w:pPr>
            <w:r>
              <w:rPr>
                <w:rFonts w:ascii="Arial" w:cs="Arial" w:eastAsia="Arial" w:hAnsi="Arial"/>
                <w:sz w:val="14"/>
                <w:szCs w:val="14"/>
                <w:color w:val="auto"/>
              </w:rPr>
              <w:t>Investing activities</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(399)</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(471)</w:t>
            </w:r>
          </w:p>
        </w:tc>
      </w:tr>
      <w:tr>
        <w:trPr>
          <w:trHeight w:val="180"/>
        </w:trPr>
        <w:tc>
          <w:tcPr>
            <w:tcW w:w="8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Financing activities</w:t>
            </w:r>
          </w:p>
        </w:tc>
        <w:tc>
          <w:tcPr>
            <w:tcW w:w="9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17,297</w:t>
            </w:r>
          </w:p>
        </w:tc>
        <w:tc>
          <w:tcPr>
            <w:tcW w:w="14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000" w:type="dxa"/>
            <w:vAlign w:val="bottom"/>
          </w:tcPr>
          <w:p>
            <w:pPr>
              <w:ind w:left="20"/>
              <w:spacing w:after="0"/>
              <w:rPr>
                <w:sz w:val="20"/>
                <w:szCs w:val="20"/>
                <w:color w:val="auto"/>
              </w:rPr>
            </w:pPr>
            <w:r>
              <w:rPr>
                <w:rFonts w:ascii="Arial" w:cs="Arial" w:eastAsia="Arial" w:hAnsi="Arial"/>
                <w:sz w:val="14"/>
                <w:szCs w:val="14"/>
                <w:color w:val="auto"/>
              </w:rPr>
              <w:t>Increase (decrease) in cash and cash equivalents</w:t>
            </w:r>
          </w:p>
        </w:tc>
        <w:tc>
          <w:tcPr>
            <w:tcW w:w="96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4,580</w:t>
            </w:r>
          </w:p>
        </w:tc>
        <w:tc>
          <w:tcPr>
            <w:tcW w:w="140" w:type="dxa"/>
            <w:vAlign w:val="bottom"/>
          </w:tcPr>
          <w:p>
            <w:pPr>
              <w:spacing w:after="0"/>
              <w:rPr>
                <w:sz w:val="14"/>
                <w:szCs w:val="14"/>
                <w:color w:val="auto"/>
              </w:rPr>
            </w:pPr>
          </w:p>
        </w:tc>
        <w:tc>
          <w:tcPr>
            <w:tcW w:w="104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(4,357)</w:t>
            </w: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78"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4"/>
          <w:szCs w:val="14"/>
          <w:color w:val="auto"/>
        </w:rPr>
        <w:t>Cash used in operating activities consists primarily of net loss adjusted for certain non-cash items, including depreciation and amortization, non-cash stock compensation expenses, changes in the fair value of financial instruments and the effect of changes in working capital and other activities.</w:t>
      </w:r>
    </w:p>
    <w:p>
      <w:pPr>
        <w:spacing w:after="0" w:line="153" w:lineRule="exact"/>
        <w:rPr>
          <w:sz w:val="20"/>
          <w:szCs w:val="20"/>
          <w:color w:val="auto"/>
        </w:rPr>
      </w:pPr>
    </w:p>
    <w:p>
      <w:pPr>
        <w:jc w:val="both"/>
        <w:ind w:firstLine="350"/>
        <w:spacing w:after="0" w:line="279" w:lineRule="auto"/>
        <w:rPr>
          <w:sz w:val="20"/>
          <w:szCs w:val="20"/>
          <w:color w:val="auto"/>
        </w:rPr>
      </w:pPr>
      <w:r>
        <w:rPr>
          <w:rFonts w:ascii="Arial" w:cs="Arial" w:eastAsia="Arial" w:hAnsi="Arial"/>
          <w:sz w:val="13"/>
          <w:szCs w:val="13"/>
          <w:color w:val="auto"/>
        </w:rPr>
        <w:t>In the nine months ended September 30, 2022, the net loss was $8.6 million and the cash used in operating activities was $12.3 million. The difference of $3.6 million is due to a $3.1 million increase in working capital and a net amount of $2.0 million in non-cash items comprising a $3.6 million change in the value of warrants and other financial instruments, offset by $1.6 million relating to stock compensation expense and depreciation and amortization. The working capital movement is primarily due to a $3 million increase in Prepaid Expenses.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In the nine months ended September 30, 2021, the net loss was $3.2 million and cash used in operating activities was $3.9 million.</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68"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4"/>
          <w:szCs w:val="14"/>
          <w:color w:val="auto"/>
        </w:rPr>
        <w:t>SpringBig has low capital investment requirements, with our needs being comprised primarily of computer equipment and office furniture and related items. Cash used in investing activities was $0.4 million for the nine months ended September 30, 2022 and $0.5 million for the nine months ended September 30, 2021.</w:t>
      </w:r>
    </w:p>
    <w:p>
      <w:pPr>
        <w:spacing w:after="0" w:line="153" w:lineRule="exact"/>
        <w:rPr>
          <w:sz w:val="20"/>
          <w:szCs w:val="20"/>
          <w:color w:val="auto"/>
        </w:rPr>
      </w:pPr>
    </w:p>
    <w:p>
      <w:pPr>
        <w:ind w:left="36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78" w:lineRule="exact"/>
        <w:rPr>
          <w:sz w:val="20"/>
          <w:szCs w:val="20"/>
          <w:color w:val="auto"/>
        </w:rPr>
      </w:pPr>
    </w:p>
    <w:p>
      <w:pPr>
        <w:jc w:val="both"/>
        <w:ind w:firstLine="254"/>
        <w:spacing w:after="0" w:line="304" w:lineRule="auto"/>
        <w:rPr>
          <w:sz w:val="20"/>
          <w:szCs w:val="20"/>
          <w:color w:val="auto"/>
        </w:rPr>
      </w:pPr>
      <w:r>
        <w:rPr>
          <w:rFonts w:ascii="Arial" w:cs="Arial" w:eastAsia="Arial" w:hAnsi="Arial"/>
          <w:sz w:val="13"/>
          <w:szCs w:val="13"/>
          <w:color w:val="auto"/>
        </w:rPr>
        <w:t>During the nine months ended September 30, 2022, the net cash provided by financing activities was $17.3 million representing the amount resulting from the issuance of new common stock pursuant to the business combination PIPE Financing and from the Secured Convertible Notes at the closing of the business combination with Tuatara, net of costs associated with the transaction.</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89" w:lineRule="exact"/>
        <w:rPr>
          <w:sz w:val="20"/>
          <w:szCs w:val="20"/>
          <w:color w:val="auto"/>
        </w:rPr>
      </w:pPr>
    </w:p>
    <w:p>
      <w:pPr>
        <w:jc w:val="both"/>
        <w:ind w:firstLine="350"/>
        <w:spacing w:after="0" w:line="236" w:lineRule="auto"/>
        <w:rPr>
          <w:sz w:val="20"/>
          <w:szCs w:val="20"/>
          <w:color w:val="auto"/>
        </w:rPr>
      </w:pPr>
      <w:r>
        <w:rPr>
          <w:rFonts w:ascii="Arial" w:cs="Arial" w:eastAsia="Arial" w:hAnsi="Arial"/>
          <w:sz w:val="14"/>
          <w:szCs w:val="14"/>
          <w:color w:val="auto"/>
        </w:rPr>
        <w:t>At September 30, 2022, there were no off-balance sheet arrangements between us and any other entity that have, or are reasonably likely to have, a current or future effect on our financial condition, changes in financial condition, revenue or expenses, results of operations, liquidity, capital expenditures, or capital resources that is material to shareholders.</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82" w:lineRule="exact"/>
        <w:rPr>
          <w:sz w:val="20"/>
          <w:szCs w:val="20"/>
          <w:color w:val="auto"/>
        </w:rPr>
      </w:pPr>
    </w:p>
    <w:p>
      <w:pPr>
        <w:jc w:val="both"/>
        <w:ind w:firstLine="254"/>
        <w:spacing w:after="0" w:line="279" w:lineRule="auto"/>
        <w:rPr>
          <w:sz w:val="20"/>
          <w:szCs w:val="20"/>
          <w:color w:val="auto"/>
        </w:rPr>
      </w:pPr>
      <w:r>
        <w:rPr>
          <w:rFonts w:ascii="Arial" w:cs="Arial" w:eastAsia="Arial" w:hAnsi="Arial"/>
          <w:sz w:val="13"/>
          <w:szCs w:val="13"/>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46" w:lineRule="exact"/>
        <w:rPr>
          <w:sz w:val="20"/>
          <w:szCs w:val="20"/>
          <w:color w:val="auto"/>
        </w:rPr>
      </w:pPr>
    </w:p>
    <w:p>
      <w:pPr>
        <w:jc w:val="both"/>
        <w:ind w:firstLine="254"/>
        <w:spacing w:after="0" w:line="249" w:lineRule="auto"/>
        <w:rPr>
          <w:sz w:val="20"/>
          <w:szCs w:val="20"/>
          <w:color w:val="auto"/>
        </w:rPr>
      </w:pPr>
      <w:r>
        <w:rPr>
          <w:rFonts w:ascii="Arial" w:cs="Arial" w:eastAsia="Arial" w:hAnsi="Arial"/>
          <w:sz w:val="14"/>
          <w:szCs w:val="14"/>
          <w:color w:val="auto"/>
        </w:rPr>
        <w:t>We believe that the assumptions and estimates associated with revenue recognition, software development costs, income taxes, and equity-based compensation have the greatest potential impact on our consolidated financial statements. Therefore,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8" w:name="page39"/>
    <w:bookmarkEnd w:id="38"/>
    <w:p>
      <w:pPr>
        <w:jc w:val="both"/>
        <w:spacing w:after="0" w:line="243" w:lineRule="auto"/>
        <w:rPr>
          <w:sz w:val="20"/>
          <w:szCs w:val="20"/>
          <w:color w:val="auto"/>
        </w:rPr>
      </w:pPr>
      <w:r>
        <w:rPr>
          <w:rFonts w:ascii="Arial" w:cs="Arial" w:eastAsia="Arial" w:hAnsi="Arial"/>
          <w:sz w:val="14"/>
          <w:szCs w:val="14"/>
          <w:color w:val="auto"/>
        </w:rPr>
        <w:t>we consider these to be our critical accounting policies and estimates. For further information on all of our significant accounting policies, see the Company's audited consolidated financial statements and accompanying notes included in the Company’s Registration Statement on Form S-1 filed with the SEC on July 22, 2022 and consolidated Financial Statements and Notes thereto included in Tuatara Capital Acquisition Corporation's Report on Form 10-K for the fiscal year ended December 31, 2021.</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231F20"/>
        </w:rPr>
        <w:t>Recent Accounting Pronouncements</w:t>
      </w:r>
    </w:p>
    <w:p>
      <w:pPr>
        <w:spacing w:after="0" w:line="193" w:lineRule="exact"/>
        <w:rPr>
          <w:sz w:val="20"/>
          <w:szCs w:val="20"/>
          <w:color w:val="auto"/>
        </w:rPr>
      </w:pPr>
    </w:p>
    <w:p>
      <w:pPr>
        <w:jc w:val="both"/>
        <w:ind w:firstLine="282"/>
        <w:spacing w:after="0" w:line="265" w:lineRule="auto"/>
        <w:rPr>
          <w:sz w:val="20"/>
          <w:szCs w:val="20"/>
          <w:color w:val="auto"/>
        </w:rPr>
      </w:pPr>
      <w:r>
        <w:rPr>
          <w:rFonts w:ascii="Arial" w:cs="Arial" w:eastAsia="Arial" w:hAnsi="Arial"/>
          <w:sz w:val="14"/>
          <w:szCs w:val="14"/>
          <w:color w:val="231F20"/>
        </w:rPr>
        <w:t>See the section titled “Summary of Significant Accounting Policies” in Note 2 of the notes to our unaudited condensed consolidated financial statements included in this Report for more information.</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Emerging Growth Company and Smaller Reporting Company Status</w:t>
      </w:r>
    </w:p>
    <w:p>
      <w:pPr>
        <w:spacing w:after="0" w:line="193" w:lineRule="exact"/>
        <w:rPr>
          <w:sz w:val="20"/>
          <w:szCs w:val="20"/>
          <w:color w:val="auto"/>
        </w:rPr>
      </w:pPr>
    </w:p>
    <w:p>
      <w:pPr>
        <w:jc w:val="both"/>
        <w:ind w:firstLine="254"/>
        <w:spacing w:after="0" w:line="246" w:lineRule="auto"/>
        <w:rPr>
          <w:sz w:val="20"/>
          <w:szCs w:val="20"/>
          <w:color w:val="auto"/>
        </w:rPr>
      </w:pPr>
      <w:r>
        <w:rPr>
          <w:rFonts w:ascii="Arial" w:cs="Arial" w:eastAsia="Arial" w:hAnsi="Arial"/>
          <w:sz w:val="14"/>
          <w:szCs w:val="14"/>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167" w:lineRule="exact"/>
        <w:rPr>
          <w:sz w:val="20"/>
          <w:szCs w:val="20"/>
          <w:color w:val="auto"/>
        </w:rPr>
      </w:pPr>
    </w:p>
    <w:p>
      <w:pPr>
        <w:jc w:val="both"/>
        <w:ind w:firstLine="254"/>
        <w:spacing w:after="0"/>
        <w:rPr>
          <w:sz w:val="20"/>
          <w:szCs w:val="20"/>
          <w:color w:val="auto"/>
        </w:rPr>
      </w:pPr>
      <w:r>
        <w:rPr>
          <w:rFonts w:ascii="Arial" w:cs="Arial" w:eastAsia="Arial" w:hAnsi="Arial"/>
          <w:sz w:val="14"/>
          <w:szCs w:val="14"/>
          <w:color w:val="auto"/>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203" w:lineRule="exact"/>
        <w:rPr>
          <w:sz w:val="20"/>
          <w:szCs w:val="20"/>
          <w:color w:val="auto"/>
        </w:rPr>
      </w:pPr>
    </w:p>
    <w:p>
      <w:pPr>
        <w:jc w:val="both"/>
        <w:ind w:firstLine="254"/>
        <w:spacing w:after="0" w:line="304" w:lineRule="auto"/>
        <w:rPr>
          <w:sz w:val="20"/>
          <w:szCs w:val="20"/>
          <w:color w:val="auto"/>
        </w:rPr>
      </w:pPr>
      <w:r>
        <w:rPr>
          <w:rFonts w:ascii="Arial" w:cs="Arial" w:eastAsia="Arial" w:hAnsi="Arial"/>
          <w:sz w:val="13"/>
          <w:szCs w:val="13"/>
          <w:color w:val="auto"/>
        </w:rPr>
        <w:t>We have operations within the United States and limited operations with customers located in Canada, and we are exposed to market risks in the ordinary course of our business, including the effects of interest rate changes, inflation and exchange rate charges. Information relating to quantitative and qualitative disclosures about these market risks is set forth below.</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Interest Rate Fluctuation Risk</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consider all highly liquid investments with an original maturity of three months or less to be cash equivalents.</w:t>
      </w:r>
    </w:p>
    <w:p>
      <w:pPr>
        <w:spacing w:after="0" w:line="189"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Inflation</w:t>
      </w:r>
    </w:p>
    <w:p>
      <w:pPr>
        <w:spacing w:after="0" w:line="189" w:lineRule="exact"/>
        <w:rPr>
          <w:sz w:val="20"/>
          <w:szCs w:val="20"/>
          <w:color w:val="auto"/>
        </w:rPr>
      </w:pPr>
    </w:p>
    <w:p>
      <w:pPr>
        <w:jc w:val="both"/>
        <w:ind w:firstLine="254"/>
        <w:spacing w:after="0" w:line="251" w:lineRule="auto"/>
        <w:rPr>
          <w:sz w:val="20"/>
          <w:szCs w:val="20"/>
          <w:color w:val="auto"/>
        </w:rPr>
      </w:pPr>
      <w:r>
        <w:rPr>
          <w:rFonts w:ascii="Arial" w:cs="Arial" w:eastAsia="Arial" w:hAnsi="Arial"/>
          <w:sz w:val="14"/>
          <w:szCs w:val="14"/>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Exchange Rate Risk</w:t>
      </w:r>
    </w:p>
    <w:p>
      <w:pPr>
        <w:spacing w:after="0" w:line="189" w:lineRule="exact"/>
        <w:rPr>
          <w:sz w:val="20"/>
          <w:szCs w:val="20"/>
          <w:color w:val="auto"/>
        </w:rPr>
      </w:pPr>
    </w:p>
    <w:p>
      <w:pPr>
        <w:jc w:val="both"/>
        <w:ind w:firstLine="254"/>
        <w:spacing w:after="0" w:line="304" w:lineRule="auto"/>
        <w:rPr>
          <w:sz w:val="20"/>
          <w:szCs w:val="20"/>
          <w:color w:val="auto"/>
        </w:rPr>
      </w:pPr>
      <w:r>
        <w:rPr>
          <w:rFonts w:ascii="Arial" w:cs="Arial" w:eastAsia="Arial" w:hAnsi="Arial"/>
          <w:sz w:val="13"/>
          <w:szCs w:val="13"/>
          <w:color w:val="auto"/>
        </w:rPr>
        <w:t>We have operations in Toronto, Canada and customers located in Canada. Given our reporting currency is US dollars, this results in exchange rate translation risk. The effect is minimized by matching our Canadian income and expense with our Canadian customers being invoiced in their local currency. The exchange rate risk to our financial statements is immaterial.</w:t>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9" w:name="page40"/>
    <w:bookmarkEnd w:id="39"/>
    <w:p>
      <w:pPr>
        <w:jc w:val="both"/>
        <w:ind w:firstLine="254"/>
        <w:spacing w:after="0" w:line="243" w:lineRule="auto"/>
        <w:rPr>
          <w:sz w:val="20"/>
          <w:szCs w:val="20"/>
          <w:color w:val="auto"/>
        </w:rPr>
      </w:pPr>
      <w:r>
        <w:rPr>
          <w:rFonts w:ascii="Arial" w:cs="Arial" w:eastAsia="Arial" w:hAnsi="Arial"/>
          <w:sz w:val="14"/>
          <w:szCs w:val="14"/>
          <w:color w:val="auto"/>
        </w:rPr>
        <w:t>Our management, with the participation of our chief executive officer and chief financial officer, conducted an evaluation of our disclosure controls and procedures, as such term is defined under Rules 13a-15(e) and 15d-15(e) promulgated under the Exchange Act. Based on this evaluation, our chief executive officer and chief financial officer concluded that our disclosure controls and procedures were effective as of the end of the period covered by this Quarterly Report on Form 10-Q.</w:t>
      </w:r>
    </w:p>
    <w:p>
      <w:pPr>
        <w:spacing w:after="0" w:line="168" w:lineRule="exact"/>
        <w:rPr>
          <w:sz w:val="20"/>
          <w:szCs w:val="20"/>
          <w:color w:val="auto"/>
        </w:rPr>
      </w:pPr>
    </w:p>
    <w:p>
      <w:pPr>
        <w:jc w:val="both"/>
        <w:ind w:firstLine="254"/>
        <w:spacing w:after="0" w:line="268" w:lineRule="auto"/>
        <w:rPr>
          <w:sz w:val="20"/>
          <w:szCs w:val="20"/>
          <w:color w:val="auto"/>
        </w:rPr>
      </w:pPr>
      <w:r>
        <w:rPr>
          <w:rFonts w:ascii="Arial" w:cs="Arial" w:eastAsia="Arial" w:hAnsi="Arial"/>
          <w:sz w:val="12"/>
          <w:szCs w:val="12"/>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controls over financial reporting will prevent or detect all error and fraud. Any control system, no matter how well</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93"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There were no changes in our internal control over financial reporting (as such term is defined in Rules 13a-15(f) and 15d-15(f) of the Exchange Act) during the quarter ended September 30, 2022, that have materially affected, or are reasonably likely to materially affect, our internal control over financial reporting.</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72" w:lineRule="exact"/>
        <w:rPr>
          <w:sz w:val="20"/>
          <w:szCs w:val="20"/>
          <w:color w:val="auto"/>
        </w:rPr>
      </w:pPr>
    </w:p>
    <w:p>
      <w:pPr>
        <w:ind w:right="40" w:firstLine="254"/>
        <w:spacing w:after="0" w:line="249" w:lineRule="auto"/>
        <w:rPr>
          <w:sz w:val="20"/>
          <w:szCs w:val="20"/>
          <w:color w:val="auto"/>
        </w:rPr>
      </w:pPr>
      <w:r>
        <w:rPr>
          <w:rFonts w:ascii="Arial" w:cs="Arial" w:eastAsia="Arial" w:hAnsi="Arial"/>
          <w:sz w:val="14"/>
          <w:szCs w:val="14"/>
          <w:color w:val="auto"/>
        </w:rPr>
        <w:t>For a description of developments to legal proceedings during the nine months ended September 30, 2022, see "Litigation" under Note 14, "Commitments and Contingencies" to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203" w:lineRule="exact"/>
        <w:rPr>
          <w:sz w:val="20"/>
          <w:szCs w:val="20"/>
          <w:color w:val="auto"/>
        </w:rPr>
      </w:pPr>
    </w:p>
    <w:p>
      <w:pPr>
        <w:jc w:val="both"/>
        <w:ind w:firstLine="254"/>
        <w:spacing w:after="0" w:line="294" w:lineRule="auto"/>
        <w:rPr>
          <w:sz w:val="20"/>
          <w:szCs w:val="20"/>
          <w:color w:val="auto"/>
        </w:rPr>
      </w:pPr>
      <w:r>
        <w:rPr>
          <w:rFonts w:ascii="Arial" w:cs="Arial" w:eastAsia="Arial" w:hAnsi="Arial"/>
          <w:sz w:val="12"/>
          <w:szCs w:val="12"/>
          <w:color w:val="auto"/>
        </w:rPr>
        <w:t>Our business involves a high degree of risk. You should carefully consider the risks described below under the caption “Risk Factors” in Part I, Item 1A of our Quarterly Report on Form 10-Q for the quarter ended June 30, 2022 (our “June 30, 2022 Form 10-Q”), as well as the risks, uncertainties and other information set forth in the reports and other materials filed or furnished by us with the SEC when making investment decisions regarding our securities. There have been no material changes to the Risk Factors disclosed in the June 30, 2022 Form 10-Q. We cannot assure you that any of the events discussed therein will not occur. These risks could have a material and adverse impact on our business, prospects, results of operations, financial condition and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information has previously been included in our Registration Statement on Form S-1 (No 333-266293)</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On September 9, 2022, we issued 877,193 shares of our common stock, $0.0001 par value per share (the “Common Shares”) (such shares, the “Commitment Fee Shares”) to CF Principal Investments LLC (“Cantor” or the “Holder”). We issued the Commitment Fee Shares as consideration for the Holder’s irrevocable commitment to purchase additional Common Shares at our election in our sole discretion, from time to time upon the terms and subject to the satisfaction of the conditions set forth in the Common Stock Purchase Agreement, dated as of April 29, 2022, by and between us and the Holder, as amended by Amendment No. 1 on July 20, 2022 (together, the “Purchase Agreement”). The Purchase Agreement established a committed equity facility pursuant to which we may in the future, from time to time, at our election in our sole discretion, upon the terms and subject to the satisfaction of the conditions set forth in the Purchase Agreement issue and sell to the Holder additional shares of our Common Stock.</w:t>
      </w:r>
    </w:p>
    <w:p>
      <w:pPr>
        <w:spacing w:after="0" w:line="17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did not receive any proceeds from the issuance of the Commitment Fee Shares but may receive gross proceeds from sales of Common Stock in the future to the Holder under the Facility from time to time after the date of this report.</w:t>
      </w:r>
    </w:p>
    <w:p>
      <w:pPr>
        <w:spacing w:after="0" w:line="153" w:lineRule="exact"/>
        <w:rPr>
          <w:sz w:val="20"/>
          <w:szCs w:val="20"/>
          <w:color w:val="auto"/>
        </w:rPr>
      </w:pPr>
    </w:p>
    <w:p>
      <w:pPr>
        <w:jc w:val="both"/>
        <w:ind w:firstLine="254"/>
        <w:spacing w:after="0" w:line="265" w:lineRule="auto"/>
        <w:rPr>
          <w:sz w:val="20"/>
          <w:szCs w:val="20"/>
          <w:color w:val="auto"/>
        </w:rPr>
      </w:pPr>
      <w:r>
        <w:rPr>
          <w:rFonts w:ascii="Arial" w:cs="Arial" w:eastAsia="Arial" w:hAnsi="Arial"/>
          <w:sz w:val="14"/>
          <w:szCs w:val="14"/>
          <w:color w:val="auto"/>
        </w:rPr>
        <w:t xml:space="preserve">The issuance of the securities in this transaction was made in reliance on exemptions from registration under </w:t>
      </w:r>
      <w:r>
        <w:rPr>
          <w:rFonts w:ascii="Arial" w:cs="Arial" w:eastAsia="Arial" w:hAnsi="Arial"/>
          <w:sz w:val="14"/>
          <w:szCs w:val="14"/>
          <w:color w:val="333333"/>
        </w:rPr>
        <w:t>Section 5 of the Securities Act of 1933, as amended, in reliance on the exemption</w:t>
      </w:r>
      <w:r>
        <w:rPr>
          <w:rFonts w:ascii="Arial" w:cs="Arial" w:eastAsia="Arial" w:hAnsi="Arial"/>
          <w:sz w:val="14"/>
          <w:szCs w:val="14"/>
          <w:color w:val="auto"/>
        </w:rPr>
        <w:t xml:space="preserve"> </w:t>
      </w:r>
      <w:r>
        <w:rPr>
          <w:rFonts w:ascii="Arial" w:cs="Arial" w:eastAsia="Arial" w:hAnsi="Arial"/>
          <w:sz w:val="14"/>
          <w:szCs w:val="14"/>
          <w:color w:val="333333"/>
        </w:rPr>
        <w:t>afforded by Section 4(a)(2) thereof and/or Rule 506 promulgated thereunder.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exhibits are filed as part of, or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40" w:right="1440" w:bottom="1440" w:gutter="0" w:footer="0" w:header="0"/>
        </w:sectPr>
      </w:pPr>
    </w:p>
    <w:bookmarkStart w:id="41" w:name="page42"/>
    <w:bookmarkEnd w:id="41"/>
    <w:tbl>
      <w:tblPr>
        <w:tblLayout w:type="fixed"/>
        <w:tblInd w:w="100" w:type="dxa"/>
        <w:tblCellMar>
          <w:top w:w="0" w:type="dxa"/>
          <w:left w:w="0" w:type="dxa"/>
          <w:bottom w:w="0" w:type="dxa"/>
          <w:right w:w="0" w:type="dxa"/>
        </w:tblCellMar>
      </w:tblPr>
      <w:tr>
        <w:trPr>
          <w:trHeight w:val="127"/>
        </w:trPr>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2"/>
              </w:rPr>
              <w:t>Filed/Furnished</w:t>
            </w:r>
          </w:p>
        </w:tc>
        <w:tc>
          <w:tcPr>
            <w:tcW w:w="0" w:type="dxa"/>
            <w:vAlign w:val="bottom"/>
          </w:tcPr>
          <w:p>
            <w:pPr>
              <w:spacing w:after="0"/>
              <w:rPr>
                <w:sz w:val="1"/>
                <w:szCs w:val="1"/>
                <w:color w:val="auto"/>
              </w:rPr>
            </w:pPr>
          </w:p>
        </w:tc>
      </w:tr>
      <w:tr>
        <w:trPr>
          <w:trHeight w:val="157"/>
        </w:trPr>
        <w:tc>
          <w:tcPr>
            <w:tcW w:w="900" w:type="dxa"/>
            <w:vAlign w:val="bottom"/>
          </w:tcPr>
          <w:p>
            <w:pPr>
              <w:jc w:val="center"/>
              <w:ind w:right="44"/>
              <w:spacing w:after="0"/>
              <w:rPr>
                <w:sz w:val="20"/>
                <w:szCs w:val="20"/>
                <w:color w:val="auto"/>
              </w:rPr>
            </w:pPr>
            <w:r>
              <w:rPr>
                <w:rFonts w:ascii="Arial" w:cs="Arial" w:eastAsia="Arial" w:hAnsi="Arial"/>
                <w:sz w:val="11"/>
                <w:szCs w:val="11"/>
                <w:b w:val="1"/>
                <w:bCs w:val="1"/>
                <w:color w:val="auto"/>
                <w:w w:val="98"/>
              </w:rPr>
              <w:t>Exhibit Number</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40" w:type="dxa"/>
            <w:vAlign w:val="bottom"/>
            <w:gridSpan w:val="22"/>
          </w:tcPr>
          <w:p>
            <w:pPr>
              <w:ind w:left="80"/>
              <w:spacing w:after="0"/>
              <w:rPr>
                <w:sz w:val="20"/>
                <w:szCs w:val="20"/>
                <w:color w:val="auto"/>
              </w:rPr>
            </w:pPr>
            <w:r>
              <w:rPr>
                <w:rFonts w:ascii="Arial" w:cs="Arial" w:eastAsia="Arial" w:hAnsi="Arial"/>
                <w:sz w:val="11"/>
                <w:szCs w:val="11"/>
                <w:b w:val="1"/>
                <w:bCs w:val="1"/>
                <w:color w:val="auto"/>
              </w:rPr>
              <w:t>Exhibit Description</w:t>
            </w:r>
          </w:p>
        </w:tc>
        <w:tc>
          <w:tcPr>
            <w:tcW w:w="1580" w:type="dxa"/>
            <w:vAlign w:val="bottom"/>
          </w:tcPr>
          <w:p>
            <w:pPr>
              <w:jc w:val="center"/>
              <w:ind w:right="4"/>
              <w:spacing w:after="0"/>
              <w:rPr>
                <w:sz w:val="20"/>
                <w:szCs w:val="20"/>
                <w:color w:val="auto"/>
              </w:rPr>
            </w:pPr>
            <w:r>
              <w:rPr>
                <w:rFonts w:ascii="Arial" w:cs="Arial" w:eastAsia="Arial" w:hAnsi="Arial"/>
                <w:sz w:val="11"/>
                <w:szCs w:val="11"/>
                <w:b w:val="1"/>
                <w:bCs w:val="1"/>
                <w:color w:val="auto"/>
              </w:rPr>
              <w:t>Form</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8"/>
              </w:rPr>
              <w:t>Exhibit</w:t>
            </w: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5"/>
              </w:rPr>
              <w:t>Filing Date</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4"/>
              </w:rPr>
              <w:t>Herewith</w:t>
            </w:r>
          </w:p>
        </w:tc>
        <w:tc>
          <w:tcPr>
            <w:tcW w:w="0" w:type="dxa"/>
            <w:vAlign w:val="bottom"/>
          </w:tcPr>
          <w:p>
            <w:pPr>
              <w:spacing w:after="0"/>
              <w:rPr>
                <w:sz w:val="1"/>
                <w:szCs w:val="1"/>
                <w:color w:val="auto"/>
              </w:rPr>
            </w:pPr>
          </w:p>
        </w:tc>
      </w:tr>
      <w:tr>
        <w:trPr>
          <w:trHeight w:val="146"/>
        </w:trPr>
        <w:tc>
          <w:tcPr>
            <w:tcW w:w="900" w:type="dxa"/>
            <w:vAlign w:val="bottom"/>
          </w:tcPr>
          <w:p>
            <w:pPr>
              <w:jc w:val="center"/>
              <w:ind w:right="64"/>
              <w:spacing w:after="0"/>
              <w:rPr>
                <w:sz w:val="20"/>
                <w:szCs w:val="20"/>
                <w:color w:val="auto"/>
              </w:rPr>
            </w:pPr>
            <w:r>
              <w:rPr>
                <w:rFonts w:ascii="Arial" w:cs="Arial" w:eastAsia="Arial" w:hAnsi="Arial"/>
                <w:sz w:val="11"/>
                <w:szCs w:val="11"/>
                <w:b w:val="1"/>
                <w:bCs w:val="1"/>
                <w:color w:val="auto"/>
                <w:w w:val="91"/>
              </w:rPr>
              <w:t>2.1</w:t>
            </w:r>
          </w:p>
        </w:tc>
        <w:tc>
          <w:tcPr>
            <w:tcW w:w="3060" w:type="dxa"/>
            <w:vAlign w:val="bottom"/>
            <w:tcBorders>
              <w:bottom w:val="single" w:sz="8" w:color="0000FF"/>
            </w:tcBorders>
            <w:gridSpan w:val="15"/>
          </w:tcPr>
          <w:p>
            <w:pPr>
              <w:spacing w:after="0"/>
              <w:rPr>
                <w:rFonts w:ascii="Arial" w:cs="Arial" w:eastAsia="Arial" w:hAnsi="Arial"/>
                <w:sz w:val="11"/>
                <w:szCs w:val="11"/>
                <w:color w:val="0000FF"/>
                <w:w w:val="92"/>
              </w:rPr>
            </w:pPr>
            <w:hyperlink r:id="rId56">
              <w:r>
                <w:rPr>
                  <w:rFonts w:ascii="Arial" w:cs="Arial" w:eastAsia="Arial" w:hAnsi="Arial"/>
                  <w:sz w:val="11"/>
                  <w:szCs w:val="11"/>
                  <w:color w:val="0000FF"/>
                  <w:w w:val="92"/>
                </w:rPr>
                <w:t>Amended and Restated Merger Agreement with Amendment No. 1.</w:t>
              </w:r>
            </w:hyperlink>
          </w:p>
        </w:tc>
        <w:tc>
          <w:tcPr>
            <w:tcW w:w="1880" w:type="dxa"/>
            <w:vAlign w:val="bottom"/>
            <w:gridSpan w:val="15"/>
          </w:tcPr>
          <w:p>
            <w:pPr>
              <w:spacing w:after="0"/>
              <w:rPr>
                <w:sz w:val="12"/>
                <w:szCs w:val="12"/>
                <w:color w:val="auto"/>
              </w:rPr>
            </w:pPr>
          </w:p>
        </w:tc>
        <w:tc>
          <w:tcPr>
            <w:tcW w:w="1580" w:type="dxa"/>
            <w:vAlign w:val="bottom"/>
          </w:tcPr>
          <w:p>
            <w:pPr>
              <w:jc w:val="center"/>
              <w:ind w:right="4"/>
              <w:spacing w:after="0"/>
              <w:rPr>
                <w:sz w:val="20"/>
                <w:szCs w:val="20"/>
                <w:color w:val="auto"/>
              </w:rPr>
            </w:pPr>
            <w:r>
              <w:rPr>
                <w:rFonts w:ascii="Arial" w:cs="Arial" w:eastAsia="Arial" w:hAnsi="Arial"/>
                <w:sz w:val="11"/>
                <w:szCs w:val="11"/>
                <w:b w:val="1"/>
                <w:bCs w:val="1"/>
                <w:color w:val="auto"/>
                <w:w w:val="89"/>
              </w:rPr>
              <w:t>Proxy Statement / Prospectus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4"/>
              </w:rPr>
              <w:t>Annex A</w:t>
            </w: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5"/>
              </w:rPr>
              <w:t>May 17, 2022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900" w:type="dxa"/>
            <w:vAlign w:val="bottom"/>
          </w:tcPr>
          <w:p>
            <w:pPr>
              <w:jc w:val="center"/>
              <w:ind w:right="64"/>
              <w:spacing w:after="0"/>
              <w:rPr>
                <w:sz w:val="20"/>
                <w:szCs w:val="20"/>
                <w:color w:val="auto"/>
              </w:rPr>
            </w:pPr>
            <w:r>
              <w:rPr>
                <w:rFonts w:ascii="Arial" w:cs="Arial" w:eastAsia="Arial" w:hAnsi="Arial"/>
                <w:sz w:val="11"/>
                <w:szCs w:val="11"/>
                <w:b w:val="1"/>
                <w:bCs w:val="1"/>
                <w:color w:val="auto"/>
                <w:w w:val="91"/>
              </w:rPr>
              <w:t>3.1</w:t>
            </w:r>
          </w:p>
        </w:tc>
        <w:tc>
          <w:tcPr>
            <w:tcW w:w="4940" w:type="dxa"/>
            <w:vAlign w:val="bottom"/>
            <w:gridSpan w:val="30"/>
          </w:tcPr>
          <w:p>
            <w:pPr>
              <w:spacing w:after="0"/>
              <w:rPr>
                <w:rFonts w:ascii="Arial" w:cs="Arial" w:eastAsia="Arial" w:hAnsi="Arial"/>
                <w:sz w:val="11"/>
                <w:szCs w:val="11"/>
                <w:color w:val="0000FF"/>
              </w:rPr>
            </w:pPr>
            <w:hyperlink r:id="rId56">
              <w:r>
                <w:rPr>
                  <w:rFonts w:ascii="Arial" w:cs="Arial" w:eastAsia="Arial" w:hAnsi="Arial"/>
                  <w:sz w:val="11"/>
                  <w:szCs w:val="11"/>
                  <w:color w:val="0000FF"/>
                </w:rPr>
                <w:t>Form of Certificate of Incorporation of SpringBig Holdings, Inc.</w:t>
              </w:r>
            </w:hyperlink>
          </w:p>
        </w:tc>
        <w:tc>
          <w:tcPr>
            <w:tcW w:w="1580" w:type="dxa"/>
            <w:vAlign w:val="bottom"/>
          </w:tcPr>
          <w:p>
            <w:pPr>
              <w:jc w:val="center"/>
              <w:ind w:right="4"/>
              <w:spacing w:after="0"/>
              <w:rPr>
                <w:sz w:val="20"/>
                <w:szCs w:val="20"/>
                <w:color w:val="auto"/>
              </w:rPr>
            </w:pPr>
            <w:r>
              <w:rPr>
                <w:rFonts w:ascii="Arial" w:cs="Arial" w:eastAsia="Arial" w:hAnsi="Arial"/>
                <w:sz w:val="11"/>
                <w:szCs w:val="11"/>
                <w:b w:val="1"/>
                <w:bCs w:val="1"/>
                <w:color w:val="auto"/>
                <w:w w:val="89"/>
              </w:rPr>
              <w:t>Proxy Statement / Prospectus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4"/>
              </w:rPr>
              <w:t>Annex B</w:t>
            </w: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5"/>
              </w:rPr>
              <w:t>May 17, 2022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Pr>
          <w:p>
            <w:pPr>
              <w:jc w:val="center"/>
              <w:ind w:right="64"/>
              <w:spacing w:after="0"/>
              <w:rPr>
                <w:sz w:val="20"/>
                <w:szCs w:val="20"/>
                <w:color w:val="auto"/>
              </w:rPr>
            </w:pPr>
            <w:r>
              <w:rPr>
                <w:rFonts w:ascii="Arial" w:cs="Arial" w:eastAsia="Arial" w:hAnsi="Arial"/>
                <w:sz w:val="11"/>
                <w:szCs w:val="11"/>
                <w:b w:val="1"/>
                <w:bCs w:val="1"/>
                <w:color w:val="auto"/>
                <w:w w:val="91"/>
              </w:rPr>
              <w:t>3.2</w:t>
            </w:r>
          </w:p>
        </w:tc>
        <w:tc>
          <w:tcPr>
            <w:tcW w:w="2100" w:type="dxa"/>
            <w:vAlign w:val="bottom"/>
            <w:tcBorders>
              <w:top w:val="single" w:sz="8" w:color="0000FF"/>
              <w:bottom w:val="single" w:sz="8" w:color="0000FF"/>
            </w:tcBorders>
            <w:gridSpan w:val="10"/>
          </w:tcPr>
          <w:p>
            <w:pPr>
              <w:spacing w:after="0"/>
              <w:rPr>
                <w:rFonts w:ascii="Arial" w:cs="Arial" w:eastAsia="Arial" w:hAnsi="Arial"/>
                <w:sz w:val="11"/>
                <w:szCs w:val="11"/>
                <w:color w:val="0000FF"/>
                <w:w w:val="96"/>
              </w:rPr>
            </w:pPr>
            <w:hyperlink r:id="rId56">
              <w:r>
                <w:rPr>
                  <w:rFonts w:ascii="Arial" w:cs="Arial" w:eastAsia="Arial" w:hAnsi="Arial"/>
                  <w:sz w:val="11"/>
                  <w:szCs w:val="11"/>
                  <w:color w:val="0000FF"/>
                  <w:w w:val="96"/>
                </w:rPr>
                <w:t>Form of By-Laws of SpringBig Holdings, Inc.</w:t>
              </w:r>
            </w:hyperlink>
          </w:p>
        </w:tc>
        <w:tc>
          <w:tcPr>
            <w:tcW w:w="820" w:type="dxa"/>
            <w:vAlign w:val="bottom"/>
            <w:tcBorders>
              <w:top w:val="single" w:sz="8" w:color="0000FF"/>
            </w:tcBorders>
            <w:gridSpan w:val="4"/>
          </w:tcPr>
          <w:p>
            <w:pPr>
              <w:spacing w:after="0"/>
              <w:rPr>
                <w:sz w:val="13"/>
                <w:szCs w:val="13"/>
                <w:color w:val="auto"/>
              </w:rPr>
            </w:pPr>
          </w:p>
        </w:tc>
        <w:tc>
          <w:tcPr>
            <w:tcW w:w="2020" w:type="dxa"/>
            <w:vAlign w:val="bottom"/>
            <w:gridSpan w:val="16"/>
          </w:tcPr>
          <w:p>
            <w:pPr>
              <w:spacing w:after="0"/>
              <w:rPr>
                <w:sz w:val="13"/>
                <w:szCs w:val="13"/>
                <w:color w:val="auto"/>
              </w:rPr>
            </w:pPr>
          </w:p>
        </w:tc>
        <w:tc>
          <w:tcPr>
            <w:tcW w:w="1580" w:type="dxa"/>
            <w:vAlign w:val="bottom"/>
          </w:tcPr>
          <w:p>
            <w:pPr>
              <w:jc w:val="center"/>
              <w:ind w:right="4"/>
              <w:spacing w:after="0"/>
              <w:rPr>
                <w:sz w:val="20"/>
                <w:szCs w:val="20"/>
                <w:color w:val="auto"/>
              </w:rPr>
            </w:pPr>
            <w:r>
              <w:rPr>
                <w:rFonts w:ascii="Arial" w:cs="Arial" w:eastAsia="Arial" w:hAnsi="Arial"/>
                <w:sz w:val="11"/>
                <w:szCs w:val="11"/>
                <w:b w:val="1"/>
                <w:bCs w:val="1"/>
                <w:color w:val="auto"/>
                <w:w w:val="89"/>
              </w:rPr>
              <w:t>Proxy Statement / Prospectus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4"/>
              </w:rPr>
              <w:t>Annex C</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May 17, 2022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vMerge w:val="restart"/>
          </w:tcPr>
          <w:p>
            <w:pPr>
              <w:jc w:val="center"/>
              <w:ind w:right="64"/>
              <w:spacing w:after="0"/>
              <w:rPr>
                <w:sz w:val="20"/>
                <w:szCs w:val="20"/>
                <w:color w:val="auto"/>
              </w:rPr>
            </w:pPr>
            <w:r>
              <w:rPr>
                <w:rFonts w:ascii="Arial" w:cs="Arial" w:eastAsia="Arial" w:hAnsi="Arial"/>
                <w:sz w:val="11"/>
                <w:szCs w:val="11"/>
                <w:b w:val="1"/>
                <w:bCs w:val="1"/>
                <w:color w:val="auto"/>
                <w:w w:val="91"/>
              </w:rPr>
              <w:t>4.1</w:t>
            </w:r>
          </w:p>
        </w:tc>
        <w:tc>
          <w:tcPr>
            <w:tcW w:w="4940" w:type="dxa"/>
            <w:vAlign w:val="bottom"/>
            <w:gridSpan w:val="30"/>
          </w:tcPr>
          <w:p>
            <w:pPr>
              <w:spacing w:after="0"/>
              <w:rPr>
                <w:rFonts w:ascii="Arial" w:cs="Arial" w:eastAsia="Arial" w:hAnsi="Arial"/>
                <w:sz w:val="11"/>
                <w:szCs w:val="11"/>
                <w:color w:val="0000FF"/>
              </w:rPr>
            </w:pPr>
            <w:hyperlink r:id="rId57">
              <w:r>
                <w:rPr>
                  <w:rFonts w:ascii="Arial" w:cs="Arial" w:eastAsia="Arial" w:hAnsi="Arial"/>
                  <w:sz w:val="11"/>
                  <w:szCs w:val="11"/>
                  <w:color w:val="0000FF"/>
                </w:rPr>
                <w:t>Senior Secured Original Issue Discount Convertible Promissory Note dated June 14, 2022 between</w:t>
              </w:r>
            </w:hyperlink>
          </w:p>
        </w:tc>
        <w:tc>
          <w:tcPr>
            <w:tcW w:w="158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rPr>
              <w:t>8-K</w:t>
            </w: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4.1</w:t>
            </w:r>
          </w:p>
        </w:tc>
        <w:tc>
          <w:tcPr>
            <w:tcW w:w="12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June 21, 2022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900" w:type="dxa"/>
            <w:vAlign w:val="bottom"/>
            <w:vMerge w:val="continue"/>
          </w:tcPr>
          <w:p>
            <w:pPr>
              <w:spacing w:after="0"/>
              <w:rPr>
                <w:sz w:val="9"/>
                <w:szCs w:val="9"/>
                <w:color w:val="auto"/>
              </w:rPr>
            </w:pPr>
          </w:p>
        </w:tc>
        <w:tc>
          <w:tcPr>
            <w:tcW w:w="2440" w:type="dxa"/>
            <w:vAlign w:val="bottom"/>
            <w:tcBorders>
              <w:top w:val="single" w:sz="8" w:color="0000FF"/>
              <w:bottom w:val="single" w:sz="8" w:color="0000FF"/>
            </w:tcBorders>
            <w:gridSpan w:val="11"/>
          </w:tcPr>
          <w:p>
            <w:pPr>
              <w:spacing w:after="0" w:line="107" w:lineRule="exact"/>
              <w:rPr>
                <w:rFonts w:ascii="Arial" w:cs="Arial" w:eastAsia="Arial" w:hAnsi="Arial"/>
                <w:sz w:val="11"/>
                <w:szCs w:val="11"/>
                <w:color w:val="0000FF"/>
                <w:w w:val="93"/>
              </w:rPr>
            </w:pPr>
            <w:hyperlink r:id="rId57">
              <w:r>
                <w:rPr>
                  <w:rFonts w:ascii="Arial" w:cs="Arial" w:eastAsia="Arial" w:hAnsi="Arial"/>
                  <w:sz w:val="11"/>
                  <w:szCs w:val="11"/>
                  <w:color w:val="0000FF"/>
                  <w:w w:val="93"/>
                </w:rPr>
                <w:t>SpringBig Holdings, Inc. and the holder party thereto.</w:t>
              </w:r>
            </w:hyperlink>
          </w:p>
        </w:tc>
        <w:tc>
          <w:tcPr>
            <w:tcW w:w="2040" w:type="dxa"/>
            <w:vAlign w:val="bottom"/>
            <w:tcBorders>
              <w:top w:val="single" w:sz="8" w:color="0000FF"/>
            </w:tcBorders>
            <w:gridSpan w:val="6"/>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900" w:type="dxa"/>
            <w:vAlign w:val="bottom"/>
          </w:tcPr>
          <w:p>
            <w:pPr>
              <w:jc w:val="center"/>
              <w:ind w:right="64"/>
              <w:spacing w:after="0"/>
              <w:rPr>
                <w:sz w:val="20"/>
                <w:szCs w:val="20"/>
                <w:color w:val="auto"/>
              </w:rPr>
            </w:pPr>
            <w:r>
              <w:rPr>
                <w:rFonts w:ascii="Arial" w:cs="Arial" w:eastAsia="Arial" w:hAnsi="Arial"/>
                <w:sz w:val="11"/>
                <w:szCs w:val="11"/>
                <w:b w:val="1"/>
                <w:bCs w:val="1"/>
                <w:color w:val="auto"/>
                <w:w w:val="91"/>
              </w:rPr>
              <w:t>4.2</w:t>
            </w:r>
          </w:p>
        </w:tc>
        <w:tc>
          <w:tcPr>
            <w:tcW w:w="4940" w:type="dxa"/>
            <w:vAlign w:val="bottom"/>
            <w:gridSpan w:val="30"/>
          </w:tcPr>
          <w:p>
            <w:pPr>
              <w:spacing w:after="0"/>
              <w:rPr>
                <w:rFonts w:ascii="Arial" w:cs="Arial" w:eastAsia="Arial" w:hAnsi="Arial"/>
                <w:sz w:val="11"/>
                <w:szCs w:val="11"/>
                <w:color w:val="0000FF"/>
              </w:rPr>
            </w:pPr>
            <w:hyperlink r:id="rId57">
              <w:r>
                <w:rPr>
                  <w:rFonts w:ascii="Arial" w:cs="Arial" w:eastAsia="Arial" w:hAnsi="Arial"/>
                  <w:sz w:val="11"/>
                  <w:szCs w:val="11"/>
                  <w:color w:val="0000FF"/>
                </w:rPr>
                <w:t>Common Stock Purchase Warrant SpringBig Holdings Inc.</w:t>
              </w:r>
            </w:hyperlink>
          </w:p>
        </w:tc>
        <w:tc>
          <w:tcPr>
            <w:tcW w:w="1580" w:type="dxa"/>
            <w:vAlign w:val="bottom"/>
          </w:tcPr>
          <w:p>
            <w:pPr>
              <w:jc w:val="center"/>
              <w:ind w:right="24"/>
              <w:spacing w:after="0"/>
              <w:rPr>
                <w:sz w:val="20"/>
                <w:szCs w:val="20"/>
                <w:color w:val="auto"/>
              </w:rPr>
            </w:pPr>
            <w:r>
              <w:rPr>
                <w:rFonts w:ascii="Arial" w:cs="Arial" w:eastAsia="Arial" w:hAnsi="Arial"/>
                <w:sz w:val="11"/>
                <w:szCs w:val="11"/>
                <w:b w:val="1"/>
                <w:bCs w:val="1"/>
                <w:color w:val="auto"/>
              </w:rPr>
              <w:t>8-K</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1"/>
              </w:rPr>
              <w:t>4.2</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June 21, 2022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Pr>
          <w:p>
            <w:pPr>
              <w:jc w:val="center"/>
              <w:ind w:right="44"/>
              <w:spacing w:after="0"/>
              <w:rPr>
                <w:sz w:val="20"/>
                <w:szCs w:val="20"/>
                <w:color w:val="auto"/>
              </w:rPr>
            </w:pPr>
            <w:r>
              <w:rPr>
                <w:rFonts w:ascii="Arial" w:cs="Arial" w:eastAsia="Arial" w:hAnsi="Arial"/>
                <w:sz w:val="11"/>
                <w:szCs w:val="11"/>
                <w:b w:val="1"/>
                <w:bCs w:val="1"/>
                <w:color w:val="auto"/>
                <w:w w:val="93"/>
              </w:rPr>
              <w:t>10.1</w:t>
            </w:r>
          </w:p>
        </w:tc>
        <w:tc>
          <w:tcPr>
            <w:tcW w:w="1700" w:type="dxa"/>
            <w:vAlign w:val="bottom"/>
            <w:tcBorders>
              <w:top w:val="single" w:sz="8" w:color="0000FF"/>
              <w:bottom w:val="single" w:sz="8" w:color="0000FF"/>
            </w:tcBorders>
            <w:gridSpan w:val="7"/>
          </w:tcPr>
          <w:p>
            <w:pPr>
              <w:spacing w:after="0"/>
              <w:rPr>
                <w:rFonts w:ascii="Arial" w:cs="Arial" w:eastAsia="Arial" w:hAnsi="Arial"/>
                <w:sz w:val="11"/>
                <w:szCs w:val="11"/>
                <w:color w:val="0000FF"/>
                <w:w w:val="92"/>
              </w:rPr>
            </w:pPr>
            <w:hyperlink r:id="rId57">
              <w:r>
                <w:rPr>
                  <w:rFonts w:ascii="Arial" w:cs="Arial" w:eastAsia="Arial" w:hAnsi="Arial"/>
                  <w:sz w:val="11"/>
                  <w:szCs w:val="11"/>
                  <w:color w:val="0000FF"/>
                  <w:w w:val="92"/>
                </w:rPr>
                <w:t>Form of Sponsor Escrow Agreement.</w:t>
              </w:r>
            </w:hyperlink>
          </w:p>
        </w:tc>
        <w:tc>
          <w:tcPr>
            <w:tcW w:w="960" w:type="dxa"/>
            <w:vAlign w:val="bottom"/>
            <w:tcBorders>
              <w:top w:val="single" w:sz="8" w:color="0000FF"/>
            </w:tcBorders>
            <w:gridSpan w:val="6"/>
          </w:tcPr>
          <w:p>
            <w:pPr>
              <w:spacing w:after="0"/>
              <w:rPr>
                <w:sz w:val="13"/>
                <w:szCs w:val="13"/>
                <w:color w:val="auto"/>
              </w:rPr>
            </w:pPr>
          </w:p>
        </w:tc>
        <w:tc>
          <w:tcPr>
            <w:tcW w:w="2280" w:type="dxa"/>
            <w:vAlign w:val="bottom"/>
            <w:gridSpan w:val="17"/>
          </w:tcPr>
          <w:p>
            <w:pPr>
              <w:spacing w:after="0"/>
              <w:rPr>
                <w:sz w:val="13"/>
                <w:szCs w:val="13"/>
                <w:color w:val="auto"/>
              </w:rPr>
            </w:pPr>
          </w:p>
        </w:tc>
        <w:tc>
          <w:tcPr>
            <w:tcW w:w="1580" w:type="dxa"/>
            <w:vAlign w:val="bottom"/>
          </w:tcPr>
          <w:p>
            <w:pPr>
              <w:jc w:val="center"/>
              <w:ind w:right="24"/>
              <w:spacing w:after="0"/>
              <w:rPr>
                <w:sz w:val="20"/>
                <w:szCs w:val="20"/>
                <w:color w:val="auto"/>
              </w:rPr>
            </w:pPr>
            <w:r>
              <w:rPr>
                <w:rFonts w:ascii="Arial" w:cs="Arial" w:eastAsia="Arial" w:hAnsi="Arial"/>
                <w:sz w:val="11"/>
                <w:szCs w:val="11"/>
                <w:b w:val="1"/>
                <w:bCs w:val="1"/>
                <w:color w:val="auto"/>
              </w:rPr>
              <w:t>8-K</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3"/>
              </w:rPr>
              <w:t>10.1</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June 21, 2022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vMerge w:val="restart"/>
          </w:tcPr>
          <w:p>
            <w:pPr>
              <w:jc w:val="center"/>
              <w:ind w:right="44"/>
              <w:spacing w:after="0"/>
              <w:rPr>
                <w:sz w:val="20"/>
                <w:szCs w:val="20"/>
                <w:color w:val="auto"/>
              </w:rPr>
            </w:pPr>
            <w:r>
              <w:rPr>
                <w:rFonts w:ascii="Arial" w:cs="Arial" w:eastAsia="Arial" w:hAnsi="Arial"/>
                <w:sz w:val="11"/>
                <w:szCs w:val="11"/>
                <w:b w:val="1"/>
                <w:bCs w:val="1"/>
                <w:color w:val="auto"/>
                <w:w w:val="93"/>
              </w:rPr>
              <w:t>10.2</w:t>
            </w:r>
          </w:p>
        </w:tc>
        <w:tc>
          <w:tcPr>
            <w:tcW w:w="4940" w:type="dxa"/>
            <w:vAlign w:val="bottom"/>
            <w:gridSpan w:val="30"/>
          </w:tcPr>
          <w:p>
            <w:pPr>
              <w:spacing w:after="0"/>
              <w:rPr>
                <w:rFonts w:ascii="Arial" w:cs="Arial" w:eastAsia="Arial" w:hAnsi="Arial"/>
                <w:sz w:val="11"/>
                <w:szCs w:val="11"/>
                <w:color w:val="0000FF"/>
                <w:w w:val="92"/>
              </w:rPr>
            </w:pPr>
            <w:hyperlink r:id="rId57">
              <w:r>
                <w:rPr>
                  <w:rFonts w:ascii="Arial" w:cs="Arial" w:eastAsia="Arial" w:hAnsi="Arial"/>
                  <w:sz w:val="11"/>
                  <w:szCs w:val="11"/>
                  <w:color w:val="0000FF"/>
                  <w:w w:val="92"/>
                </w:rPr>
                <w:t>Amended and Restated Registration Rights Agreement, dated June 14, 2022, by and among New SpringBig,</w:t>
              </w:r>
            </w:hyperlink>
          </w:p>
        </w:tc>
        <w:tc>
          <w:tcPr>
            <w:tcW w:w="158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rPr>
              <w:t>8-K</w:t>
            </w: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10.2</w:t>
            </w:r>
          </w:p>
        </w:tc>
        <w:tc>
          <w:tcPr>
            <w:tcW w:w="12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June 21, 2022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900" w:type="dxa"/>
            <w:vAlign w:val="bottom"/>
            <w:vMerge w:val="continue"/>
          </w:tcPr>
          <w:p>
            <w:pPr>
              <w:spacing w:after="0"/>
              <w:rPr>
                <w:sz w:val="9"/>
                <w:szCs w:val="9"/>
                <w:color w:val="auto"/>
              </w:rPr>
            </w:pPr>
          </w:p>
        </w:tc>
        <w:tc>
          <w:tcPr>
            <w:tcW w:w="1980" w:type="dxa"/>
            <w:vAlign w:val="bottom"/>
            <w:tcBorders>
              <w:top w:val="single" w:sz="8" w:color="0000FF"/>
              <w:bottom w:val="single" w:sz="8" w:color="0000FF"/>
            </w:tcBorders>
            <w:gridSpan w:val="9"/>
          </w:tcPr>
          <w:p>
            <w:pPr>
              <w:spacing w:after="0" w:line="107" w:lineRule="exact"/>
              <w:rPr>
                <w:rFonts w:ascii="Arial" w:cs="Arial" w:eastAsia="Arial" w:hAnsi="Arial"/>
                <w:sz w:val="11"/>
                <w:szCs w:val="11"/>
                <w:color w:val="0000FF"/>
                <w:w w:val="90"/>
              </w:rPr>
            </w:pPr>
            <w:hyperlink r:id="rId57">
              <w:r>
                <w:rPr>
                  <w:rFonts w:ascii="Arial" w:cs="Arial" w:eastAsia="Arial" w:hAnsi="Arial"/>
                  <w:sz w:val="11"/>
                  <w:szCs w:val="11"/>
                  <w:color w:val="0000FF"/>
                  <w:w w:val="90"/>
                </w:rPr>
                <w:t>the Sponsor and other holders party thereto.</w:t>
              </w:r>
            </w:hyperlink>
          </w:p>
        </w:tc>
        <w:tc>
          <w:tcPr>
            <w:tcW w:w="2920" w:type="dxa"/>
            <w:vAlign w:val="bottom"/>
            <w:tcBorders>
              <w:top w:val="single" w:sz="8" w:color="0000FF"/>
            </w:tcBorders>
            <w:gridSpan w:val="20"/>
          </w:tcPr>
          <w:p>
            <w:pPr>
              <w:spacing w:after="0"/>
              <w:rPr>
                <w:sz w:val="9"/>
                <w:szCs w:val="9"/>
                <w:color w:val="auto"/>
              </w:rPr>
            </w:pPr>
          </w:p>
        </w:tc>
        <w:tc>
          <w:tcPr>
            <w:tcW w:w="4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900" w:type="dxa"/>
            <w:vAlign w:val="bottom"/>
          </w:tcPr>
          <w:p>
            <w:pPr>
              <w:jc w:val="center"/>
              <w:ind w:right="44"/>
              <w:spacing w:after="0"/>
              <w:rPr>
                <w:sz w:val="20"/>
                <w:szCs w:val="20"/>
                <w:color w:val="auto"/>
              </w:rPr>
            </w:pPr>
            <w:r>
              <w:rPr>
                <w:rFonts w:ascii="Arial" w:cs="Arial" w:eastAsia="Arial" w:hAnsi="Arial"/>
                <w:sz w:val="11"/>
                <w:szCs w:val="11"/>
                <w:b w:val="1"/>
                <w:bCs w:val="1"/>
                <w:color w:val="auto"/>
                <w:w w:val="93"/>
              </w:rPr>
              <w:t>10.3</w:t>
            </w:r>
          </w:p>
        </w:tc>
        <w:tc>
          <w:tcPr>
            <w:tcW w:w="4940" w:type="dxa"/>
            <w:vAlign w:val="bottom"/>
            <w:gridSpan w:val="30"/>
          </w:tcPr>
          <w:p>
            <w:pPr>
              <w:spacing w:after="0"/>
              <w:rPr>
                <w:rFonts w:ascii="Arial" w:cs="Arial" w:eastAsia="Arial" w:hAnsi="Arial"/>
                <w:sz w:val="11"/>
                <w:szCs w:val="11"/>
                <w:color w:val="0000FF"/>
              </w:rPr>
            </w:pPr>
            <w:hyperlink r:id="rId58">
              <w:r>
                <w:rPr>
                  <w:rFonts w:ascii="Arial" w:cs="Arial" w:eastAsia="Arial" w:hAnsi="Arial"/>
                  <w:sz w:val="11"/>
                  <w:szCs w:val="11"/>
                  <w:color w:val="0000FF"/>
                </w:rPr>
                <w:t>Form of Subscription Agreement.</w:t>
              </w:r>
            </w:hyperlink>
          </w:p>
        </w:tc>
        <w:tc>
          <w:tcPr>
            <w:tcW w:w="1580" w:type="dxa"/>
            <w:vAlign w:val="bottom"/>
          </w:tcPr>
          <w:p>
            <w:pPr>
              <w:jc w:val="center"/>
              <w:ind w:right="24"/>
              <w:spacing w:after="0"/>
              <w:rPr>
                <w:sz w:val="20"/>
                <w:szCs w:val="20"/>
                <w:color w:val="auto"/>
              </w:rPr>
            </w:pPr>
            <w:r>
              <w:rPr>
                <w:rFonts w:ascii="Arial" w:cs="Arial" w:eastAsia="Arial" w:hAnsi="Arial"/>
                <w:sz w:val="11"/>
                <w:szCs w:val="11"/>
                <w:b w:val="1"/>
                <w:bCs w:val="1"/>
                <w:color w:val="auto"/>
              </w:rPr>
              <w:t>8-K</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3"/>
              </w:rPr>
              <w:t>10.2</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November 09, 2021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00" w:type="dxa"/>
            <w:vAlign w:val="bottom"/>
            <w:vMerge w:val="restart"/>
          </w:tcPr>
          <w:p>
            <w:pPr>
              <w:jc w:val="center"/>
              <w:ind w:right="44"/>
              <w:spacing w:after="0"/>
              <w:rPr>
                <w:sz w:val="20"/>
                <w:szCs w:val="20"/>
                <w:color w:val="auto"/>
              </w:rPr>
            </w:pPr>
            <w:r>
              <w:rPr>
                <w:rFonts w:ascii="Arial" w:cs="Arial" w:eastAsia="Arial" w:hAnsi="Arial"/>
                <w:sz w:val="11"/>
                <w:szCs w:val="11"/>
                <w:b w:val="1"/>
                <w:bCs w:val="1"/>
                <w:color w:val="auto"/>
                <w:w w:val="93"/>
              </w:rPr>
              <w:t>10.4</w:t>
            </w:r>
          </w:p>
        </w:tc>
        <w:tc>
          <w:tcPr>
            <w:tcW w:w="4940" w:type="dxa"/>
            <w:vAlign w:val="bottom"/>
            <w:gridSpan w:val="30"/>
          </w:tcPr>
          <w:p>
            <w:pPr>
              <w:spacing w:after="0"/>
              <w:rPr>
                <w:rFonts w:ascii="Arial" w:cs="Arial" w:eastAsia="Arial" w:hAnsi="Arial"/>
                <w:sz w:val="11"/>
                <w:szCs w:val="11"/>
                <w:color w:val="0000FF"/>
                <w:w w:val="94"/>
              </w:rPr>
            </w:pPr>
            <w:hyperlink r:id="rId59">
              <w:r>
                <w:rPr>
                  <w:rFonts w:ascii="Arial" w:cs="Arial" w:eastAsia="Arial" w:hAnsi="Arial"/>
                  <w:sz w:val="11"/>
                  <w:szCs w:val="11"/>
                  <w:color w:val="0000FF"/>
                  <w:w w:val="94"/>
                </w:rPr>
                <w:t>Securities Purchase Agreement, dated April 29, 2022, among Tuatara Capital Acquisition Corporation, and</w:t>
              </w:r>
            </w:hyperlink>
          </w:p>
        </w:tc>
        <w:tc>
          <w:tcPr>
            <w:tcW w:w="158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rPr>
              <w:t>8-K</w:t>
            </w: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10.3</w:t>
            </w:r>
          </w:p>
        </w:tc>
        <w:tc>
          <w:tcPr>
            <w:tcW w:w="12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May 02, 2022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900" w:type="dxa"/>
            <w:vAlign w:val="bottom"/>
            <w:vMerge w:val="continue"/>
          </w:tcPr>
          <w:p>
            <w:pPr>
              <w:spacing w:after="0"/>
              <w:rPr>
                <w:sz w:val="9"/>
                <w:szCs w:val="9"/>
                <w:color w:val="auto"/>
              </w:rPr>
            </w:pPr>
          </w:p>
        </w:tc>
        <w:tc>
          <w:tcPr>
            <w:tcW w:w="1280" w:type="dxa"/>
            <w:vAlign w:val="bottom"/>
            <w:tcBorders>
              <w:top w:val="single" w:sz="8" w:color="0000FF"/>
              <w:bottom w:val="single" w:sz="8" w:color="0000FF"/>
            </w:tcBorders>
            <w:gridSpan w:val="3"/>
          </w:tcPr>
          <w:p>
            <w:pPr>
              <w:spacing w:after="0" w:line="107" w:lineRule="exact"/>
              <w:rPr>
                <w:rFonts w:ascii="Arial" w:cs="Arial" w:eastAsia="Arial" w:hAnsi="Arial"/>
                <w:sz w:val="11"/>
                <w:szCs w:val="11"/>
                <w:color w:val="0000FF"/>
                <w:w w:val="89"/>
              </w:rPr>
            </w:pPr>
            <w:hyperlink r:id="rId59">
              <w:r>
                <w:rPr>
                  <w:rFonts w:ascii="Arial" w:cs="Arial" w:eastAsia="Arial" w:hAnsi="Arial"/>
                  <w:sz w:val="11"/>
                  <w:szCs w:val="11"/>
                  <w:color w:val="0000FF"/>
                  <w:w w:val="89"/>
                </w:rPr>
                <w:t>the purchasers party thereto.</w:t>
              </w:r>
            </w:hyperlink>
          </w:p>
        </w:tc>
        <w:tc>
          <w:tcPr>
            <w:tcW w:w="3560" w:type="dxa"/>
            <w:vAlign w:val="bottom"/>
            <w:tcBorders>
              <w:top w:val="single" w:sz="8" w:color="0000FF"/>
            </w:tcBorders>
            <w:gridSpan w:val="2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1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900" w:type="dxa"/>
            <w:vAlign w:val="bottom"/>
            <w:vMerge w:val="restart"/>
          </w:tcPr>
          <w:p>
            <w:pPr>
              <w:jc w:val="center"/>
              <w:ind w:right="44"/>
              <w:spacing w:after="0"/>
              <w:rPr>
                <w:sz w:val="20"/>
                <w:szCs w:val="20"/>
                <w:color w:val="auto"/>
              </w:rPr>
            </w:pPr>
            <w:r>
              <w:rPr>
                <w:rFonts w:ascii="Arial" w:cs="Arial" w:eastAsia="Arial" w:hAnsi="Arial"/>
                <w:sz w:val="11"/>
                <w:szCs w:val="11"/>
                <w:b w:val="1"/>
                <w:bCs w:val="1"/>
                <w:color w:val="auto"/>
                <w:w w:val="93"/>
              </w:rPr>
              <w:t>10.5</w:t>
            </w:r>
          </w:p>
        </w:tc>
        <w:tc>
          <w:tcPr>
            <w:tcW w:w="4940" w:type="dxa"/>
            <w:vAlign w:val="bottom"/>
            <w:gridSpan w:val="30"/>
          </w:tcPr>
          <w:p>
            <w:pPr>
              <w:spacing w:after="0"/>
              <w:rPr>
                <w:rFonts w:ascii="Arial" w:cs="Arial" w:eastAsia="Arial" w:hAnsi="Arial"/>
                <w:sz w:val="11"/>
                <w:szCs w:val="11"/>
                <w:color w:val="0000FF"/>
                <w:w w:val="97"/>
              </w:rPr>
            </w:pPr>
            <w:hyperlink r:id="rId57">
              <w:r>
                <w:rPr>
                  <w:rFonts w:ascii="Arial" w:cs="Arial" w:eastAsia="Arial" w:hAnsi="Arial"/>
                  <w:sz w:val="11"/>
                  <w:szCs w:val="11"/>
                  <w:color w:val="0000FF"/>
                  <w:w w:val="97"/>
                </w:rPr>
                <w:t>Registration Rights Agreement, dated June 14, 2022, among SpringBig Holdings, Inc. and the investors</w:t>
              </w:r>
            </w:hyperlink>
          </w:p>
        </w:tc>
        <w:tc>
          <w:tcPr>
            <w:tcW w:w="158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rPr>
              <w:t>8-K</w:t>
            </w: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10.5</w:t>
            </w:r>
          </w:p>
        </w:tc>
        <w:tc>
          <w:tcPr>
            <w:tcW w:w="12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June 21, 2022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900" w:type="dxa"/>
            <w:vAlign w:val="bottom"/>
            <w:vMerge w:val="continue"/>
          </w:tcPr>
          <w:p>
            <w:pPr>
              <w:spacing w:after="0"/>
              <w:rPr>
                <w:sz w:val="9"/>
                <w:szCs w:val="9"/>
                <w:color w:val="auto"/>
              </w:rPr>
            </w:pPr>
          </w:p>
        </w:tc>
        <w:tc>
          <w:tcPr>
            <w:tcW w:w="4680" w:type="dxa"/>
            <w:vAlign w:val="bottom"/>
            <w:tcBorders>
              <w:top w:val="single" w:sz="8" w:color="0000FF"/>
            </w:tcBorders>
            <w:gridSpan w:val="23"/>
          </w:tcPr>
          <w:p>
            <w:pPr>
              <w:spacing w:after="0" w:line="107" w:lineRule="exact"/>
              <w:rPr>
                <w:rFonts w:ascii="Arial" w:cs="Arial" w:eastAsia="Arial" w:hAnsi="Arial"/>
                <w:sz w:val="11"/>
                <w:szCs w:val="11"/>
                <w:color w:val="0000FF"/>
              </w:rPr>
            </w:pPr>
            <w:hyperlink r:id="rId57">
              <w:r>
                <w:rPr>
                  <w:rFonts w:ascii="Arial" w:cs="Arial" w:eastAsia="Arial" w:hAnsi="Arial"/>
                  <w:sz w:val="11"/>
                  <w:szCs w:val="11"/>
                  <w:color w:val="0000FF"/>
                </w:rPr>
                <w:t>party thereto.</w:t>
              </w:r>
            </w:hyperlink>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1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jc w:val="center"/>
              <w:ind w:right="44"/>
              <w:spacing w:after="0"/>
              <w:rPr>
                <w:sz w:val="20"/>
                <w:szCs w:val="20"/>
                <w:color w:val="auto"/>
              </w:rPr>
            </w:pPr>
            <w:r>
              <w:rPr>
                <w:rFonts w:ascii="Arial" w:cs="Arial" w:eastAsia="Arial" w:hAnsi="Arial"/>
                <w:sz w:val="11"/>
                <w:szCs w:val="11"/>
                <w:b w:val="1"/>
                <w:bCs w:val="1"/>
                <w:color w:val="auto"/>
                <w:w w:val="93"/>
              </w:rPr>
              <w:t>10.6</w:t>
            </w:r>
          </w:p>
        </w:tc>
        <w:tc>
          <w:tcPr>
            <w:tcW w:w="6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58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rPr>
              <w:t>8-K</w:t>
            </w: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10.6</w:t>
            </w:r>
          </w:p>
        </w:tc>
        <w:tc>
          <w:tcPr>
            <w:tcW w:w="12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June 21, 2022</w:t>
            </w: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00" w:type="dxa"/>
            <w:vAlign w:val="bottom"/>
            <w:vMerge w:val="continue"/>
          </w:tcPr>
          <w:p>
            <w:pPr>
              <w:spacing w:after="0"/>
              <w:rPr>
                <w:sz w:val="13"/>
                <w:szCs w:val="13"/>
                <w:color w:val="auto"/>
              </w:rPr>
            </w:pPr>
          </w:p>
        </w:tc>
        <w:tc>
          <w:tcPr>
            <w:tcW w:w="2640" w:type="dxa"/>
            <w:vAlign w:val="bottom"/>
            <w:tcBorders>
              <w:bottom w:val="single" w:sz="8" w:color="0000FF"/>
            </w:tcBorders>
            <w:gridSpan w:val="12"/>
          </w:tcPr>
          <w:p>
            <w:pPr>
              <w:spacing w:after="0"/>
              <w:rPr>
                <w:rFonts w:ascii="Arial" w:cs="Arial" w:eastAsia="Arial" w:hAnsi="Arial"/>
                <w:sz w:val="11"/>
                <w:szCs w:val="11"/>
                <w:color w:val="0000FF"/>
                <w:w w:val="94"/>
              </w:rPr>
            </w:pPr>
            <w:hyperlink r:id="rId57">
              <w:r>
                <w:rPr>
                  <w:rFonts w:ascii="Arial" w:cs="Arial" w:eastAsia="Arial" w:hAnsi="Arial"/>
                  <w:sz w:val="11"/>
                  <w:szCs w:val="11"/>
                  <w:color w:val="0000FF"/>
                  <w:w w:val="94"/>
                </w:rPr>
                <w:t>SpringBig Holdings, Inc. 2022 Long-Term Incentive Plan.</w:t>
              </w:r>
            </w:hyperlink>
          </w:p>
        </w:tc>
        <w:tc>
          <w:tcPr>
            <w:tcW w:w="2300" w:type="dxa"/>
            <w:vAlign w:val="bottom"/>
            <w:gridSpan w:val="18"/>
          </w:tcPr>
          <w:p>
            <w:pPr>
              <w:spacing w:after="0"/>
              <w:rPr>
                <w:sz w:val="13"/>
                <w:szCs w:val="13"/>
                <w:color w:val="auto"/>
              </w:rPr>
            </w:pPr>
          </w:p>
        </w:tc>
        <w:tc>
          <w:tcPr>
            <w:tcW w:w="158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Pr>
          <w:p>
            <w:pPr>
              <w:jc w:val="center"/>
              <w:ind w:right="44"/>
              <w:spacing w:after="0"/>
              <w:rPr>
                <w:sz w:val="20"/>
                <w:szCs w:val="20"/>
                <w:color w:val="auto"/>
              </w:rPr>
            </w:pPr>
            <w:r>
              <w:rPr>
                <w:rFonts w:ascii="Arial" w:cs="Arial" w:eastAsia="Arial" w:hAnsi="Arial"/>
                <w:sz w:val="11"/>
                <w:szCs w:val="11"/>
                <w:b w:val="1"/>
                <w:bCs w:val="1"/>
                <w:color w:val="auto"/>
                <w:w w:val="93"/>
              </w:rPr>
              <w:t>10.7</w:t>
            </w:r>
          </w:p>
        </w:tc>
        <w:tc>
          <w:tcPr>
            <w:tcW w:w="4940" w:type="dxa"/>
            <w:vAlign w:val="bottom"/>
            <w:gridSpan w:val="30"/>
          </w:tcPr>
          <w:p>
            <w:pPr>
              <w:spacing w:after="0"/>
              <w:rPr>
                <w:rFonts w:ascii="Arial" w:cs="Arial" w:eastAsia="Arial" w:hAnsi="Arial"/>
                <w:sz w:val="11"/>
                <w:szCs w:val="11"/>
                <w:color w:val="0000FF"/>
                <w:w w:val="94"/>
              </w:rPr>
            </w:pPr>
            <w:hyperlink r:id="rId57">
              <w:r>
                <w:rPr>
                  <w:rFonts w:ascii="Arial" w:cs="Arial" w:eastAsia="Arial" w:hAnsi="Arial"/>
                  <w:sz w:val="11"/>
                  <w:szCs w:val="11"/>
                  <w:color w:val="0000FF"/>
                  <w:w w:val="94"/>
                </w:rPr>
                <w:t>Executive Employment Agreement, dated November 8, 2021 by and between SpringBig and Jeffrey Harris.</w:t>
              </w:r>
            </w:hyperlink>
          </w:p>
        </w:tc>
        <w:tc>
          <w:tcPr>
            <w:tcW w:w="1580" w:type="dxa"/>
            <w:vAlign w:val="bottom"/>
          </w:tcPr>
          <w:p>
            <w:pPr>
              <w:jc w:val="center"/>
              <w:ind w:right="24"/>
              <w:spacing w:after="0"/>
              <w:rPr>
                <w:sz w:val="20"/>
                <w:szCs w:val="20"/>
                <w:color w:val="auto"/>
              </w:rPr>
            </w:pPr>
            <w:r>
              <w:rPr>
                <w:rFonts w:ascii="Arial" w:cs="Arial" w:eastAsia="Arial" w:hAnsi="Arial"/>
                <w:sz w:val="11"/>
                <w:szCs w:val="11"/>
                <w:b w:val="1"/>
                <w:bCs w:val="1"/>
                <w:color w:val="auto"/>
              </w:rPr>
              <w:t>8-K</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3"/>
              </w:rPr>
              <w:t>10.7</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June 21, 2022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Pr>
          <w:p>
            <w:pPr>
              <w:jc w:val="center"/>
              <w:ind w:right="44"/>
              <w:spacing w:after="0"/>
              <w:rPr>
                <w:sz w:val="20"/>
                <w:szCs w:val="20"/>
                <w:color w:val="auto"/>
              </w:rPr>
            </w:pPr>
            <w:r>
              <w:rPr>
                <w:rFonts w:ascii="Arial" w:cs="Arial" w:eastAsia="Arial" w:hAnsi="Arial"/>
                <w:sz w:val="11"/>
                <w:szCs w:val="11"/>
                <w:b w:val="1"/>
                <w:bCs w:val="1"/>
                <w:color w:val="auto"/>
                <w:w w:val="93"/>
              </w:rPr>
              <w:t>10.8</w:t>
            </w:r>
          </w:p>
        </w:tc>
        <w:tc>
          <w:tcPr>
            <w:tcW w:w="4860" w:type="dxa"/>
            <w:vAlign w:val="bottom"/>
            <w:tcBorders>
              <w:top w:val="single" w:sz="8" w:color="0000FF"/>
            </w:tcBorders>
            <w:gridSpan w:val="27"/>
          </w:tcPr>
          <w:p>
            <w:pPr>
              <w:spacing w:after="0"/>
              <w:rPr>
                <w:rFonts w:ascii="Arial" w:cs="Arial" w:eastAsia="Arial" w:hAnsi="Arial"/>
                <w:sz w:val="11"/>
                <w:szCs w:val="11"/>
                <w:color w:val="0000FF"/>
                <w:w w:val="94"/>
              </w:rPr>
            </w:pPr>
            <w:hyperlink r:id="rId57">
              <w:r>
                <w:rPr>
                  <w:rFonts w:ascii="Arial" w:cs="Arial" w:eastAsia="Arial" w:hAnsi="Arial"/>
                  <w:sz w:val="11"/>
                  <w:szCs w:val="11"/>
                  <w:color w:val="0000FF"/>
                  <w:w w:val="94"/>
                </w:rPr>
                <w:t>Executive Employment Agreement, dated November 8, 2021 by and between SpringBig and Paul Sykes.</w:t>
              </w:r>
            </w:hyperlink>
          </w:p>
        </w:tc>
        <w:tc>
          <w:tcPr>
            <w:tcW w:w="80" w:type="dxa"/>
            <w:vAlign w:val="bottom"/>
            <w:gridSpan w:val="3"/>
          </w:tcPr>
          <w:p>
            <w:pPr>
              <w:spacing w:after="0"/>
              <w:rPr>
                <w:sz w:val="13"/>
                <w:szCs w:val="13"/>
                <w:color w:val="auto"/>
              </w:rPr>
            </w:pPr>
          </w:p>
        </w:tc>
        <w:tc>
          <w:tcPr>
            <w:tcW w:w="1580" w:type="dxa"/>
            <w:vAlign w:val="bottom"/>
          </w:tcPr>
          <w:p>
            <w:pPr>
              <w:jc w:val="center"/>
              <w:ind w:right="24"/>
              <w:spacing w:after="0"/>
              <w:rPr>
                <w:sz w:val="20"/>
                <w:szCs w:val="20"/>
                <w:color w:val="auto"/>
              </w:rPr>
            </w:pPr>
            <w:r>
              <w:rPr>
                <w:rFonts w:ascii="Arial" w:cs="Arial" w:eastAsia="Arial" w:hAnsi="Arial"/>
                <w:sz w:val="11"/>
                <w:szCs w:val="11"/>
                <w:b w:val="1"/>
                <w:bCs w:val="1"/>
                <w:color w:val="auto"/>
              </w:rPr>
              <w:t>8-K</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3"/>
              </w:rPr>
              <w:t>10.7</w:t>
            </w:r>
          </w:p>
        </w:tc>
        <w:tc>
          <w:tcPr>
            <w:tcW w:w="1220" w:type="dxa"/>
            <w:vAlign w:val="bottom"/>
          </w:tcPr>
          <w:p>
            <w:pPr>
              <w:jc w:val="right"/>
              <w:spacing w:after="0"/>
              <w:rPr>
                <w:sz w:val="20"/>
                <w:szCs w:val="20"/>
                <w:color w:val="auto"/>
              </w:rPr>
            </w:pPr>
            <w:r>
              <w:rPr>
                <w:rFonts w:ascii="Arial" w:cs="Arial" w:eastAsia="Arial" w:hAnsi="Arial"/>
                <w:sz w:val="11"/>
                <w:szCs w:val="11"/>
                <w:b w:val="1"/>
                <w:bCs w:val="1"/>
                <w:color w:val="auto"/>
              </w:rPr>
              <w:t>June 21, 2022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vMerge w:val="restart"/>
          </w:tcPr>
          <w:p>
            <w:pPr>
              <w:jc w:val="center"/>
              <w:ind w:right="44"/>
              <w:spacing w:after="0"/>
              <w:rPr>
                <w:sz w:val="20"/>
                <w:szCs w:val="20"/>
                <w:color w:val="auto"/>
              </w:rPr>
            </w:pPr>
            <w:r>
              <w:rPr>
                <w:rFonts w:ascii="Arial" w:cs="Arial" w:eastAsia="Arial" w:hAnsi="Arial"/>
                <w:sz w:val="11"/>
                <w:szCs w:val="11"/>
                <w:b w:val="1"/>
                <w:bCs w:val="1"/>
                <w:color w:val="auto"/>
                <w:w w:val="93"/>
              </w:rPr>
              <w:t>10.9</w:t>
            </w:r>
          </w:p>
        </w:tc>
        <w:tc>
          <w:tcPr>
            <w:tcW w:w="4740" w:type="dxa"/>
            <w:vAlign w:val="bottom"/>
            <w:tcBorders>
              <w:top w:val="single" w:sz="8" w:color="0000FF"/>
            </w:tcBorders>
            <w:gridSpan w:val="24"/>
          </w:tcPr>
          <w:p>
            <w:pPr>
              <w:spacing w:after="0"/>
              <w:rPr>
                <w:rFonts w:ascii="Arial" w:cs="Arial" w:eastAsia="Arial" w:hAnsi="Arial"/>
                <w:sz w:val="11"/>
                <w:szCs w:val="11"/>
                <w:color w:val="0000FF"/>
                <w:w w:val="96"/>
              </w:rPr>
            </w:pPr>
            <w:hyperlink r:id="rId59">
              <w:r>
                <w:rPr>
                  <w:rFonts w:ascii="Arial" w:cs="Arial" w:eastAsia="Arial" w:hAnsi="Arial"/>
                  <w:sz w:val="11"/>
                  <w:szCs w:val="11"/>
                  <w:color w:val="0000FF"/>
                  <w:w w:val="96"/>
                </w:rPr>
                <w:t>Purchase Agreement, dated April 29, 2022, between Tuatara Capital Acquisition Corporation and CF</w:t>
              </w:r>
            </w:hyperlink>
          </w:p>
        </w:tc>
        <w:tc>
          <w:tcPr>
            <w:tcW w:w="200" w:type="dxa"/>
            <w:vAlign w:val="bottom"/>
            <w:gridSpan w:val="6"/>
          </w:tcPr>
          <w:p>
            <w:pPr>
              <w:spacing w:after="0"/>
              <w:rPr>
                <w:sz w:val="13"/>
                <w:szCs w:val="13"/>
                <w:color w:val="auto"/>
              </w:rPr>
            </w:pPr>
          </w:p>
        </w:tc>
        <w:tc>
          <w:tcPr>
            <w:tcW w:w="158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rPr>
              <w:t>8-K</w:t>
            </w: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10.2</w:t>
            </w:r>
          </w:p>
        </w:tc>
        <w:tc>
          <w:tcPr>
            <w:tcW w:w="12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May 02, 2022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900" w:type="dxa"/>
            <w:vAlign w:val="bottom"/>
            <w:vMerge w:val="continue"/>
          </w:tcPr>
          <w:p>
            <w:pPr>
              <w:spacing w:after="0"/>
              <w:rPr>
                <w:sz w:val="9"/>
                <w:szCs w:val="9"/>
                <w:color w:val="auto"/>
              </w:rPr>
            </w:pPr>
          </w:p>
        </w:tc>
        <w:tc>
          <w:tcPr>
            <w:tcW w:w="1260" w:type="dxa"/>
            <w:vAlign w:val="bottom"/>
            <w:tcBorders>
              <w:top w:val="single" w:sz="8" w:color="0000FF"/>
              <w:bottom w:val="single" w:sz="8" w:color="0000FF"/>
            </w:tcBorders>
            <w:gridSpan w:val="2"/>
          </w:tcPr>
          <w:p>
            <w:pPr>
              <w:spacing w:after="0" w:line="107" w:lineRule="exact"/>
              <w:rPr>
                <w:rFonts w:ascii="Arial" w:cs="Arial" w:eastAsia="Arial" w:hAnsi="Arial"/>
                <w:sz w:val="11"/>
                <w:szCs w:val="11"/>
                <w:color w:val="0000FF"/>
                <w:w w:val="94"/>
              </w:rPr>
            </w:pPr>
            <w:hyperlink r:id="rId59">
              <w:r>
                <w:rPr>
                  <w:rFonts w:ascii="Arial" w:cs="Arial" w:eastAsia="Arial" w:hAnsi="Arial"/>
                  <w:sz w:val="11"/>
                  <w:szCs w:val="11"/>
                  <w:color w:val="0000FF"/>
                  <w:w w:val="94"/>
                </w:rPr>
                <w:t>Principal Investments LLC.</w:t>
              </w:r>
            </w:hyperlink>
          </w:p>
        </w:tc>
        <w:tc>
          <w:tcPr>
            <w:tcW w:w="3320" w:type="dxa"/>
            <w:vAlign w:val="bottom"/>
            <w:tcBorders>
              <w:top w:val="single" w:sz="8" w:color="0000FF"/>
            </w:tcBorders>
            <w:gridSpan w:val="19"/>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gridSpan w:val="3"/>
          </w:tcPr>
          <w:p>
            <w:pPr>
              <w:spacing w:after="0"/>
              <w:rPr>
                <w:sz w:val="9"/>
                <w:szCs w:val="9"/>
                <w:color w:val="auto"/>
              </w:rPr>
            </w:pPr>
          </w:p>
        </w:tc>
        <w:tc>
          <w:tcPr>
            <w:tcW w:w="100" w:type="dxa"/>
            <w:vAlign w:val="bottom"/>
            <w:gridSpan w:val="3"/>
          </w:tcPr>
          <w:p>
            <w:pPr>
              <w:spacing w:after="0"/>
              <w:rPr>
                <w:sz w:val="9"/>
                <w:szCs w:val="9"/>
                <w:color w:val="auto"/>
              </w:rPr>
            </w:pPr>
          </w:p>
        </w:tc>
        <w:tc>
          <w:tcPr>
            <w:tcW w:w="60" w:type="dxa"/>
            <w:vAlign w:val="bottom"/>
            <w:gridSpan w:val="2"/>
          </w:tcPr>
          <w:p>
            <w:pPr>
              <w:spacing w:after="0"/>
              <w:rPr>
                <w:sz w:val="9"/>
                <w:szCs w:val="9"/>
                <w:color w:val="auto"/>
              </w:rPr>
            </w:pPr>
          </w:p>
        </w:tc>
        <w:tc>
          <w:tcPr>
            <w:tcW w:w="1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900" w:type="dxa"/>
            <w:vAlign w:val="bottom"/>
            <w:vMerge w:val="restart"/>
          </w:tcPr>
          <w:p>
            <w:pPr>
              <w:jc w:val="center"/>
              <w:ind w:right="44"/>
              <w:spacing w:after="0"/>
              <w:rPr>
                <w:sz w:val="20"/>
                <w:szCs w:val="20"/>
                <w:color w:val="auto"/>
              </w:rPr>
            </w:pPr>
            <w:r>
              <w:rPr>
                <w:rFonts w:ascii="Arial" w:cs="Arial" w:eastAsia="Arial" w:hAnsi="Arial"/>
                <w:sz w:val="11"/>
                <w:szCs w:val="11"/>
                <w:b w:val="1"/>
                <w:bCs w:val="1"/>
                <w:color w:val="auto"/>
                <w:w w:val="87"/>
              </w:rPr>
              <w:t>10.10</w:t>
            </w:r>
          </w:p>
        </w:tc>
        <w:tc>
          <w:tcPr>
            <w:tcW w:w="4940" w:type="dxa"/>
            <w:vAlign w:val="bottom"/>
            <w:gridSpan w:val="30"/>
          </w:tcPr>
          <w:p>
            <w:pPr>
              <w:spacing w:after="0"/>
              <w:rPr>
                <w:rFonts w:ascii="Arial" w:cs="Arial" w:eastAsia="Arial" w:hAnsi="Arial"/>
                <w:sz w:val="11"/>
                <w:szCs w:val="11"/>
                <w:color w:val="0000FF"/>
                <w:w w:val="94"/>
              </w:rPr>
            </w:pPr>
            <w:hyperlink r:id="rId59">
              <w:r>
                <w:rPr>
                  <w:rFonts w:ascii="Arial" w:cs="Arial" w:eastAsia="Arial" w:hAnsi="Arial"/>
                  <w:sz w:val="11"/>
                  <w:szCs w:val="11"/>
                  <w:color w:val="0000FF"/>
                  <w:w w:val="94"/>
                </w:rPr>
                <w:t>Registration Rights Agreement, dated April 29, 2022, between Tuatara Capital Acquisition Corporation and</w:t>
              </w:r>
            </w:hyperlink>
          </w:p>
        </w:tc>
        <w:tc>
          <w:tcPr>
            <w:tcW w:w="158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rPr>
              <w:t>8-K</w:t>
            </w: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10.3</w:t>
            </w:r>
          </w:p>
        </w:tc>
        <w:tc>
          <w:tcPr>
            <w:tcW w:w="12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May 02, 2022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900" w:type="dxa"/>
            <w:vAlign w:val="bottom"/>
            <w:vMerge w:val="continue"/>
          </w:tcPr>
          <w:p>
            <w:pPr>
              <w:spacing w:after="0"/>
              <w:rPr>
                <w:sz w:val="9"/>
                <w:szCs w:val="9"/>
                <w:color w:val="auto"/>
              </w:rPr>
            </w:pPr>
          </w:p>
        </w:tc>
        <w:tc>
          <w:tcPr>
            <w:tcW w:w="1420" w:type="dxa"/>
            <w:vAlign w:val="bottom"/>
            <w:tcBorders>
              <w:top w:val="single" w:sz="8" w:color="0000FF"/>
              <w:bottom w:val="single" w:sz="8" w:color="0000FF"/>
            </w:tcBorders>
            <w:gridSpan w:val="4"/>
          </w:tcPr>
          <w:p>
            <w:pPr>
              <w:spacing w:after="0" w:line="107" w:lineRule="exact"/>
              <w:rPr>
                <w:rFonts w:ascii="Arial" w:cs="Arial" w:eastAsia="Arial" w:hAnsi="Arial"/>
                <w:sz w:val="11"/>
                <w:szCs w:val="11"/>
                <w:color w:val="0000FF"/>
                <w:w w:val="94"/>
              </w:rPr>
            </w:pPr>
            <w:hyperlink r:id="rId59">
              <w:r>
                <w:rPr>
                  <w:rFonts w:ascii="Arial" w:cs="Arial" w:eastAsia="Arial" w:hAnsi="Arial"/>
                  <w:sz w:val="11"/>
                  <w:szCs w:val="11"/>
                  <w:color w:val="0000FF"/>
                  <w:w w:val="94"/>
                </w:rPr>
                <w:t>CF Principal Investments LLC.</w:t>
              </w:r>
            </w:hyperlink>
          </w:p>
        </w:tc>
        <w:tc>
          <w:tcPr>
            <w:tcW w:w="3460" w:type="dxa"/>
            <w:vAlign w:val="bottom"/>
            <w:tcBorders>
              <w:top w:val="single" w:sz="8" w:color="0000FF"/>
            </w:tcBorders>
            <w:gridSpan w:val="24"/>
          </w:tcPr>
          <w:p>
            <w:pPr>
              <w:spacing w:after="0"/>
              <w:rPr>
                <w:sz w:val="9"/>
                <w:szCs w:val="9"/>
                <w:color w:val="auto"/>
              </w:rPr>
            </w:pPr>
          </w:p>
        </w:tc>
        <w:tc>
          <w:tcPr>
            <w:tcW w:w="60" w:type="dxa"/>
            <w:vAlign w:val="bottom"/>
            <w:gridSpan w:val="2"/>
          </w:tcPr>
          <w:p>
            <w:pPr>
              <w:spacing w:after="0"/>
              <w:rPr>
                <w:sz w:val="9"/>
                <w:szCs w:val="9"/>
                <w:color w:val="auto"/>
              </w:rPr>
            </w:pPr>
          </w:p>
        </w:tc>
        <w:tc>
          <w:tcPr>
            <w:tcW w:w="1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900" w:type="dxa"/>
            <w:vAlign w:val="bottom"/>
            <w:vMerge w:val="restart"/>
          </w:tcPr>
          <w:p>
            <w:pPr>
              <w:jc w:val="center"/>
              <w:ind w:right="44"/>
              <w:spacing w:after="0"/>
              <w:rPr>
                <w:sz w:val="20"/>
                <w:szCs w:val="20"/>
                <w:color w:val="auto"/>
              </w:rPr>
            </w:pPr>
            <w:r>
              <w:rPr>
                <w:rFonts w:ascii="Arial" w:cs="Arial" w:eastAsia="Arial" w:hAnsi="Arial"/>
                <w:sz w:val="11"/>
                <w:szCs w:val="11"/>
                <w:b w:val="1"/>
                <w:bCs w:val="1"/>
                <w:color w:val="auto"/>
                <w:w w:val="87"/>
              </w:rPr>
              <w:t>10.11</w:t>
            </w:r>
          </w:p>
        </w:tc>
        <w:tc>
          <w:tcPr>
            <w:tcW w:w="4940" w:type="dxa"/>
            <w:vAlign w:val="bottom"/>
            <w:gridSpan w:val="30"/>
          </w:tcPr>
          <w:p>
            <w:pPr>
              <w:spacing w:after="0"/>
              <w:rPr>
                <w:rFonts w:ascii="Arial" w:cs="Arial" w:eastAsia="Arial" w:hAnsi="Arial"/>
                <w:sz w:val="11"/>
                <w:szCs w:val="11"/>
                <w:color w:val="0000FF"/>
                <w:w w:val="95"/>
              </w:rPr>
            </w:pPr>
            <w:hyperlink r:id="rId60">
              <w:r>
                <w:rPr>
                  <w:rFonts w:ascii="Arial" w:cs="Arial" w:eastAsia="Arial" w:hAnsi="Arial"/>
                  <w:sz w:val="11"/>
                  <w:szCs w:val="11"/>
                  <w:color w:val="0000FF"/>
                  <w:w w:val="95"/>
                </w:rPr>
                <w:t>Amendment No. 1 to Purchase Agreement, dated July 20, 2022, by and between SpringBig Holdings, Inc.</w:t>
              </w:r>
            </w:hyperlink>
          </w:p>
        </w:tc>
        <w:tc>
          <w:tcPr>
            <w:tcW w:w="1580" w:type="dxa"/>
            <w:vAlign w:val="bottom"/>
            <w:vMerge w:val="restart"/>
          </w:tcPr>
          <w:p>
            <w:pPr>
              <w:jc w:val="center"/>
              <w:ind w:right="4"/>
              <w:spacing w:after="0"/>
              <w:rPr>
                <w:sz w:val="20"/>
                <w:szCs w:val="20"/>
                <w:color w:val="auto"/>
              </w:rPr>
            </w:pPr>
            <w:r>
              <w:rPr>
                <w:rFonts w:ascii="Arial" w:cs="Arial" w:eastAsia="Arial" w:hAnsi="Arial"/>
                <w:sz w:val="11"/>
                <w:szCs w:val="11"/>
                <w:b w:val="1"/>
                <w:bCs w:val="1"/>
                <w:color w:val="auto"/>
                <w:w w:val="93"/>
              </w:rPr>
              <w:t>S-1</w:t>
            </w: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7"/>
              </w:rPr>
              <w:t>10.11</w:t>
            </w:r>
          </w:p>
        </w:tc>
        <w:tc>
          <w:tcPr>
            <w:tcW w:w="12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July 22, 2022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900" w:type="dxa"/>
            <w:vAlign w:val="bottom"/>
            <w:vMerge w:val="continue"/>
          </w:tcPr>
          <w:p>
            <w:pPr>
              <w:spacing w:after="0"/>
              <w:rPr>
                <w:sz w:val="9"/>
                <w:szCs w:val="9"/>
                <w:color w:val="auto"/>
              </w:rPr>
            </w:pPr>
          </w:p>
        </w:tc>
        <w:tc>
          <w:tcPr>
            <w:tcW w:w="4780" w:type="dxa"/>
            <w:vAlign w:val="bottom"/>
            <w:tcBorders>
              <w:top w:val="single" w:sz="8" w:color="0000FF"/>
            </w:tcBorders>
            <w:gridSpan w:val="25"/>
          </w:tcPr>
          <w:p>
            <w:pPr>
              <w:spacing w:after="0" w:line="107" w:lineRule="exact"/>
              <w:rPr>
                <w:rFonts w:ascii="Arial" w:cs="Arial" w:eastAsia="Arial" w:hAnsi="Arial"/>
                <w:sz w:val="11"/>
                <w:szCs w:val="11"/>
                <w:color w:val="0000FF"/>
              </w:rPr>
            </w:pPr>
            <w:hyperlink r:id="rId60">
              <w:r>
                <w:rPr>
                  <w:rFonts w:ascii="Arial" w:cs="Arial" w:eastAsia="Arial" w:hAnsi="Arial"/>
                  <w:sz w:val="11"/>
                  <w:szCs w:val="11"/>
                  <w:color w:val="0000FF"/>
                </w:rPr>
                <w:t>and CF Principal Investments LLC.</w:t>
              </w:r>
            </w:hyperlink>
          </w:p>
        </w:tc>
        <w:tc>
          <w:tcPr>
            <w:tcW w:w="160" w:type="dxa"/>
            <w:vAlign w:val="bottom"/>
            <w:gridSpan w:val="5"/>
          </w:tcPr>
          <w:p>
            <w:pPr>
              <w:spacing w:after="0"/>
              <w:rPr>
                <w:sz w:val="9"/>
                <w:szCs w:val="9"/>
                <w:color w:val="auto"/>
              </w:rPr>
            </w:pPr>
          </w:p>
        </w:tc>
        <w:tc>
          <w:tcPr>
            <w:tcW w:w="15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00" w:type="dxa"/>
            <w:vAlign w:val="bottom"/>
            <w:vMerge w:val="restart"/>
          </w:tcPr>
          <w:p>
            <w:pPr>
              <w:jc w:val="center"/>
              <w:ind w:right="44"/>
              <w:spacing w:after="0"/>
              <w:rPr>
                <w:sz w:val="20"/>
                <w:szCs w:val="20"/>
                <w:color w:val="auto"/>
              </w:rPr>
            </w:pPr>
            <w:r>
              <w:rPr>
                <w:rFonts w:ascii="Arial" w:cs="Arial" w:eastAsia="Arial" w:hAnsi="Arial"/>
                <w:sz w:val="11"/>
                <w:szCs w:val="11"/>
                <w:b w:val="1"/>
                <w:bCs w:val="1"/>
                <w:color w:val="auto"/>
                <w:w w:val="93"/>
              </w:rPr>
              <w:t>32.1</w:t>
            </w:r>
          </w:p>
        </w:tc>
        <w:tc>
          <w:tcPr>
            <w:tcW w:w="1600" w:type="dxa"/>
            <w:vAlign w:val="bottom"/>
            <w:gridSpan w:val="6"/>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32.1</w:t>
            </w:r>
          </w:p>
        </w:tc>
        <w:tc>
          <w:tcPr>
            <w:tcW w:w="12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November 14, 2022</w:t>
            </w:r>
          </w:p>
        </w:tc>
        <w:tc>
          <w:tcPr>
            <w:tcW w:w="8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line="20" w:lineRule="exact"/>
              <w:rPr>
                <w:sz w:val="1"/>
                <w:szCs w:val="1"/>
                <w:color w:val="auto"/>
              </w:rPr>
            </w:pPr>
          </w:p>
        </w:tc>
      </w:tr>
      <w:tr>
        <w:trPr>
          <w:trHeight w:val="150"/>
        </w:trPr>
        <w:tc>
          <w:tcPr>
            <w:tcW w:w="900" w:type="dxa"/>
            <w:vAlign w:val="bottom"/>
            <w:vMerge w:val="continue"/>
          </w:tcPr>
          <w:p>
            <w:pPr>
              <w:spacing w:after="0"/>
              <w:rPr>
                <w:sz w:val="13"/>
                <w:szCs w:val="13"/>
                <w:color w:val="auto"/>
              </w:rPr>
            </w:pPr>
          </w:p>
        </w:tc>
        <w:tc>
          <w:tcPr>
            <w:tcW w:w="4560" w:type="dxa"/>
            <w:vAlign w:val="bottom"/>
            <w:tcBorders>
              <w:bottom w:val="single" w:sz="8" w:color="0000FF"/>
            </w:tcBorders>
            <w:gridSpan w:val="20"/>
          </w:tcPr>
          <w:p>
            <w:pPr>
              <w:spacing w:after="0"/>
              <w:rPr>
                <w:sz w:val="20"/>
                <w:szCs w:val="20"/>
                <w:color w:val="auto"/>
              </w:rPr>
            </w:pPr>
            <w:r>
              <w:rPr>
                <w:rFonts w:ascii="Arial" w:cs="Arial" w:eastAsia="Arial" w:hAnsi="Arial"/>
                <w:sz w:val="11"/>
                <w:szCs w:val="11"/>
                <w:color w:val="0000FF"/>
                <w:w w:val="94"/>
              </w:rPr>
              <w:t>Certification of Chief Executive Officer pursuant to Section 906 of the Sarbanes-Oxley Act of 2002.</w:t>
            </w:r>
          </w:p>
        </w:tc>
        <w:tc>
          <w:tcPr>
            <w:tcW w:w="380" w:type="dxa"/>
            <w:vAlign w:val="bottom"/>
            <w:gridSpan w:val="10"/>
          </w:tcPr>
          <w:p>
            <w:pPr>
              <w:spacing w:after="0"/>
              <w:rPr>
                <w:sz w:val="13"/>
                <w:szCs w:val="13"/>
                <w:color w:val="auto"/>
              </w:rPr>
            </w:pPr>
          </w:p>
        </w:tc>
        <w:tc>
          <w:tcPr>
            <w:tcW w:w="15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jc w:val="center"/>
              <w:ind w:right="44"/>
              <w:spacing w:after="0"/>
              <w:rPr>
                <w:sz w:val="20"/>
                <w:szCs w:val="20"/>
                <w:color w:val="auto"/>
              </w:rPr>
            </w:pPr>
            <w:r>
              <w:rPr>
                <w:rFonts w:ascii="Arial" w:cs="Arial" w:eastAsia="Arial" w:hAnsi="Arial"/>
                <w:sz w:val="11"/>
                <w:szCs w:val="11"/>
                <w:b w:val="1"/>
                <w:bCs w:val="1"/>
                <w:color w:val="auto"/>
                <w:w w:val="93"/>
              </w:rPr>
              <w:t>32.2</w:t>
            </w:r>
          </w:p>
        </w:tc>
        <w:tc>
          <w:tcPr>
            <w:tcW w:w="4940" w:type="dxa"/>
            <w:vAlign w:val="bottom"/>
            <w:gridSpan w:val="30"/>
          </w:tcPr>
          <w:p>
            <w:pPr>
              <w:spacing w:after="0"/>
              <w:rPr>
                <w:sz w:val="20"/>
                <w:szCs w:val="20"/>
                <w:color w:val="auto"/>
              </w:rPr>
            </w:pPr>
            <w:r>
              <w:rPr>
                <w:rFonts w:ascii="Arial" w:cs="Arial" w:eastAsia="Arial" w:hAnsi="Arial"/>
                <w:sz w:val="11"/>
                <w:szCs w:val="11"/>
                <w:color w:val="0000FF"/>
              </w:rPr>
              <w:t>Certification of Chief Financial Officer pursuant to Section 906 of the Sarbanes-Oxley Act of 2002.</w:t>
            </w:r>
          </w:p>
        </w:tc>
        <w:tc>
          <w:tcPr>
            <w:tcW w:w="15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3"/>
              </w:rPr>
              <w:t>32.2</w:t>
            </w: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4"/>
              </w:rPr>
              <w:t>November 14, 2022</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
        </w:trPr>
        <w:tc>
          <w:tcPr>
            <w:tcW w:w="900" w:type="dxa"/>
            <w:vAlign w:val="bottom"/>
            <w:vMerge w:val="restart"/>
          </w:tcPr>
          <w:p>
            <w:pPr>
              <w:jc w:val="center"/>
              <w:ind w:right="44"/>
              <w:spacing w:after="0"/>
              <w:rPr>
                <w:sz w:val="20"/>
                <w:szCs w:val="20"/>
                <w:color w:val="auto"/>
              </w:rPr>
            </w:pPr>
            <w:r>
              <w:rPr>
                <w:rFonts w:ascii="Arial" w:cs="Arial" w:eastAsia="Arial" w:hAnsi="Arial"/>
                <w:sz w:val="11"/>
                <w:szCs w:val="11"/>
                <w:b w:val="1"/>
                <w:bCs w:val="1"/>
                <w:color w:val="auto"/>
                <w:w w:val="93"/>
              </w:rPr>
              <w:t>33.1</w:t>
            </w:r>
          </w:p>
        </w:tc>
        <w:tc>
          <w:tcPr>
            <w:tcW w:w="1900" w:type="dxa"/>
            <w:vAlign w:val="bottom"/>
            <w:gridSpan w:val="8"/>
            <w:shd w:val="clear" w:color="auto" w:fill="0000FF"/>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33.1</w:t>
            </w:r>
          </w:p>
        </w:tc>
        <w:tc>
          <w:tcPr>
            <w:tcW w:w="12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November 14, 2022</w:t>
            </w:r>
          </w:p>
        </w:tc>
        <w:tc>
          <w:tcPr>
            <w:tcW w:w="8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line="20" w:lineRule="exact"/>
              <w:rPr>
                <w:sz w:val="1"/>
                <w:szCs w:val="1"/>
                <w:color w:val="auto"/>
              </w:rPr>
            </w:pPr>
          </w:p>
        </w:tc>
      </w:tr>
      <w:tr>
        <w:trPr>
          <w:trHeight w:val="128"/>
        </w:trPr>
        <w:tc>
          <w:tcPr>
            <w:tcW w:w="900" w:type="dxa"/>
            <w:vAlign w:val="bottom"/>
            <w:vMerge w:val="continue"/>
          </w:tcPr>
          <w:p>
            <w:pPr>
              <w:spacing w:after="0"/>
              <w:rPr>
                <w:sz w:val="11"/>
                <w:szCs w:val="11"/>
                <w:color w:val="auto"/>
              </w:rPr>
            </w:pPr>
          </w:p>
        </w:tc>
        <w:tc>
          <w:tcPr>
            <w:tcW w:w="4540" w:type="dxa"/>
            <w:vAlign w:val="bottom"/>
            <w:tcBorders>
              <w:bottom w:val="single" w:sz="8" w:color="0000FF"/>
            </w:tcBorders>
            <w:gridSpan w:val="19"/>
          </w:tcPr>
          <w:p>
            <w:pPr>
              <w:spacing w:after="0"/>
              <w:rPr>
                <w:sz w:val="20"/>
                <w:szCs w:val="20"/>
                <w:color w:val="auto"/>
              </w:rPr>
            </w:pPr>
            <w:r>
              <w:rPr>
                <w:rFonts w:ascii="Arial" w:cs="Arial" w:eastAsia="Arial" w:hAnsi="Arial"/>
                <w:sz w:val="11"/>
                <w:szCs w:val="11"/>
                <w:color w:val="0000FF"/>
                <w:w w:val="94"/>
              </w:rPr>
              <w:t>Certification of Chief Executive Officer pursuant to Section 302 of the Sarbanes-Oxley Act of 2002.</w:t>
            </w:r>
          </w:p>
        </w:tc>
        <w:tc>
          <w:tcPr>
            <w:tcW w:w="400" w:type="dxa"/>
            <w:vAlign w:val="bottom"/>
            <w:gridSpan w:val="11"/>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900" w:type="dxa"/>
            <w:vAlign w:val="bottom"/>
          </w:tcPr>
          <w:p>
            <w:pPr>
              <w:jc w:val="center"/>
              <w:ind w:right="44"/>
              <w:spacing w:after="0"/>
              <w:rPr>
                <w:sz w:val="20"/>
                <w:szCs w:val="20"/>
                <w:color w:val="auto"/>
              </w:rPr>
            </w:pPr>
            <w:r>
              <w:rPr>
                <w:rFonts w:ascii="Arial" w:cs="Arial" w:eastAsia="Arial" w:hAnsi="Arial"/>
                <w:sz w:val="11"/>
                <w:szCs w:val="11"/>
                <w:b w:val="1"/>
                <w:bCs w:val="1"/>
                <w:color w:val="auto"/>
                <w:w w:val="93"/>
              </w:rPr>
              <w:t>33.2</w:t>
            </w:r>
          </w:p>
        </w:tc>
        <w:tc>
          <w:tcPr>
            <w:tcW w:w="4940" w:type="dxa"/>
            <w:vAlign w:val="bottom"/>
            <w:gridSpan w:val="30"/>
          </w:tcPr>
          <w:p>
            <w:pPr>
              <w:spacing w:after="0"/>
              <w:rPr>
                <w:sz w:val="20"/>
                <w:szCs w:val="20"/>
                <w:color w:val="auto"/>
              </w:rPr>
            </w:pPr>
            <w:r>
              <w:rPr>
                <w:rFonts w:ascii="Arial" w:cs="Arial" w:eastAsia="Arial" w:hAnsi="Arial"/>
                <w:sz w:val="11"/>
                <w:szCs w:val="11"/>
                <w:color w:val="0000FF"/>
              </w:rPr>
              <w:t>Certification of Chief Financial Officer pursuant to Section 302 of the Sarbanes-Oxley Act of 2002.</w:t>
            </w:r>
          </w:p>
        </w:tc>
        <w:tc>
          <w:tcPr>
            <w:tcW w:w="15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3"/>
              </w:rPr>
              <w:t>33.2</w:t>
            </w: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4"/>
              </w:rPr>
              <w:t>November 14, 2022</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900" w:type="dxa"/>
            <w:vAlign w:val="bottom"/>
            <w:gridSpan w:val="8"/>
            <w:shd w:val="clear" w:color="auto" w:fill="0000FF"/>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00" w:type="dxa"/>
            <w:vAlign w:val="bottom"/>
            <w:vMerge w:val="restart"/>
          </w:tcPr>
          <w:p>
            <w:pPr>
              <w:jc w:val="center"/>
              <w:ind w:right="44"/>
              <w:spacing w:after="0"/>
              <w:rPr>
                <w:sz w:val="20"/>
                <w:szCs w:val="20"/>
                <w:color w:val="auto"/>
              </w:rPr>
            </w:pPr>
            <w:r>
              <w:rPr>
                <w:rFonts w:ascii="Arial" w:cs="Arial" w:eastAsia="Arial" w:hAnsi="Arial"/>
                <w:sz w:val="11"/>
                <w:szCs w:val="11"/>
                <w:b w:val="1"/>
                <w:bCs w:val="1"/>
                <w:color w:val="auto"/>
                <w:w w:val="93"/>
              </w:rPr>
              <w:t>99.1</w:t>
            </w:r>
          </w:p>
        </w:tc>
        <w:tc>
          <w:tcPr>
            <w:tcW w:w="4940" w:type="dxa"/>
            <w:vAlign w:val="bottom"/>
            <w:gridSpan w:val="30"/>
          </w:tcPr>
          <w:p>
            <w:pPr>
              <w:spacing w:after="0" w:line="118" w:lineRule="exact"/>
              <w:rPr>
                <w:rFonts w:ascii="Arial" w:cs="Arial" w:eastAsia="Arial" w:hAnsi="Arial"/>
                <w:sz w:val="11"/>
                <w:szCs w:val="11"/>
                <w:color w:val="0000FF"/>
              </w:rPr>
            </w:pPr>
            <w:hyperlink r:id="rId57">
              <w:r>
                <w:rPr>
                  <w:rFonts w:ascii="Arial" w:cs="Arial" w:eastAsia="Arial" w:hAnsi="Arial"/>
                  <w:sz w:val="11"/>
                  <w:szCs w:val="11"/>
                  <w:color w:val="0000FF"/>
                </w:rPr>
                <w:t>SpringBig Holdings, Inc. 2022 Long-Term Incentive Plan (incorporated by referecne to Exhibit to the</w:t>
              </w:r>
            </w:hyperlink>
          </w:p>
        </w:tc>
        <w:tc>
          <w:tcPr>
            <w:tcW w:w="1580" w:type="dxa"/>
            <w:vAlign w:val="bottom"/>
            <w:vMerge w:val="restart"/>
          </w:tcPr>
          <w:p>
            <w:pPr>
              <w:jc w:val="center"/>
              <w:ind w:right="24"/>
              <w:spacing w:after="0"/>
              <w:rPr>
                <w:sz w:val="20"/>
                <w:szCs w:val="20"/>
                <w:color w:val="auto"/>
              </w:rPr>
            </w:pPr>
            <w:r>
              <w:rPr>
                <w:rFonts w:ascii="Arial" w:cs="Arial" w:eastAsia="Arial" w:hAnsi="Arial"/>
                <w:sz w:val="11"/>
                <w:szCs w:val="11"/>
                <w:b w:val="1"/>
                <w:bCs w:val="1"/>
                <w:color w:val="auto"/>
              </w:rPr>
              <w:t>8-K</w:t>
            </w: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99.1</w:t>
            </w:r>
          </w:p>
        </w:tc>
        <w:tc>
          <w:tcPr>
            <w:tcW w:w="12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June 21, 2022</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900" w:type="dxa"/>
            <w:vAlign w:val="bottom"/>
            <w:vMerge w:val="continue"/>
          </w:tcPr>
          <w:p>
            <w:pPr>
              <w:spacing w:after="0"/>
              <w:rPr>
                <w:sz w:val="6"/>
                <w:szCs w:val="6"/>
                <w:color w:val="auto"/>
              </w:rPr>
            </w:pPr>
          </w:p>
        </w:tc>
        <w:tc>
          <w:tcPr>
            <w:tcW w:w="4600" w:type="dxa"/>
            <w:vAlign w:val="bottom"/>
            <w:tcBorders>
              <w:top w:val="single" w:sz="8" w:color="0000FF"/>
            </w:tcBorders>
            <w:gridSpan w:val="22"/>
          </w:tcPr>
          <w:p>
            <w:pPr>
              <w:spacing w:after="0" w:line="76" w:lineRule="exact"/>
              <w:rPr>
                <w:rFonts w:ascii="Arial" w:cs="Arial" w:eastAsia="Arial" w:hAnsi="Arial"/>
                <w:sz w:val="8"/>
                <w:szCs w:val="8"/>
                <w:color w:val="0000FF"/>
              </w:rPr>
            </w:pPr>
            <w:hyperlink r:id="rId57">
              <w:r>
                <w:rPr>
                  <w:rFonts w:ascii="Arial" w:cs="Arial" w:eastAsia="Arial" w:hAnsi="Arial"/>
                  <w:sz w:val="8"/>
                  <w:szCs w:val="8"/>
                  <w:color w:val="0000FF"/>
                </w:rPr>
                <w:t>Current Report on 8-K of the Company filed with the SEC on June 21, 2022)</w:t>
              </w:r>
            </w:hyperlink>
          </w:p>
        </w:tc>
        <w:tc>
          <w:tcPr>
            <w:tcW w:w="340" w:type="dxa"/>
            <w:vAlign w:val="bottom"/>
            <w:gridSpan w:val="8"/>
          </w:tcPr>
          <w:p>
            <w:pPr>
              <w:spacing w:after="0"/>
              <w:rPr>
                <w:sz w:val="6"/>
                <w:szCs w:val="6"/>
                <w:color w:val="auto"/>
              </w:rPr>
            </w:pPr>
          </w:p>
        </w:tc>
        <w:tc>
          <w:tcPr>
            <w:tcW w:w="15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900" w:type="dxa"/>
            <w:vAlign w:val="bottom"/>
          </w:tcPr>
          <w:p>
            <w:pPr>
              <w:jc w:val="center"/>
              <w:ind w:right="44"/>
              <w:spacing w:after="0"/>
              <w:rPr>
                <w:sz w:val="20"/>
                <w:szCs w:val="20"/>
                <w:color w:val="auto"/>
              </w:rPr>
            </w:pPr>
            <w:r>
              <w:rPr>
                <w:rFonts w:ascii="Arial" w:cs="Arial" w:eastAsia="Arial" w:hAnsi="Arial"/>
                <w:sz w:val="11"/>
                <w:szCs w:val="11"/>
                <w:b w:val="1"/>
                <w:bCs w:val="1"/>
                <w:color w:val="auto"/>
                <w:w w:val="93"/>
              </w:rPr>
              <w:t>99.2</w:t>
            </w:r>
          </w:p>
        </w:tc>
        <w:tc>
          <w:tcPr>
            <w:tcW w:w="1900" w:type="dxa"/>
            <w:vAlign w:val="bottom"/>
            <w:tcBorders>
              <w:top w:val="single" w:sz="8" w:color="0000FF"/>
              <w:bottom w:val="single" w:sz="8" w:color="0000FF"/>
            </w:tcBorders>
            <w:gridSpan w:val="8"/>
          </w:tcPr>
          <w:p>
            <w:pPr>
              <w:spacing w:after="0"/>
              <w:rPr>
                <w:rFonts w:ascii="Arial" w:cs="Arial" w:eastAsia="Arial" w:hAnsi="Arial"/>
                <w:sz w:val="11"/>
                <w:szCs w:val="11"/>
                <w:color w:val="0000FF"/>
                <w:w w:val="93"/>
              </w:rPr>
            </w:pPr>
            <w:hyperlink r:id="rId61">
              <w:r>
                <w:rPr>
                  <w:rFonts w:ascii="Arial" w:cs="Arial" w:eastAsia="Arial" w:hAnsi="Arial"/>
                  <w:sz w:val="11"/>
                  <w:szCs w:val="11"/>
                  <w:color w:val="0000FF"/>
                  <w:w w:val="93"/>
                </w:rPr>
                <w:t xml:space="preserve">Form of </w:t>
              </w:r>
            </w:hyperlink>
            <w:r>
              <w:rPr>
                <w:rFonts w:ascii="Arial" w:cs="Arial" w:eastAsia="Arial" w:hAnsi="Arial"/>
                <w:sz w:val="11"/>
                <w:szCs w:val="11"/>
                <w:color w:val="0000FF"/>
                <w:w w:val="93"/>
              </w:rPr>
              <w:t xml:space="preserve">Restricted </w:t>
            </w:r>
            <w:hyperlink r:id="rId61">
              <w:r>
                <w:rPr>
                  <w:rFonts w:ascii="Arial" w:cs="Arial" w:eastAsia="Arial" w:hAnsi="Arial"/>
                  <w:sz w:val="11"/>
                  <w:szCs w:val="11"/>
                  <w:color w:val="0000FF"/>
                  <w:w w:val="93"/>
                </w:rPr>
                <w:t>Stock Unit Agreement</w:t>
              </w:r>
            </w:hyperlink>
          </w:p>
        </w:tc>
        <w:tc>
          <w:tcPr>
            <w:tcW w:w="1580" w:type="dxa"/>
            <w:vAlign w:val="bottom"/>
            <w:tcBorders>
              <w:top w:val="single" w:sz="8" w:color="0000FF"/>
            </w:tcBorders>
            <w:gridSpan w:val="8"/>
          </w:tcPr>
          <w:p>
            <w:pPr>
              <w:spacing w:after="0"/>
              <w:rPr>
                <w:sz w:val="13"/>
                <w:szCs w:val="13"/>
                <w:color w:val="auto"/>
              </w:rPr>
            </w:pPr>
          </w:p>
        </w:tc>
        <w:tc>
          <w:tcPr>
            <w:tcW w:w="1460" w:type="dxa"/>
            <w:vAlign w:val="bottom"/>
            <w:gridSpan w:val="14"/>
          </w:tcPr>
          <w:p>
            <w:pPr>
              <w:spacing w:after="0"/>
              <w:rPr>
                <w:sz w:val="13"/>
                <w:szCs w:val="13"/>
                <w:color w:val="auto"/>
              </w:rPr>
            </w:pPr>
          </w:p>
        </w:tc>
        <w:tc>
          <w:tcPr>
            <w:tcW w:w="1580" w:type="dxa"/>
            <w:vAlign w:val="bottom"/>
          </w:tcPr>
          <w:p>
            <w:pPr>
              <w:jc w:val="center"/>
              <w:ind w:right="4"/>
              <w:spacing w:after="0"/>
              <w:rPr>
                <w:sz w:val="20"/>
                <w:szCs w:val="20"/>
                <w:color w:val="auto"/>
              </w:rPr>
            </w:pPr>
            <w:r>
              <w:rPr>
                <w:rFonts w:ascii="Arial" w:cs="Arial" w:eastAsia="Arial" w:hAnsi="Arial"/>
                <w:sz w:val="11"/>
                <w:szCs w:val="11"/>
                <w:b w:val="1"/>
                <w:bCs w:val="1"/>
                <w:color w:val="auto"/>
                <w:w w:val="93"/>
              </w:rPr>
              <w:t>S-8</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93"/>
              </w:rPr>
              <w:t>99.2</w:t>
            </w:r>
          </w:p>
        </w:tc>
        <w:tc>
          <w:tcPr>
            <w:tcW w:w="1220" w:type="dxa"/>
            <w:vAlign w:val="bottom"/>
          </w:tcPr>
          <w:p>
            <w:pPr>
              <w:jc w:val="center"/>
              <w:spacing w:after="0"/>
              <w:rPr>
                <w:sz w:val="20"/>
                <w:szCs w:val="20"/>
                <w:color w:val="auto"/>
              </w:rPr>
            </w:pPr>
            <w:r>
              <w:rPr>
                <w:rFonts w:ascii="Arial" w:cs="Arial" w:eastAsia="Arial" w:hAnsi="Arial"/>
                <w:sz w:val="11"/>
                <w:szCs w:val="11"/>
                <w:b w:val="1"/>
                <w:bCs w:val="1"/>
                <w:color w:val="auto"/>
                <w:w w:val="93"/>
              </w:rPr>
              <w:t>August 22, 2022</w:t>
            </w:r>
          </w:p>
        </w:tc>
        <w:tc>
          <w:tcPr>
            <w:tcW w:w="8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141"/>
        </w:trPr>
        <w:tc>
          <w:tcPr>
            <w:tcW w:w="900" w:type="dxa"/>
            <w:vAlign w:val="bottom"/>
          </w:tcPr>
          <w:p>
            <w:pPr>
              <w:jc w:val="center"/>
              <w:ind w:right="44"/>
              <w:spacing w:after="0"/>
              <w:rPr>
                <w:sz w:val="20"/>
                <w:szCs w:val="20"/>
                <w:color w:val="auto"/>
              </w:rPr>
            </w:pPr>
            <w:r>
              <w:rPr>
                <w:rFonts w:ascii="Arial" w:cs="Arial" w:eastAsia="Arial" w:hAnsi="Arial"/>
                <w:sz w:val="11"/>
                <w:szCs w:val="11"/>
                <w:color w:val="auto"/>
                <w:w w:val="99"/>
              </w:rPr>
              <w:t>101.INS*</w:t>
            </w:r>
          </w:p>
        </w:tc>
        <w:tc>
          <w:tcPr>
            <w:tcW w:w="4940" w:type="dxa"/>
            <w:vAlign w:val="bottom"/>
            <w:gridSpan w:val="30"/>
          </w:tcPr>
          <w:p>
            <w:pPr>
              <w:spacing w:after="0"/>
              <w:rPr>
                <w:sz w:val="20"/>
                <w:szCs w:val="20"/>
                <w:color w:val="auto"/>
              </w:rPr>
            </w:pPr>
            <w:r>
              <w:rPr>
                <w:rFonts w:ascii="Arial" w:cs="Arial" w:eastAsia="Arial" w:hAnsi="Arial"/>
                <w:sz w:val="11"/>
                <w:szCs w:val="11"/>
                <w:color w:val="auto"/>
              </w:rPr>
              <w:t>XBRL Instance Document</w:t>
            </w:r>
          </w:p>
        </w:tc>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900" w:type="dxa"/>
            <w:vAlign w:val="bottom"/>
          </w:tcPr>
          <w:p>
            <w:pPr>
              <w:jc w:val="center"/>
              <w:ind w:right="44"/>
              <w:spacing w:after="0"/>
              <w:rPr>
                <w:sz w:val="20"/>
                <w:szCs w:val="20"/>
                <w:color w:val="auto"/>
              </w:rPr>
            </w:pPr>
            <w:r>
              <w:rPr>
                <w:rFonts w:ascii="Arial" w:cs="Arial" w:eastAsia="Arial" w:hAnsi="Arial"/>
                <w:sz w:val="11"/>
                <w:szCs w:val="11"/>
                <w:color w:val="auto"/>
                <w:w w:val="98"/>
              </w:rPr>
              <w:t>101.SCH*</w:t>
            </w:r>
          </w:p>
        </w:tc>
        <w:tc>
          <w:tcPr>
            <w:tcW w:w="4940" w:type="dxa"/>
            <w:vAlign w:val="bottom"/>
            <w:gridSpan w:val="30"/>
          </w:tcPr>
          <w:p>
            <w:pPr>
              <w:spacing w:after="0"/>
              <w:rPr>
                <w:sz w:val="20"/>
                <w:szCs w:val="20"/>
                <w:color w:val="auto"/>
              </w:rPr>
            </w:pPr>
            <w:r>
              <w:rPr>
                <w:rFonts w:ascii="Arial" w:cs="Arial" w:eastAsia="Arial" w:hAnsi="Arial"/>
                <w:sz w:val="11"/>
                <w:szCs w:val="11"/>
                <w:color w:val="auto"/>
              </w:rPr>
              <w:t>XBRL Taxonomy Extension Schema Document</w:t>
            </w: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159"/>
        </w:trPr>
        <w:tc>
          <w:tcPr>
            <w:tcW w:w="900" w:type="dxa"/>
            <w:vAlign w:val="bottom"/>
          </w:tcPr>
          <w:p>
            <w:pPr>
              <w:jc w:val="center"/>
              <w:ind w:right="44"/>
              <w:spacing w:after="0"/>
              <w:rPr>
                <w:sz w:val="20"/>
                <w:szCs w:val="20"/>
                <w:color w:val="auto"/>
              </w:rPr>
            </w:pPr>
            <w:r>
              <w:rPr>
                <w:rFonts w:ascii="Arial" w:cs="Arial" w:eastAsia="Arial" w:hAnsi="Arial"/>
                <w:sz w:val="11"/>
                <w:szCs w:val="11"/>
                <w:color w:val="auto"/>
              </w:rPr>
              <w:t>101.CAL*</w:t>
            </w:r>
          </w:p>
        </w:tc>
        <w:tc>
          <w:tcPr>
            <w:tcW w:w="4940" w:type="dxa"/>
            <w:vAlign w:val="bottom"/>
            <w:gridSpan w:val="30"/>
          </w:tcPr>
          <w:p>
            <w:pPr>
              <w:spacing w:after="0"/>
              <w:rPr>
                <w:sz w:val="20"/>
                <w:szCs w:val="20"/>
                <w:color w:val="auto"/>
              </w:rPr>
            </w:pPr>
            <w:r>
              <w:rPr>
                <w:rFonts w:ascii="Arial" w:cs="Arial" w:eastAsia="Arial" w:hAnsi="Arial"/>
                <w:sz w:val="11"/>
                <w:szCs w:val="11"/>
                <w:color w:val="auto"/>
              </w:rPr>
              <w:t>XBRL Taxonomy Extension Calculation Linkbase Document</w:t>
            </w: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159"/>
        </w:trPr>
        <w:tc>
          <w:tcPr>
            <w:tcW w:w="900" w:type="dxa"/>
            <w:vAlign w:val="bottom"/>
          </w:tcPr>
          <w:p>
            <w:pPr>
              <w:jc w:val="center"/>
              <w:ind w:right="44"/>
              <w:spacing w:after="0"/>
              <w:rPr>
                <w:sz w:val="20"/>
                <w:szCs w:val="20"/>
                <w:color w:val="auto"/>
              </w:rPr>
            </w:pPr>
            <w:r>
              <w:rPr>
                <w:rFonts w:ascii="Arial" w:cs="Arial" w:eastAsia="Arial" w:hAnsi="Arial"/>
                <w:sz w:val="11"/>
                <w:szCs w:val="11"/>
                <w:color w:val="auto"/>
              </w:rPr>
              <w:t>101.DEF*</w:t>
            </w:r>
          </w:p>
        </w:tc>
        <w:tc>
          <w:tcPr>
            <w:tcW w:w="4940" w:type="dxa"/>
            <w:vAlign w:val="bottom"/>
            <w:gridSpan w:val="30"/>
          </w:tcPr>
          <w:p>
            <w:pPr>
              <w:spacing w:after="0"/>
              <w:rPr>
                <w:sz w:val="20"/>
                <w:szCs w:val="20"/>
                <w:color w:val="auto"/>
              </w:rPr>
            </w:pPr>
            <w:r>
              <w:rPr>
                <w:rFonts w:ascii="Arial" w:cs="Arial" w:eastAsia="Arial" w:hAnsi="Arial"/>
                <w:sz w:val="11"/>
                <w:szCs w:val="11"/>
                <w:color w:val="auto"/>
              </w:rPr>
              <w:t>XBRL Taxonomy Extension Definition Linkbase Document</w:t>
            </w: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159"/>
        </w:trPr>
        <w:tc>
          <w:tcPr>
            <w:tcW w:w="900" w:type="dxa"/>
            <w:vAlign w:val="bottom"/>
          </w:tcPr>
          <w:p>
            <w:pPr>
              <w:jc w:val="center"/>
              <w:ind w:right="44"/>
              <w:spacing w:after="0"/>
              <w:rPr>
                <w:sz w:val="20"/>
                <w:szCs w:val="20"/>
                <w:color w:val="auto"/>
              </w:rPr>
            </w:pPr>
            <w:r>
              <w:rPr>
                <w:rFonts w:ascii="Arial" w:cs="Arial" w:eastAsia="Arial" w:hAnsi="Arial"/>
                <w:sz w:val="11"/>
                <w:szCs w:val="11"/>
                <w:color w:val="auto"/>
              </w:rPr>
              <w:t>101.LAB*</w:t>
            </w:r>
          </w:p>
        </w:tc>
        <w:tc>
          <w:tcPr>
            <w:tcW w:w="4940" w:type="dxa"/>
            <w:vAlign w:val="bottom"/>
            <w:gridSpan w:val="30"/>
          </w:tcPr>
          <w:p>
            <w:pPr>
              <w:spacing w:after="0"/>
              <w:rPr>
                <w:sz w:val="20"/>
                <w:szCs w:val="20"/>
                <w:color w:val="auto"/>
              </w:rPr>
            </w:pPr>
            <w:r>
              <w:rPr>
                <w:rFonts w:ascii="Arial" w:cs="Arial" w:eastAsia="Arial" w:hAnsi="Arial"/>
                <w:sz w:val="11"/>
                <w:szCs w:val="11"/>
                <w:color w:val="auto"/>
              </w:rPr>
              <w:t>XBRL Taxonomy Extension Labels Linkbase Document</w:t>
            </w: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r>
        <w:trPr>
          <w:trHeight w:val="159"/>
        </w:trPr>
        <w:tc>
          <w:tcPr>
            <w:tcW w:w="900" w:type="dxa"/>
            <w:vAlign w:val="bottom"/>
          </w:tcPr>
          <w:p>
            <w:pPr>
              <w:jc w:val="center"/>
              <w:ind w:right="64"/>
              <w:spacing w:after="0"/>
              <w:rPr>
                <w:sz w:val="20"/>
                <w:szCs w:val="20"/>
                <w:color w:val="auto"/>
              </w:rPr>
            </w:pPr>
            <w:r>
              <w:rPr>
                <w:rFonts w:ascii="Arial" w:cs="Arial" w:eastAsia="Arial" w:hAnsi="Arial"/>
                <w:sz w:val="11"/>
                <w:szCs w:val="11"/>
                <w:color w:val="auto"/>
                <w:w w:val="95"/>
              </w:rPr>
              <w:t>101.PRE*</w:t>
            </w:r>
          </w:p>
        </w:tc>
        <w:tc>
          <w:tcPr>
            <w:tcW w:w="4940" w:type="dxa"/>
            <w:vAlign w:val="bottom"/>
            <w:gridSpan w:val="30"/>
          </w:tcPr>
          <w:p>
            <w:pPr>
              <w:spacing w:after="0"/>
              <w:rPr>
                <w:sz w:val="20"/>
                <w:szCs w:val="20"/>
                <w:color w:val="auto"/>
              </w:rPr>
            </w:pPr>
            <w:r>
              <w:rPr>
                <w:rFonts w:ascii="Arial" w:cs="Arial" w:eastAsia="Arial" w:hAnsi="Arial"/>
                <w:sz w:val="11"/>
                <w:szCs w:val="11"/>
                <w:color w:val="auto"/>
              </w:rPr>
              <w:t>XBRL Taxonomy Extension Presentation Linkbase Document</w:t>
            </w: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485775</wp:posOffset>
            </wp:positionV>
            <wp:extent cx="7155180" cy="1949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55180" cy="1949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-3446780</wp:posOffset>
            </wp:positionV>
            <wp:extent cx="7155180" cy="1079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-3231515</wp:posOffset>
            </wp:positionV>
            <wp:extent cx="715518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55180" cy="18859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-2935605</wp:posOffset>
            </wp:positionV>
            <wp:extent cx="7155180" cy="1079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-2639060</wp:posOffset>
            </wp:positionV>
            <wp:extent cx="7155180" cy="1079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-2343150</wp:posOffset>
            </wp:positionV>
            <wp:extent cx="715518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55180" cy="18859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-2047240</wp:posOffset>
            </wp:positionV>
            <wp:extent cx="7155180" cy="107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55180" cy="1079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-1831340</wp:posOffset>
            </wp:positionV>
            <wp:extent cx="715518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55180" cy="18859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-1454785</wp:posOffset>
            </wp:positionV>
            <wp:extent cx="715518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55180" cy="18859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-1158240</wp:posOffset>
            </wp:positionV>
            <wp:extent cx="7155180" cy="1009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55180" cy="10096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-949960</wp:posOffset>
            </wp:positionV>
            <wp:extent cx="7155180" cy="1009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55180" cy="10096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-694055</wp:posOffset>
            </wp:positionV>
            <wp:extent cx="7155180" cy="1009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55180" cy="10096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-492125</wp:posOffset>
            </wp:positionV>
            <wp:extent cx="7155180" cy="1009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55180" cy="10096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-290195</wp:posOffset>
            </wp:positionV>
            <wp:extent cx="7155180" cy="1009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55180" cy="10096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-88265</wp:posOffset>
            </wp:positionV>
            <wp:extent cx="7155180" cy="1009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55180" cy="100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SEC File #</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333-262628</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333-262628</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333-262628</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001-40049</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001-40049</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001-40049</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001-40049</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001-40049</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001-40049</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001-40049</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001-40049</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001-40049</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001-40049</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001-40049</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001-40049</w:t>
      </w:r>
    </w:p>
    <w:p>
      <w:pPr>
        <w:spacing w:after="0" w:line="17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333-266293</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001-40049</w:t>
      </w:r>
    </w:p>
    <w:p>
      <w:pPr>
        <w:spacing w:after="0" w:line="3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333-267011</w:t>
      </w:r>
    </w:p>
    <w:p>
      <w:pPr>
        <w:spacing w:after="0" w:line="1174" w:lineRule="exact"/>
        <w:rPr>
          <w:sz w:val="20"/>
          <w:szCs w:val="20"/>
          <w:color w:val="auto"/>
        </w:rPr>
      </w:pPr>
    </w:p>
    <w:p>
      <w:pPr>
        <w:sectPr>
          <w:pgSz w:w="11900" w:h="16838" w:orient="portrait"/>
          <w:cols w:equalWidth="0" w:num="2">
            <w:col w:w="10220" w:space="80"/>
            <w:col w:w="740"/>
          </w:cols>
          <w:pgMar w:left="300" w:top="769" w:right="559" w:bottom="1440" w:gutter="0" w:footer="0" w:header="0"/>
        </w:sectPr>
      </w:pP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 Furnished herewith.</w:t>
      </w: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769" w:right="559" w:bottom="1440" w:gutter="0" w:footer="0" w:header="0"/>
          <w:type w:val="continuous"/>
        </w:sectPr>
      </w:pPr>
    </w:p>
    <w:bookmarkStart w:id="42" w:name="page43"/>
    <w:bookmarkEnd w:id="42"/>
    <w:p>
      <w:pPr>
        <w:jc w:val="center"/>
        <w:ind w:right="-259"/>
        <w:spacing w:after="0"/>
        <w:rPr>
          <w:sz w:val="20"/>
          <w:szCs w:val="20"/>
          <w:color w:val="auto"/>
        </w:rPr>
      </w:pPr>
      <w:r>
        <w:rPr>
          <w:rFonts w:ascii="Arial" w:cs="Arial" w:eastAsia="Arial" w:hAnsi="Arial"/>
          <w:sz w:val="14"/>
          <w:szCs w:val="14"/>
          <w:b w:val="1"/>
          <w:bCs w:val="1"/>
          <w:color w:val="auto"/>
        </w:rPr>
        <w:t>SIGNATURES</w:t>
      </w:r>
    </w:p>
    <w:p>
      <w:pPr>
        <w:spacing w:after="0" w:line="182" w:lineRule="exact"/>
        <w:rPr>
          <w:sz w:val="20"/>
          <w:szCs w:val="20"/>
          <w:color w:val="auto"/>
        </w:rPr>
      </w:pPr>
    </w:p>
    <w:p>
      <w:pPr>
        <w:ind w:firstLine="350"/>
        <w:spacing w:after="0" w:line="236"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SpringBig Holdings, Inc</w:t>
      </w:r>
    </w:p>
    <w:p>
      <w:pPr>
        <w:spacing w:after="0" w:line="225" w:lineRule="exact"/>
        <w:rPr>
          <w:sz w:val="20"/>
          <w:szCs w:val="20"/>
          <w:color w:val="auto"/>
        </w:rPr>
      </w:pPr>
    </w:p>
    <w:tbl>
      <w:tblPr>
        <w:tblLayout w:type="fixed"/>
        <w:tblInd w:w="360" w:type="dxa"/>
        <w:tblCellMar>
          <w:top w:w="0" w:type="dxa"/>
          <w:left w:w="0" w:type="dxa"/>
          <w:bottom w:w="0" w:type="dxa"/>
          <w:right w:w="0" w:type="dxa"/>
        </w:tblCellMar>
      </w:tblPr>
      <w:tr>
        <w:trPr>
          <w:trHeight w:val="180"/>
        </w:trPr>
        <w:tc>
          <w:tcPr>
            <w:tcW w:w="980" w:type="dxa"/>
            <w:vAlign w:val="bottom"/>
          </w:tcPr>
          <w:p>
            <w:pPr>
              <w:spacing w:after="0"/>
              <w:rPr>
                <w:sz w:val="20"/>
                <w:szCs w:val="20"/>
                <w:color w:val="auto"/>
              </w:rPr>
            </w:pPr>
            <w:r>
              <w:rPr>
                <w:rFonts w:ascii="Arial" w:cs="Arial" w:eastAsia="Arial" w:hAnsi="Arial"/>
                <w:sz w:val="14"/>
                <w:szCs w:val="14"/>
                <w:color w:val="auto"/>
              </w:rPr>
              <w:t>By:</w:t>
            </w:r>
          </w:p>
        </w:tc>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Jeffrey Harris</w:t>
            </w:r>
          </w:p>
        </w:tc>
      </w:tr>
      <w:tr>
        <w:trPr>
          <w:trHeight w:val="171"/>
        </w:trPr>
        <w:tc>
          <w:tcPr>
            <w:tcW w:w="980" w:type="dxa"/>
            <w:vAlign w:val="bottom"/>
          </w:tcPr>
          <w:p>
            <w:pPr>
              <w:spacing w:after="0"/>
              <w:rPr>
                <w:sz w:val="20"/>
                <w:szCs w:val="20"/>
                <w:color w:val="auto"/>
              </w:rPr>
            </w:pPr>
            <w:r>
              <w:rPr>
                <w:rFonts w:ascii="Arial" w:cs="Arial" w:eastAsia="Arial" w:hAnsi="Arial"/>
                <w:sz w:val="14"/>
                <w:szCs w:val="14"/>
                <w:color w:val="auto"/>
              </w:rPr>
              <w:t>Name:</w:t>
            </w:r>
          </w:p>
        </w:tc>
        <w:tc>
          <w:tcPr>
            <w:tcW w:w="7200" w:type="dxa"/>
            <w:vAlign w:val="bottom"/>
          </w:tcPr>
          <w:p>
            <w:pPr>
              <w:ind w:left="20"/>
              <w:spacing w:after="0"/>
              <w:rPr>
                <w:sz w:val="20"/>
                <w:szCs w:val="20"/>
                <w:color w:val="auto"/>
              </w:rPr>
            </w:pPr>
            <w:r>
              <w:rPr>
                <w:rFonts w:ascii="Arial" w:cs="Arial" w:eastAsia="Arial" w:hAnsi="Arial"/>
                <w:sz w:val="14"/>
                <w:szCs w:val="14"/>
                <w:color w:val="auto"/>
              </w:rPr>
              <w:t>Jeffrey Harris</w:t>
            </w:r>
          </w:p>
        </w:tc>
      </w:tr>
      <w:tr>
        <w:trPr>
          <w:trHeight w:val="180"/>
        </w:trPr>
        <w:tc>
          <w:tcPr>
            <w:tcW w:w="980" w:type="dxa"/>
            <w:vAlign w:val="bottom"/>
          </w:tcPr>
          <w:p>
            <w:pPr>
              <w:spacing w:after="0"/>
              <w:rPr>
                <w:sz w:val="20"/>
                <w:szCs w:val="20"/>
                <w:color w:val="auto"/>
              </w:rPr>
            </w:pPr>
            <w:r>
              <w:rPr>
                <w:rFonts w:ascii="Arial" w:cs="Arial" w:eastAsia="Arial" w:hAnsi="Arial"/>
                <w:sz w:val="14"/>
                <w:szCs w:val="14"/>
                <w:color w:val="auto"/>
              </w:rPr>
              <w:t>Title:</w:t>
            </w:r>
          </w:p>
        </w:tc>
        <w:tc>
          <w:tcPr>
            <w:tcW w:w="7200" w:type="dxa"/>
            <w:vAlign w:val="bottom"/>
          </w:tcPr>
          <w:p>
            <w:pPr>
              <w:ind w:left="20"/>
              <w:spacing w:after="0"/>
              <w:rPr>
                <w:sz w:val="20"/>
                <w:szCs w:val="20"/>
                <w:color w:val="auto"/>
              </w:rPr>
            </w:pPr>
            <w:r>
              <w:rPr>
                <w:rFonts w:ascii="Arial" w:cs="Arial" w:eastAsia="Arial" w:hAnsi="Arial"/>
                <w:sz w:val="14"/>
                <w:szCs w:val="14"/>
                <w:color w:val="auto"/>
              </w:rPr>
              <w:t>Chief Executive Officer</w:t>
            </w:r>
          </w:p>
        </w:tc>
      </w:tr>
      <w:tr>
        <w:trPr>
          <w:trHeight w:val="201"/>
        </w:trPr>
        <w:tc>
          <w:tcPr>
            <w:tcW w:w="980" w:type="dxa"/>
            <w:vAlign w:val="bottom"/>
          </w:tcPr>
          <w:p>
            <w:pPr>
              <w:spacing w:after="0"/>
              <w:rPr>
                <w:sz w:val="17"/>
                <w:szCs w:val="17"/>
                <w:color w:val="auto"/>
              </w:rPr>
            </w:pPr>
          </w:p>
        </w:tc>
        <w:tc>
          <w:tcPr>
            <w:tcW w:w="7200" w:type="dxa"/>
            <w:vAlign w:val="bottom"/>
          </w:tcPr>
          <w:p>
            <w:pPr>
              <w:ind w:left="20"/>
              <w:spacing w:after="0"/>
              <w:rPr>
                <w:sz w:val="20"/>
                <w:szCs w:val="20"/>
                <w:color w:val="auto"/>
              </w:rPr>
            </w:pPr>
            <w:r>
              <w:rPr>
                <w:rFonts w:ascii="Arial" w:cs="Arial" w:eastAsia="Arial" w:hAnsi="Arial"/>
                <w:sz w:val="14"/>
                <w:szCs w:val="14"/>
                <w:color w:val="auto"/>
              </w:rPr>
              <w:t>(Principal Executive Officer)</w:t>
            </w:r>
          </w:p>
        </w:tc>
      </w:tr>
      <w:tr>
        <w:trPr>
          <w:trHeight w:val="201"/>
        </w:trPr>
        <w:tc>
          <w:tcPr>
            <w:tcW w:w="980" w:type="dxa"/>
            <w:vAlign w:val="bottom"/>
          </w:tcPr>
          <w:p>
            <w:pPr>
              <w:spacing w:after="0"/>
              <w:rPr>
                <w:sz w:val="20"/>
                <w:szCs w:val="20"/>
                <w:color w:val="auto"/>
              </w:rPr>
            </w:pPr>
            <w:r>
              <w:rPr>
                <w:rFonts w:ascii="Arial" w:cs="Arial" w:eastAsia="Arial" w:hAnsi="Arial"/>
                <w:sz w:val="14"/>
                <w:szCs w:val="14"/>
                <w:color w:val="auto"/>
              </w:rPr>
              <w:t>Date:</w:t>
            </w:r>
          </w:p>
        </w:tc>
        <w:tc>
          <w:tcPr>
            <w:tcW w:w="7200" w:type="dxa"/>
            <w:vAlign w:val="bottom"/>
          </w:tcPr>
          <w:p>
            <w:pPr>
              <w:ind w:left="20"/>
              <w:spacing w:after="0"/>
              <w:rPr>
                <w:sz w:val="20"/>
                <w:szCs w:val="20"/>
                <w:color w:val="auto"/>
              </w:rPr>
            </w:pPr>
            <w:r>
              <w:rPr>
                <w:rFonts w:ascii="Arial" w:cs="Arial" w:eastAsia="Arial" w:hAnsi="Arial"/>
                <w:sz w:val="14"/>
                <w:szCs w:val="14"/>
                <w:color w:val="auto"/>
              </w:rPr>
              <w:t>November 14, 2022</w:t>
            </w:r>
          </w:p>
        </w:tc>
      </w:tr>
      <w:tr>
        <w:trPr>
          <w:trHeight w:val="604"/>
        </w:trPr>
        <w:tc>
          <w:tcPr>
            <w:tcW w:w="980" w:type="dxa"/>
            <w:vAlign w:val="bottom"/>
          </w:tcPr>
          <w:p>
            <w:pPr>
              <w:spacing w:after="0"/>
              <w:rPr>
                <w:sz w:val="20"/>
                <w:szCs w:val="20"/>
                <w:color w:val="auto"/>
              </w:rPr>
            </w:pPr>
            <w:r>
              <w:rPr>
                <w:rFonts w:ascii="Arial" w:cs="Arial" w:eastAsia="Arial" w:hAnsi="Arial"/>
                <w:sz w:val="14"/>
                <w:szCs w:val="14"/>
                <w:color w:val="auto"/>
              </w:rPr>
              <w:t>By:</w:t>
            </w:r>
          </w:p>
        </w:tc>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Paul Sykes</w:t>
            </w:r>
          </w:p>
        </w:tc>
      </w:tr>
      <w:tr>
        <w:trPr>
          <w:trHeight w:val="171"/>
        </w:trPr>
        <w:tc>
          <w:tcPr>
            <w:tcW w:w="980" w:type="dxa"/>
            <w:vAlign w:val="bottom"/>
          </w:tcPr>
          <w:p>
            <w:pPr>
              <w:spacing w:after="0"/>
              <w:rPr>
                <w:sz w:val="20"/>
                <w:szCs w:val="20"/>
                <w:color w:val="auto"/>
              </w:rPr>
            </w:pPr>
            <w:r>
              <w:rPr>
                <w:rFonts w:ascii="Arial" w:cs="Arial" w:eastAsia="Arial" w:hAnsi="Arial"/>
                <w:sz w:val="14"/>
                <w:szCs w:val="14"/>
                <w:color w:val="auto"/>
              </w:rPr>
              <w:t>Name:</w:t>
            </w:r>
          </w:p>
        </w:tc>
        <w:tc>
          <w:tcPr>
            <w:tcW w:w="7200" w:type="dxa"/>
            <w:vAlign w:val="bottom"/>
          </w:tcPr>
          <w:p>
            <w:pPr>
              <w:ind w:left="20"/>
              <w:spacing w:after="0"/>
              <w:rPr>
                <w:sz w:val="20"/>
                <w:szCs w:val="20"/>
                <w:color w:val="auto"/>
              </w:rPr>
            </w:pPr>
            <w:r>
              <w:rPr>
                <w:rFonts w:ascii="Arial" w:cs="Arial" w:eastAsia="Arial" w:hAnsi="Arial"/>
                <w:sz w:val="14"/>
                <w:szCs w:val="14"/>
                <w:color w:val="auto"/>
              </w:rPr>
              <w:t>Paul Sykes</w:t>
            </w:r>
          </w:p>
        </w:tc>
      </w:tr>
      <w:tr>
        <w:trPr>
          <w:trHeight w:val="180"/>
        </w:trPr>
        <w:tc>
          <w:tcPr>
            <w:tcW w:w="980" w:type="dxa"/>
            <w:vAlign w:val="bottom"/>
          </w:tcPr>
          <w:p>
            <w:pPr>
              <w:spacing w:after="0"/>
              <w:rPr>
                <w:sz w:val="20"/>
                <w:szCs w:val="20"/>
                <w:color w:val="auto"/>
              </w:rPr>
            </w:pPr>
            <w:r>
              <w:rPr>
                <w:rFonts w:ascii="Arial" w:cs="Arial" w:eastAsia="Arial" w:hAnsi="Arial"/>
                <w:sz w:val="14"/>
                <w:szCs w:val="14"/>
                <w:color w:val="auto"/>
              </w:rPr>
              <w:t>Title:</w:t>
            </w:r>
          </w:p>
        </w:tc>
        <w:tc>
          <w:tcPr>
            <w:tcW w:w="720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201"/>
        </w:trPr>
        <w:tc>
          <w:tcPr>
            <w:tcW w:w="980" w:type="dxa"/>
            <w:vAlign w:val="bottom"/>
          </w:tcPr>
          <w:p>
            <w:pPr>
              <w:spacing w:after="0"/>
              <w:rPr>
                <w:sz w:val="17"/>
                <w:szCs w:val="17"/>
                <w:color w:val="auto"/>
              </w:rPr>
            </w:pPr>
          </w:p>
        </w:tc>
        <w:tc>
          <w:tcPr>
            <w:tcW w:w="7200" w:type="dxa"/>
            <w:vAlign w:val="bottom"/>
          </w:tcPr>
          <w:p>
            <w:pPr>
              <w:ind w:left="20"/>
              <w:spacing w:after="0"/>
              <w:rPr>
                <w:sz w:val="20"/>
                <w:szCs w:val="20"/>
                <w:color w:val="auto"/>
              </w:rPr>
            </w:pPr>
            <w:r>
              <w:rPr>
                <w:rFonts w:ascii="Arial" w:cs="Arial" w:eastAsia="Arial" w:hAnsi="Arial"/>
                <w:sz w:val="14"/>
                <w:szCs w:val="14"/>
                <w:color w:val="auto"/>
              </w:rPr>
              <w:t>(Principal Financial Officer and Principal Accounting Officer)</w:t>
            </w:r>
          </w:p>
        </w:tc>
      </w:tr>
      <w:tr>
        <w:trPr>
          <w:trHeight w:val="180"/>
        </w:trPr>
        <w:tc>
          <w:tcPr>
            <w:tcW w:w="980" w:type="dxa"/>
            <w:vAlign w:val="bottom"/>
          </w:tcPr>
          <w:p>
            <w:pPr>
              <w:spacing w:after="0"/>
              <w:rPr>
                <w:sz w:val="20"/>
                <w:szCs w:val="20"/>
                <w:color w:val="auto"/>
              </w:rPr>
            </w:pPr>
            <w:r>
              <w:rPr>
                <w:rFonts w:ascii="Arial" w:cs="Arial" w:eastAsia="Arial" w:hAnsi="Arial"/>
                <w:sz w:val="14"/>
                <w:szCs w:val="14"/>
                <w:color w:val="auto"/>
              </w:rPr>
              <w:t>Date:</w:t>
            </w:r>
          </w:p>
        </w:tc>
        <w:tc>
          <w:tcPr>
            <w:tcW w:w="7200" w:type="dxa"/>
            <w:vAlign w:val="bottom"/>
          </w:tcPr>
          <w:p>
            <w:pPr>
              <w:ind w:left="20"/>
              <w:spacing w:after="0"/>
              <w:rPr>
                <w:sz w:val="20"/>
                <w:szCs w:val="20"/>
                <w:color w:val="auto"/>
              </w:rPr>
            </w:pPr>
            <w:r>
              <w:rPr>
                <w:rFonts w:ascii="Arial" w:cs="Arial" w:eastAsia="Arial" w:hAnsi="Arial"/>
                <w:sz w:val="14"/>
                <w:szCs w:val="14"/>
                <w:color w:val="auto"/>
              </w:rPr>
              <w:t>November 14,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040"/>
          </w:cols>
          <w:pgMar w:left="300" w:top="1323" w:right="559" w:bottom="1440"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304800</wp:posOffset>
            </wp:positionH>
            <wp:positionV relativeFrom="page">
              <wp:posOffset>304165</wp:posOffset>
            </wp:positionV>
            <wp:extent cx="7046595" cy="9318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046595"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304800</wp:posOffset>
            </wp:positionH>
            <wp:positionV relativeFrom="page">
              <wp:posOffset>304165</wp:posOffset>
            </wp:positionV>
            <wp:extent cx="7046595" cy="93186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046595"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5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05650"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18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0565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304800</wp:posOffset>
            </wp:positionH>
            <wp:positionV relativeFrom="page">
              <wp:posOffset>304165</wp:posOffset>
            </wp:positionV>
            <wp:extent cx="7046595" cy="9325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046595" cy="9325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304800</wp:posOffset>
            </wp:positionH>
            <wp:positionV relativeFrom="page">
              <wp:posOffset>425450</wp:posOffset>
            </wp:positionV>
            <wp:extent cx="7046595" cy="93186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046595"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56" Type="http://schemas.openxmlformats.org/officeDocument/2006/relationships/hyperlink" Target="https://www.sec.gov/Archives/edgar/data/1801602/000114036122019634/0001140361-22-019634-index.htm" TargetMode="External"/><Relationship Id="rId57" Type="http://schemas.openxmlformats.org/officeDocument/2006/relationships/hyperlink" Target="https://www.sec.gov/Archives/edgar/data/1801602/000114036122023538/0001140361-22-023538-index.htm" TargetMode="External"/><Relationship Id="rId58" Type="http://schemas.openxmlformats.org/officeDocument/2006/relationships/hyperlink" Target="https://www.sec.gov/Archives/edgar/data/1801602/000114036121037117/0001140361-21-037117-index.htm" TargetMode="External"/><Relationship Id="rId59" Type="http://schemas.openxmlformats.org/officeDocument/2006/relationships/hyperlink" Target="https://www.sec.gov/Archives/edgar/data/1801602/000114036122017112/0001140361-22-017112-index.htm" TargetMode="External"/><Relationship Id="rId60" Type="http://schemas.openxmlformats.org/officeDocument/2006/relationships/hyperlink" Target="https://www.sec.gov/Archives/edgar/data/1801602/000114036122026731/0001140361-22-026731-index.htm" TargetMode="External"/><Relationship Id="rId61" Type="http://schemas.openxmlformats.org/officeDocument/2006/relationships/hyperlink" Target="https://www.sec.gov/Archives/edgar/data/1801602/000114036122030522/0001140361-22-030522-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2022-11-15T05:25:53Z</dcterms:created>
  <dcterms:modified xsi:type="dcterms:W3CDTF">2022-11-15T05:25:53Z</dcterms:modified>
</cp:coreProperties>
</file>