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left"/>
        <w:rPr/>
      </w:pPr>
      <w:hyperlink w:anchor="i313072693b9644a0a9d75ec1d8e5013d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June 30, 2023 </w:t>
      </w:r>
    </w:p>
    <w:p>
      <w:pPr>
        <w:pStyle w:val="TextBody"/>
        <w:bidi w:val="0"/>
        <w:spacing w:lineRule="auto" w:line="400"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001-40049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100"/>
        <w:jc w:val="center"/>
        <w:rPr>
          <w:rFonts w:ascii="Times New Roman;sans-serif" w:hAnsi="Times New Roman;sans-serif"/>
          <w:b/>
          <w:color w:val="000000"/>
          <w:sz w:val="40"/>
        </w:rPr>
      </w:pPr>
      <w:r>
        <w:rPr>
          <w:rFonts w:ascii="Times New Roman;sans-serif" w:hAnsi="Times New Roman;sans-serif"/>
          <w:b/>
          <w:color w:val="000000"/>
          <w:sz w:val="40"/>
        </w:rPr>
        <w:t>SPRINGBIG HOLDINGS, INC.</w:t>
      </w:r>
    </w:p>
    <w:p>
      <w:pPr>
        <w:pStyle w:val="TextBody"/>
        <w:bidi w:val="0"/>
        <w:spacing w:lineRule="auto" w:line="400" w:before="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tbl>
      <w:tblPr>
        <w:tblW w:w="6986"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871"/>
        <w:gridCol w:w="871"/>
        <w:gridCol w:w="1243"/>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88-2789488</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left"/>
        <w:rPr/>
      </w:pPr>
      <w:r>
        <w:rPr/>
      </w:r>
    </w:p>
    <w:tbl>
      <w:tblPr>
        <w:tblW w:w="4584" w:type="dxa"/>
        <w:jc w:val="center"/>
        <w:tblInd w:w="0" w:type="dxa"/>
        <w:tblLayout w:type="fixed"/>
        <w:tblCellMar>
          <w:top w:w="28" w:type="dxa"/>
          <w:left w:w="28" w:type="dxa"/>
          <w:bottom w:w="28" w:type="dxa"/>
          <w:right w:w="28" w:type="dxa"/>
        </w:tblCellMar>
      </w:tblPr>
      <w:tblGrid>
        <w:gridCol w:w="678"/>
        <w:gridCol w:w="597"/>
        <w:gridCol w:w="597"/>
        <w:gridCol w:w="475"/>
        <w:gridCol w:w="475"/>
        <w:gridCol w:w="475"/>
        <w:gridCol w:w="109"/>
        <w:gridCol w:w="109"/>
        <w:gridCol w:w="109"/>
        <w:gridCol w:w="281"/>
        <w:gridCol w:w="281"/>
        <w:gridCol w:w="398"/>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621 NW 53rd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 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Boca Raton,</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33487</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(800) 772-9172</w:t>
      </w:r>
    </w:p>
    <w:p>
      <w:pPr>
        <w:pStyle w:val="TextBody"/>
        <w:bidi w:val="0"/>
        <w:spacing w:before="0" w:after="0"/>
        <w:jc w:val="left"/>
        <w:rPr/>
      </w:pPr>
      <w:r>
        <w:rPr/>
      </w:r>
    </w:p>
    <w:p>
      <w:pPr>
        <w:pStyle w:val="TextBody"/>
        <w:bidi w:val="0"/>
        <w:spacing w:lineRule="auto" w:line="333"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936"/>
        <w:gridCol w:w="1604"/>
        <w:gridCol w:w="1623"/>
        <w:gridCol w:w="109"/>
        <w:gridCol w:w="109"/>
        <w:gridCol w:w="109"/>
        <w:gridCol w:w="474"/>
        <w:gridCol w:w="474"/>
        <w:gridCol w:w="475"/>
        <w:gridCol w:w="109"/>
        <w:gridCol w:w="109"/>
        <w:gridCol w:w="109"/>
        <w:gridCol w:w="865"/>
        <w:gridCol w:w="865"/>
        <w:gridCol w:w="1235"/>
      </w:tblGrid>
      <w:tr>
        <w:trPr/>
        <w:tc>
          <w:tcPr>
            <w:tcW w:w="193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5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SBIG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Capital Market</w:t>
            </w:r>
          </w:p>
        </w:tc>
      </w:tr>
      <w:tr>
        <w:trPr/>
        <w:tc>
          <w:tcPr>
            <w:tcW w:w="5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each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SBIGW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Capital Market</w:t>
            </w:r>
          </w:p>
        </w:tc>
      </w:tr>
    </w:tbl>
    <w:p>
      <w:pPr>
        <w:pStyle w:val="TextBody"/>
        <w:bidi w:val="0"/>
        <w:spacing w:before="0" w:after="0"/>
        <w:jc w:val="left"/>
        <w:rPr/>
      </w:pPr>
      <w:r>
        <w:rPr/>
      </w:r>
    </w:p>
    <w:p>
      <w:pPr>
        <w:pStyle w:val="TextBody"/>
        <w:bidi w:val="0"/>
        <w:spacing w:lineRule="auto" w:line="400"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pPr>
      <w:hyperlink w:anchor="i313072693b9644a0a9d75ec1d8e5013d_7">
        <w:r>
          <w:rPr>
            <w:rStyle w:val="InternetLink"/>
            <w:rFonts w:ascii="Times New Roman;sans-serif" w:hAnsi="Times New Roman;sans-serif"/>
            <w:b w:val="false"/>
            <w:color w:val="0000FF"/>
            <w:sz w:val="20"/>
            <w:u w:val="single"/>
          </w:rPr>
          <w:t>Table of Contents</w:t>
        </w:r>
      </w:hyperlink>
    </w:p>
    <w:p>
      <w:pPr>
        <w:pStyle w:val="TextBody"/>
        <w:bidi w:val="0"/>
        <w:spacing w:lineRule="auto" w:line="400" w:before="0" w:after="0"/>
        <w:jc w:val="left"/>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before="0" w:after="0"/>
        <w:jc w:val="both"/>
        <w:rPr/>
      </w:pPr>
      <w:r>
        <w:rPr/>
      </w:r>
    </w:p>
    <w:p>
      <w:pPr>
        <w:pStyle w:val="TextBody"/>
        <w:bidi w:val="0"/>
        <w:spacing w:lineRule="auto" w:line="400" w:before="0" w:after="10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607" w:type="dxa"/>
        <w:jc w:val="center"/>
        <w:tblInd w:w="0" w:type="dxa"/>
        <w:tblLayout w:type="fixed"/>
        <w:tblCellMar>
          <w:top w:w="28" w:type="dxa"/>
          <w:left w:w="28" w:type="dxa"/>
          <w:bottom w:w="28" w:type="dxa"/>
          <w:right w:w="28" w:type="dxa"/>
        </w:tblCellMar>
      </w:tblPr>
      <w:tblGrid>
        <w:gridCol w:w="603"/>
        <w:gridCol w:w="530"/>
        <w:gridCol w:w="532"/>
        <w:gridCol w:w="145"/>
        <w:gridCol w:w="145"/>
        <w:gridCol w:w="146"/>
        <w:gridCol w:w="674"/>
        <w:gridCol w:w="674"/>
        <w:gridCol w:w="677"/>
        <w:gridCol w:w="140"/>
        <w:gridCol w:w="140"/>
        <w:gridCol w:w="201"/>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81"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  </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436"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  ☒</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7" w:before="0" w:after="100"/>
        <w:jc w:val="left"/>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 xml:space="preserve">No   </w:t>
      </w:r>
    </w:p>
    <w:p>
      <w:pPr>
        <w:pStyle w:val="TextBody"/>
        <w:bidi w:val="0"/>
        <w:spacing w:lineRule="auto" w:line="333"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As of August 9, 2023, there were 41,582,337 shares of common stock, $0.0001 par value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SPRINGBIG,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957" w:type="dxa"/>
        <w:jc w:val="center"/>
        <w:tblInd w:w="0" w:type="dxa"/>
        <w:tblLayout w:type="fixed"/>
        <w:tblCellMar>
          <w:top w:w="28" w:type="dxa"/>
          <w:left w:w="28" w:type="dxa"/>
          <w:bottom w:w="28" w:type="dxa"/>
          <w:right w:w="28" w:type="dxa"/>
        </w:tblCellMar>
      </w:tblPr>
      <w:tblGrid>
        <w:gridCol w:w="272"/>
        <w:gridCol w:w="237"/>
        <w:gridCol w:w="240"/>
        <w:gridCol w:w="2788"/>
        <w:gridCol w:w="2788"/>
        <w:gridCol w:w="2794"/>
        <w:gridCol w:w="109"/>
        <w:gridCol w:w="109"/>
        <w:gridCol w:w="109"/>
        <w:gridCol w:w="149"/>
        <w:gridCol w:w="149"/>
        <w:gridCol w:w="213"/>
      </w:tblGrid>
      <w:tr>
        <w:trPr/>
        <w:tc>
          <w:tcPr>
            <w:tcW w:w="2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 –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313072693b9644a0a9d75ec1d8e5013d_16">
              <w:r>
                <w:rPr>
                  <w:rStyle w:val="InternetLink"/>
                  <w:rFonts w:ascii="Times New Roman;sans-serif" w:hAnsi="Times New Roman;sans-serif"/>
                  <w:b w:val="false"/>
                  <w:color w:val="0000FF"/>
                  <w:sz w:val="18"/>
                  <w:u w:val="single"/>
                </w:rPr>
                <w:t>Financial Statements (Unaudited)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6">
              <w:r>
                <w:rPr>
                  <w:rStyle w:val="InternetLink"/>
                  <w:rFonts w:ascii="Times New Roman;sans-serif" w:hAnsi="Times New Roman;sans-serif"/>
                  <w:b w:val="false"/>
                  <w:color w:val="0000FF"/>
                  <w:sz w:val="18"/>
                  <w:u w:val="single"/>
                </w:rPr>
                <w:t>1</w:t>
              </w:r>
            </w:hyperlink>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6">
              <w:r>
                <w:rPr>
                  <w:rStyle w:val="InternetLink"/>
                  <w:rFonts w:ascii="Times New Roman;sans-serif" w:hAnsi="Times New Roman;sans-serif"/>
                  <w:b w:val="false"/>
                  <w:color w:val="000080"/>
                  <w:sz w:val="18"/>
                  <w:u w:val="single"/>
                </w:rPr>
                <w:t xml:space="preserve">Consolidated Balance Sheets as of </w:t>
              </w:r>
            </w:hyperlink>
            <w:hyperlink w:anchor="i313072693b9644a0a9d75ec1d8e5013d_16">
              <w:r>
                <w:rPr>
                  <w:rStyle w:val="InternetLink"/>
                  <w:rFonts w:ascii="Times New Roman;sans-serif" w:hAnsi="Times New Roman;sans-serif"/>
                  <w:b w:val="false"/>
                  <w:color w:val="000080"/>
                  <w:sz w:val="18"/>
                  <w:u w:val="single"/>
                </w:rPr>
                <w:t>June 30</w:t>
              </w:r>
            </w:hyperlink>
            <w:hyperlink w:anchor="i313072693b9644a0a9d75ec1d8e5013d_16">
              <w:r>
                <w:rPr>
                  <w:rStyle w:val="InternetLink"/>
                  <w:rFonts w:ascii="Times New Roman;sans-serif" w:hAnsi="Times New Roman;sans-serif"/>
                  <w:b w:val="false"/>
                  <w:color w:val="000080"/>
                  <w:sz w:val="18"/>
                  <w:u w:val="single"/>
                </w:rPr>
                <w:t>, 2023 and December 31,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6">
              <w:r>
                <w:rPr>
                  <w:rStyle w:val="InternetLink"/>
                  <w:rFonts w:ascii="Times New Roman;sans-serif" w:hAnsi="Times New Roman;sans-serif"/>
                  <w:b w:val="false"/>
                  <w:color w:val="0000FF"/>
                  <w:sz w:val="18"/>
                  <w:u w:val="single"/>
                </w:rPr>
                <w:t>1</w:t>
              </w:r>
            </w:hyperlink>
          </w:p>
        </w:tc>
      </w:tr>
      <w:tr>
        <w:trPr/>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9">
              <w:r>
                <w:rPr>
                  <w:rStyle w:val="InternetLink"/>
                  <w:rFonts w:ascii="Times New Roman;sans-serif" w:hAnsi="Times New Roman;sans-serif"/>
                  <w:b w:val="false"/>
                  <w:color w:val="000080"/>
                  <w:sz w:val="18"/>
                  <w:u w:val="single"/>
                </w:rPr>
                <w:t xml:space="preserve">Consolidated Statements of Operations for the three </w:t>
              </w:r>
            </w:hyperlink>
            <w:hyperlink w:anchor="i313072693b9644a0a9d75ec1d8e5013d_19">
              <w:r>
                <w:rPr>
                  <w:rStyle w:val="InternetLink"/>
                  <w:rFonts w:ascii="Times New Roman;sans-serif" w:hAnsi="Times New Roman;sans-serif"/>
                  <w:b w:val="false"/>
                  <w:color w:val="000080"/>
                  <w:sz w:val="18"/>
                  <w:u w:val="single"/>
                </w:rPr>
                <w:t xml:space="preserve">and six </w:t>
              </w:r>
            </w:hyperlink>
            <w:hyperlink w:anchor="i313072693b9644a0a9d75ec1d8e5013d_19">
              <w:r>
                <w:rPr>
                  <w:rStyle w:val="InternetLink"/>
                  <w:rFonts w:ascii="Times New Roman;sans-serif" w:hAnsi="Times New Roman;sans-serif"/>
                  <w:b w:val="false"/>
                  <w:color w:val="000080"/>
                  <w:sz w:val="18"/>
                  <w:u w:val="single"/>
                </w:rPr>
                <w:t>months</w:t>
              </w:r>
            </w:hyperlink>
            <w:hyperlink w:anchor="i313072693b9644a0a9d75ec1d8e5013d_19">
              <w:r>
                <w:rPr>
                  <w:rStyle w:val="InternetLink"/>
                  <w:color w:val="0000FF"/>
                  <w:u w:val="single"/>
                </w:rPr>
                <w:t xml:space="preserve"> </w:t>
              </w:r>
            </w:hyperlink>
            <w:hyperlink w:anchor="i313072693b9644a0a9d75ec1d8e5013d_19">
              <w:r>
                <w:rPr>
                  <w:rStyle w:val="InternetLink"/>
                  <w:rFonts w:ascii="Times New Roman;sans-serif" w:hAnsi="Times New Roman;sans-serif"/>
                  <w:b w:val="false"/>
                  <w:color w:val="000080"/>
                  <w:sz w:val="20"/>
                  <w:u w:val="single"/>
                </w:rPr>
                <w:t xml:space="preserve">ended </w:t>
              </w:r>
            </w:hyperlink>
            <w:hyperlink w:anchor="i313072693b9644a0a9d75ec1d8e5013d_19">
              <w:r>
                <w:rPr>
                  <w:rStyle w:val="InternetLink"/>
                  <w:rFonts w:ascii="Times New Roman;sans-serif" w:hAnsi="Times New Roman;sans-serif"/>
                  <w:b w:val="false"/>
                  <w:color w:val="000080"/>
                  <w:sz w:val="20"/>
                  <w:u w:val="single"/>
                </w:rPr>
                <w:t>June 30</w:t>
              </w:r>
            </w:hyperlink>
            <w:hyperlink w:anchor="i313072693b9644a0a9d75ec1d8e5013d_19">
              <w:r>
                <w:rPr>
                  <w:rStyle w:val="InternetLink"/>
                  <w:rFonts w:ascii="Times New Roman;sans-serif" w:hAnsi="Times New Roman;sans-serif"/>
                  <w:b w:val="false"/>
                  <w:color w:val="0000FF"/>
                  <w:sz w:val="18"/>
                  <w:u w:val="single"/>
                </w:rPr>
                <w:t>, 2023 and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9">
              <w:r>
                <w:rPr>
                  <w:rStyle w:val="InternetLink"/>
                  <w:rFonts w:ascii="Times New Roman;sans-serif" w:hAnsi="Times New Roman;sans-serif"/>
                  <w:b w:val="false"/>
                  <w:color w:val="0000FF"/>
                  <w:sz w:val="18"/>
                  <w:u w:val="single"/>
                </w:rPr>
                <w:t>2</w:t>
              </w:r>
            </w:hyperlink>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22">
              <w:r>
                <w:rPr>
                  <w:rStyle w:val="InternetLink"/>
                  <w:rFonts w:ascii="Times New Roman;sans-serif" w:hAnsi="Times New Roman;sans-serif"/>
                  <w:b w:val="false"/>
                  <w:color w:val="0000FF"/>
                  <w:sz w:val="18"/>
                  <w:u w:val="single"/>
                </w:rPr>
                <w:t>Consolidated Statements of Changes in Stockholder’s Equity (Deficit) for six months ended June 30, 2023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22">
              <w:r>
                <w:rPr>
                  <w:rStyle w:val="InternetLink"/>
                  <w:rFonts w:ascii="Times New Roman;sans-serif" w:hAnsi="Times New Roman;sans-serif"/>
                  <w:b w:val="false"/>
                  <w:color w:val="0000FF"/>
                  <w:sz w:val="18"/>
                  <w:u w:val="single"/>
                </w:rPr>
                <w:t>3</w:t>
              </w:r>
            </w:hyperlink>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8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28">
              <w:r>
                <w:rPr>
                  <w:rStyle w:val="InternetLink"/>
                  <w:rFonts w:ascii="Times New Roman;sans-serif" w:hAnsi="Times New Roman;sans-serif"/>
                  <w:b w:val="false"/>
                  <w:color w:val="000080"/>
                  <w:sz w:val="18"/>
                  <w:u w:val="single"/>
                </w:rPr>
                <w:t xml:space="preserve">Consolidated Statements of Cash Flows for the </w:t>
              </w:r>
            </w:hyperlink>
            <w:hyperlink w:anchor="i313072693b9644a0a9d75ec1d8e5013d_28">
              <w:r>
                <w:rPr>
                  <w:rStyle w:val="InternetLink"/>
                  <w:rFonts w:ascii="Times New Roman;sans-serif" w:hAnsi="Times New Roman;sans-serif"/>
                  <w:b w:val="false"/>
                  <w:color w:val="000080"/>
                  <w:sz w:val="18"/>
                  <w:u w:val="single"/>
                </w:rPr>
                <w:t>six</w:t>
              </w:r>
            </w:hyperlink>
            <w:hyperlink w:anchor="i313072693b9644a0a9d75ec1d8e5013d_28">
              <w:r>
                <w:rPr>
                  <w:rStyle w:val="InternetLink"/>
                  <w:rFonts w:ascii="Times New Roman;sans-serif" w:hAnsi="Times New Roman;sans-serif"/>
                  <w:b w:val="false"/>
                  <w:color w:val="000080"/>
                  <w:sz w:val="18"/>
                  <w:u w:val="single"/>
                </w:rPr>
                <w:t xml:space="preserve"> months ended </w:t>
              </w:r>
            </w:hyperlink>
            <w:hyperlink w:anchor="i313072693b9644a0a9d75ec1d8e5013d_28">
              <w:r>
                <w:rPr>
                  <w:rStyle w:val="InternetLink"/>
                  <w:rFonts w:ascii="Times New Roman;sans-serif" w:hAnsi="Times New Roman;sans-serif"/>
                  <w:b w:val="false"/>
                  <w:color w:val="000080"/>
                  <w:sz w:val="18"/>
                  <w:u w:val="single"/>
                </w:rPr>
                <w:t>June 30</w:t>
              </w:r>
            </w:hyperlink>
            <w:hyperlink w:anchor="i313072693b9644a0a9d75ec1d8e5013d_28">
              <w:r>
                <w:rPr>
                  <w:rStyle w:val="InternetLink"/>
                  <w:rFonts w:ascii="Times New Roman;sans-serif" w:hAnsi="Times New Roman;sans-serif"/>
                  <w:b w:val="false"/>
                  <w:color w:val="000080"/>
                  <w:sz w:val="18"/>
                  <w:u w:val="single"/>
                </w:rPr>
                <w:t>, 2023 and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28">
              <w:r>
                <w:rPr>
                  <w:rStyle w:val="InternetLink"/>
                  <w:rFonts w:ascii="Times New Roman;sans-serif" w:hAnsi="Times New Roman;sans-serif"/>
                  <w:b w:val="false"/>
                  <w:color w:val="0000FF"/>
                  <w:sz w:val="18"/>
                  <w:u w:val="single"/>
                </w:rPr>
                <w:t>5</w:t>
              </w:r>
            </w:hyperlink>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31">
              <w:r>
                <w:rPr>
                  <w:rStyle w:val="InternetLink"/>
                  <w:rFonts w:ascii="Times New Roman;sans-serif" w:hAnsi="Times New Roman;sans-serif"/>
                  <w:b w:val="false"/>
                  <w:color w:val="0000FF"/>
                  <w:sz w:val="18"/>
                  <w:u w:val="single"/>
                </w:rPr>
                <w:t>Notes to the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31">
              <w:r>
                <w:rPr>
                  <w:rStyle w:val="InternetLink"/>
                  <w:rFonts w:ascii="Times New Roman;sans-serif" w:hAnsi="Times New Roman;sans-serif"/>
                  <w:b w:val="false"/>
                  <w:color w:val="0000FF"/>
                  <w:sz w:val="18"/>
                  <w:u w:val="single"/>
                </w:rPr>
                <w:t>6</w:t>
              </w:r>
            </w:hyperlink>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12">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12">
              <w:r>
                <w:rPr>
                  <w:rStyle w:val="InternetLink"/>
                  <w:rFonts w:ascii="Times New Roman;sans-serif" w:hAnsi="Times New Roman;sans-serif"/>
                  <w:b w:val="false"/>
                  <w:color w:val="0000FF"/>
                  <w:sz w:val="18"/>
                  <w:u w:val="single"/>
                </w:rPr>
                <w:t>25</w:t>
              </w:r>
            </w:hyperlink>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15">
              <w:r>
                <w:rPr>
                  <w:rStyle w:val="InternetLink"/>
                  <w:rFonts w:ascii="Times New Roman;sans-serif" w:hAnsi="Times New Roman;sans-serif"/>
                  <w:b w:val="false"/>
                  <w:color w:val="0000FF"/>
                  <w:sz w:val="18"/>
                  <w:u w:val="single"/>
                </w:rPr>
                <w:t>Quantitative and Qualitative Disclosure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24">
              <w:r>
                <w:rPr>
                  <w:rStyle w:val="InternetLink"/>
                  <w:rFonts w:ascii="Times New Roman;sans-serif" w:hAnsi="Times New Roman;sans-serif"/>
                  <w:b w:val="false"/>
                  <w:color w:val="0000FF"/>
                  <w:sz w:val="18"/>
                  <w:u w:val="single"/>
                </w:rPr>
                <w:t>36</w:t>
              </w:r>
            </w:hyperlink>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18">
              <w:r>
                <w:rPr>
                  <w:rStyle w:val="InternetLink"/>
                  <w:rFonts w:ascii="Times New Roman;sans-serif" w:hAnsi="Times New Roman;sans-serif"/>
                  <w:b w:val="false"/>
                  <w:color w:val="0000FF"/>
                  <w:sz w:val="18"/>
                  <w:u w:val="single"/>
                </w:rPr>
                <w:t>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24">
              <w:r>
                <w:rPr>
                  <w:rStyle w:val="InternetLink"/>
                  <w:rFonts w:ascii="Times New Roman;sans-serif" w:hAnsi="Times New Roman;sans-serif"/>
                  <w:b w:val="false"/>
                  <w:color w:val="0000FF"/>
                  <w:sz w:val="18"/>
                  <w:u w:val="single"/>
                </w:rPr>
                <w:t>36</w:t>
              </w:r>
            </w:hyperlink>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 – 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24">
              <w:r>
                <w:rPr>
                  <w:rStyle w:val="InternetLink"/>
                  <w:rFonts w:ascii="Times New Roman;sans-serif" w:hAnsi="Times New Roman;sans-serif"/>
                  <w:b w:val="false"/>
                  <w:color w:val="0000FF"/>
                  <w:sz w:val="18"/>
                  <w:u w:val="singl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24">
              <w:r>
                <w:rPr>
                  <w:rStyle w:val="InternetLink"/>
                  <w:rFonts w:ascii="Times New Roman;sans-serif" w:hAnsi="Times New Roman;sans-serif"/>
                  <w:b w:val="false"/>
                  <w:color w:val="0000FF"/>
                  <w:sz w:val="18"/>
                  <w:u w:val="single"/>
                </w:rPr>
                <w:t>36</w:t>
              </w:r>
            </w:hyperlink>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27">
              <w:r>
                <w:rPr>
                  <w:rStyle w:val="InternetLink"/>
                  <w:rFonts w:ascii="Times New Roman;sans-serif" w:hAnsi="Times New Roman;sans-serif"/>
                  <w:b w:val="false"/>
                  <w:color w:val="0000FF"/>
                  <w:sz w:val="18"/>
                  <w:u w:val="single"/>
                </w:rPr>
                <w:t>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27">
              <w:r>
                <w:rPr>
                  <w:rStyle w:val="InternetLink"/>
                  <w:rFonts w:ascii="Times New Roman;sans-serif" w:hAnsi="Times New Roman;sans-serif"/>
                  <w:b w:val="false"/>
                  <w:color w:val="0000FF"/>
                  <w:sz w:val="18"/>
                  <w:u w:val="single"/>
                </w:rPr>
                <w:t>37</w:t>
              </w:r>
            </w:hyperlink>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30">
              <w:r>
                <w:rPr>
                  <w:rStyle w:val="InternetLink"/>
                  <w:rFonts w:ascii="Times New Roman;sans-serif" w:hAnsi="Times New Roman;sans-serif"/>
                  <w:b w:val="false"/>
                  <w:color w:val="0000FF"/>
                  <w:sz w:val="18"/>
                  <w:u w:val="single"/>
                </w:rPr>
                <w:t>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30">
              <w:r>
                <w:rPr>
                  <w:rStyle w:val="InternetLink"/>
                  <w:rFonts w:ascii="Times New Roman;sans-serif" w:hAnsi="Times New Roman;sans-serif"/>
                  <w:b w:val="false"/>
                  <w:color w:val="0000FF"/>
                  <w:sz w:val="18"/>
                  <w:u w:val="single"/>
                </w:rPr>
                <w:t>38</w:t>
              </w:r>
            </w:hyperlink>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33">
              <w:r>
                <w:rPr>
                  <w:rStyle w:val="InternetLink"/>
                  <w:rFonts w:ascii="Times New Roman;sans-serif" w:hAnsi="Times New Roman;sans-serif"/>
                  <w:b w:val="false"/>
                  <w:color w:val="0000FF"/>
                  <w:sz w:val="18"/>
                  <w:u w:val="single"/>
                </w:rPr>
                <w:t>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33">
              <w:r>
                <w:rPr>
                  <w:rStyle w:val="InternetLink"/>
                  <w:rFonts w:ascii="Times New Roman;sans-serif" w:hAnsi="Times New Roman;sans-serif"/>
                  <w:b w:val="false"/>
                  <w:color w:val="0000FF"/>
                  <w:sz w:val="18"/>
                  <w:u w:val="single"/>
                </w:rPr>
                <w:t>38</w:t>
              </w:r>
            </w:hyperlink>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36">
              <w:r>
                <w:rPr>
                  <w:rStyle w:val="InternetLink"/>
                  <w:rFonts w:ascii="Times New Roman;sans-serif" w:hAnsi="Times New Roman;sans-serif"/>
                  <w:b w:val="false"/>
                  <w:color w:val="0000FF"/>
                  <w:sz w:val="18"/>
                  <w:u w:val="single"/>
                </w:rPr>
                <w:t>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36">
              <w:r>
                <w:rPr>
                  <w:rStyle w:val="InternetLink"/>
                  <w:rFonts w:ascii="Times New Roman;sans-serif" w:hAnsi="Times New Roman;sans-serif"/>
                  <w:b w:val="false"/>
                  <w:color w:val="0000FF"/>
                  <w:sz w:val="18"/>
                  <w:u w:val="single"/>
                </w:rPr>
                <w:t>38</w:t>
              </w:r>
            </w:hyperlink>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t>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42">
              <w:r>
                <w:rPr>
                  <w:rStyle w:val="InternetLink"/>
                  <w:rFonts w:ascii="Times New Roman;sans-serif" w:hAnsi="Times New Roman;sans-serif"/>
                  <w:b w:val="false"/>
                  <w:color w:val="0000FF"/>
                  <w:sz w:val="18"/>
                  <w:u w:val="single"/>
                </w:rPr>
                <w:t>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42">
              <w:r>
                <w:rPr>
                  <w:rStyle w:val="InternetLink"/>
                  <w:rFonts w:ascii="Times New Roman;sans-serif" w:hAnsi="Times New Roman;sans-serif"/>
                  <w:b w:val="false"/>
                  <w:color w:val="0000FF"/>
                  <w:sz w:val="18"/>
                  <w:u w:val="single"/>
                </w:rPr>
                <w:t>39</w:t>
              </w:r>
            </w:hyperlink>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3072693b9644a0a9d75ec1d8e5013d_145">
              <w:r>
                <w:rPr>
                  <w:rStyle w:val="InternetLink"/>
                  <w:rFonts w:ascii="Times New Roman;sans-serif" w:hAnsi="Times New Roman;sans-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13072693b9644a0a9d75ec1d8e5013d_145">
              <w:r>
                <w:rPr>
                  <w:rStyle w:val="InternetLink"/>
                  <w:rFonts w:ascii="Times New Roman;sans-serif" w:hAnsi="Times New Roman;sans-serif"/>
                  <w:b w:val="false"/>
                  <w:color w:val="0000FF"/>
                  <w:sz w:val="18"/>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00"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pStyle w:val="TextBody"/>
        <w:bidi w:val="0"/>
        <w:spacing w:before="0" w:after="0"/>
        <w:jc w:val="center"/>
        <w:rPr/>
      </w:pPr>
      <w:r>
        <w:rPr/>
      </w:r>
    </w:p>
    <w:p>
      <w:pPr>
        <w:pStyle w:val="TextBody"/>
        <w:bidi w:val="0"/>
        <w:spacing w:lineRule="auto" w:line="247" w:before="0" w:after="0"/>
        <w:jc w:val="left"/>
        <w:rPr>
          <w:rFonts w:ascii="Times New Roman;sans-serif" w:hAnsi="Times New Roman;sans-serif"/>
          <w:b/>
          <w:i/>
          <w:color w:val="000000"/>
          <w:sz w:val="20"/>
        </w:rPr>
      </w:pPr>
      <w:r>
        <w:rPr>
          <w:rFonts w:ascii="Times New Roman;sans-serif" w:hAnsi="Times New Roman;sans-serif"/>
          <w:b/>
          <w:i/>
          <w:color w:val="000000"/>
          <w:sz w:val="20"/>
        </w:rPr>
        <w:t>Forward Looking Statements</w:t>
      </w:r>
    </w:p>
    <w:p>
      <w:pPr>
        <w:pStyle w:val="TextBody"/>
        <w:bidi w:val="0"/>
        <w:spacing w:before="0" w:after="0"/>
        <w:ind w:left="0" w:right="0" w:firstLine="495"/>
        <w:jc w:val="both"/>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 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 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pStyle w:val="TextBody"/>
        <w:bidi w:val="0"/>
        <w:spacing w:before="0" w:after="0"/>
        <w:ind w:left="0" w:right="0" w:firstLine="495"/>
        <w:jc w:val="both"/>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actual results and our financial condition to differ materially from those indicated in our forward looking statements include, but are not limited to, the following:</w:t>
      </w:r>
    </w:p>
    <w:p>
      <w:pPr>
        <w:pStyle w:val="TextBody"/>
        <w:bidi w:val="0"/>
        <w:spacing w:before="0" w:after="0"/>
        <w:ind w:left="0" w:right="0" w:firstLine="495"/>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trends in the cannabis industry and SpringBig’s market size, including with respect to the potential total addressable market in the industry;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SpringBig’s growth prospects;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new product and service offerings SpringBig may introduce in the future;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ability to implement business plans, forecasts, and other expectations, and identify and realize additional opportunities;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uncertainties indicated from time to time in filings made with the Securities and Exchange Commission (the “SEC”).</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lineRule="auto" w:line="240" w:before="40" w:after="283"/>
        <w:jc w:val="center"/>
        <w:rPr>
          <w:color w:val="000000"/>
        </w:rPr>
      </w:pPr>
      <w:r>
        <w:rPr>
          <w:color w:val="000000"/>
        </w:rPr>
        <w:t>     </w:t>
      </w: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SPRINGBIG HOLDINGS, INC.</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CONSOLIDATED BALANCE SHEETS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12"/>
        <w:gridCol w:w="2238"/>
        <w:gridCol w:w="2205"/>
        <w:gridCol w:w="218"/>
        <w:gridCol w:w="745"/>
        <w:gridCol w:w="112"/>
        <w:gridCol w:w="109"/>
        <w:gridCol w:w="109"/>
        <w:gridCol w:w="109"/>
        <w:gridCol w:w="241"/>
        <w:gridCol w:w="826"/>
        <w:gridCol w:w="181"/>
      </w:tblGrid>
      <w:tr>
        <w:trPr/>
        <w:tc>
          <w:tcPr>
            <w:tcW w:w="3112"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(audited)</w:t>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 receivable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 and other current liabilities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payroll tax credits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current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non-current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and Contingencies </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Deficiency</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 300,000,000 authorized at June 30, 2023; 41,402,847 issued and outstanding as of June 30, 2023; (par value $0.0001 per share, 300,000,000 authorized at December 31, 2022; 26,659,711 issued and outstanding as of December 31, 2022)</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64185"/>
                <wp:effectExtent l="0" t="0" r="0" b="0"/>
                <wp:wrapNone/>
                <wp:docPr id="4" name="Frame4"/>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these financial statements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these financial statements </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pPr>
      <w:r>
        <w:rPr>
          <w:rFonts w:ascii="Times New Roman;sans-serif" w:hAnsi="Times New Roman;sans-serif"/>
          <w:b/>
          <w:color w:val="000000"/>
          <w:sz w:val="20"/>
        </w:rPr>
        <w:t>SPRINGBIG HOLDINGS, INC</w:t>
      </w:r>
      <w:r>
        <w:rPr>
          <w:rFonts w:ascii="Times New Roman;sans-serif" w:hAnsi="Times New Roman;sans-serif"/>
          <w:b/>
          <w:color w:val="000000"/>
          <w:sz w:val="20"/>
          <w:shd w:fill="FFFFFF" w:val="clear"/>
        </w:rPr>
        <w:t>.</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OPERATIONS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71"/>
        <w:gridCol w:w="887"/>
        <w:gridCol w:w="893"/>
        <w:gridCol w:w="109"/>
        <w:gridCol w:w="109"/>
        <w:gridCol w:w="109"/>
        <w:gridCol w:w="317"/>
        <w:gridCol w:w="938"/>
        <w:gridCol w:w="142"/>
        <w:gridCol w:w="142"/>
        <w:gridCol w:w="142"/>
        <w:gridCol w:w="142"/>
        <w:gridCol w:w="317"/>
        <w:gridCol w:w="938"/>
        <w:gridCol w:w="142"/>
        <w:gridCol w:w="109"/>
        <w:gridCol w:w="109"/>
        <w:gridCol w:w="109"/>
        <w:gridCol w:w="308"/>
        <w:gridCol w:w="948"/>
        <w:gridCol w:w="140"/>
        <w:gridCol w:w="140"/>
        <w:gridCol w:w="140"/>
        <w:gridCol w:w="140"/>
        <w:gridCol w:w="308"/>
        <w:gridCol w:w="948"/>
        <w:gridCol w:w="208"/>
      </w:tblGrid>
      <w:tr>
        <w:trPr/>
        <w:tc>
          <w:tcPr>
            <w:tcW w:w="127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(revised)</w:t>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Selling, servicing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Technology and software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31,489,803 </w:t>
            </w:r>
          </w:p>
        </w:tc>
        <w:tc>
          <w:tcPr>
            <w:tcW w:w="1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19,285,050 </w:t>
            </w:r>
          </w:p>
        </w:tc>
        <w:tc>
          <w:tcPr>
            <w:tcW w:w="1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29,159,766 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18,586,515 </w:t>
            </w:r>
          </w:p>
        </w:tc>
        <w:tc>
          <w:tcPr>
            <w:tcW w:w="20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5275"/>
                <wp:effectExtent l="0" t="0" r="0" b="0"/>
                <wp:wrapNone/>
                <wp:docPr id="5" name="Frame5"/>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SPRINGBIG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(DEFICIT)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9"/>
        <w:gridCol w:w="717"/>
        <w:gridCol w:w="722"/>
        <w:gridCol w:w="109"/>
        <w:gridCol w:w="109"/>
        <w:gridCol w:w="109"/>
        <w:gridCol w:w="540"/>
        <w:gridCol w:w="541"/>
        <w:gridCol w:w="461"/>
        <w:gridCol w:w="109"/>
        <w:gridCol w:w="109"/>
        <w:gridCol w:w="109"/>
        <w:gridCol w:w="286"/>
        <w:gridCol w:w="347"/>
        <w:gridCol w:w="148"/>
        <w:gridCol w:w="109"/>
        <w:gridCol w:w="109"/>
        <w:gridCol w:w="109"/>
        <w:gridCol w:w="345"/>
        <w:gridCol w:w="1183"/>
        <w:gridCol w:w="178"/>
        <w:gridCol w:w="109"/>
        <w:gridCol w:w="109"/>
        <w:gridCol w:w="109"/>
        <w:gridCol w:w="242"/>
        <w:gridCol w:w="847"/>
        <w:gridCol w:w="127"/>
        <w:gridCol w:w="109"/>
        <w:gridCol w:w="109"/>
        <w:gridCol w:w="109"/>
        <w:gridCol w:w="211"/>
        <w:gridCol w:w="689"/>
        <w:gridCol w:w="157"/>
      </w:tblGrid>
      <w:tr>
        <w:trPr/>
        <w:tc>
          <w:tcPr>
            <w:tcW w:w="8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0"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26,940,841 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446,103 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4,115,903 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41,402,847 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raise</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Senior Secured Convertible Notes in exchange for common shares</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56"/>
        <w:gridCol w:w="728"/>
        <w:gridCol w:w="729"/>
        <w:gridCol w:w="109"/>
        <w:gridCol w:w="109"/>
        <w:gridCol w:w="109"/>
        <w:gridCol w:w="540"/>
        <w:gridCol w:w="541"/>
        <w:gridCol w:w="453"/>
        <w:gridCol w:w="109"/>
        <w:gridCol w:w="109"/>
        <w:gridCol w:w="109"/>
        <w:gridCol w:w="286"/>
        <w:gridCol w:w="347"/>
        <w:gridCol w:w="148"/>
        <w:gridCol w:w="109"/>
        <w:gridCol w:w="109"/>
        <w:gridCol w:w="109"/>
        <w:gridCol w:w="338"/>
        <w:gridCol w:w="1159"/>
        <w:gridCol w:w="174"/>
        <w:gridCol w:w="109"/>
        <w:gridCol w:w="109"/>
        <w:gridCol w:w="109"/>
        <w:gridCol w:w="242"/>
        <w:gridCol w:w="847"/>
        <w:gridCol w:w="127"/>
        <w:gridCol w:w="109"/>
        <w:gridCol w:w="109"/>
        <w:gridCol w:w="109"/>
        <w:gridCol w:w="211"/>
        <w:gridCol w:w="686"/>
        <w:gridCol w:w="158"/>
      </w:tblGrid>
      <w:tr>
        <w:trPr/>
        <w:tc>
          <w:tcPr>
            <w:tcW w:w="8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5"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26,659,711 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727,233 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9,900,000 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4,115,903 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41,402,847 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raise</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Senior Secured Convertible Notes in exchange for common shares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5275"/>
                <wp:effectExtent l="0" t="0" r="0" b="0"/>
                <wp:wrapNone/>
                <wp:docPr id="6" name="Frame6"/>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SPRINGBIG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(DEFICIT)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31"/>
        <w:gridCol w:w="616"/>
        <w:gridCol w:w="558"/>
        <w:gridCol w:w="109"/>
        <w:gridCol w:w="109"/>
        <w:gridCol w:w="109"/>
        <w:gridCol w:w="540"/>
        <w:gridCol w:w="541"/>
        <w:gridCol w:w="406"/>
        <w:gridCol w:w="109"/>
        <w:gridCol w:w="109"/>
        <w:gridCol w:w="109"/>
        <w:gridCol w:w="286"/>
        <w:gridCol w:w="347"/>
        <w:gridCol w:w="148"/>
        <w:gridCol w:w="109"/>
        <w:gridCol w:w="109"/>
        <w:gridCol w:w="109"/>
        <w:gridCol w:w="389"/>
        <w:gridCol w:w="1331"/>
        <w:gridCol w:w="201"/>
        <w:gridCol w:w="109"/>
        <w:gridCol w:w="109"/>
        <w:gridCol w:w="109"/>
        <w:gridCol w:w="266"/>
        <w:gridCol w:w="987"/>
        <w:gridCol w:w="137"/>
        <w:gridCol w:w="109"/>
        <w:gridCol w:w="109"/>
        <w:gridCol w:w="109"/>
        <w:gridCol w:w="211"/>
        <w:gridCol w:w="616"/>
        <w:gridCol w:w="159"/>
      </w:tblGrid>
      <w:tr>
        <w:trPr/>
        <w:tc>
          <w:tcPr>
            <w:tcW w:w="8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3"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17,862,108 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334,418 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7,093,744 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25,290,270 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June 30,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69"/>
        <w:gridCol w:w="597"/>
        <w:gridCol w:w="585"/>
        <w:gridCol w:w="109"/>
        <w:gridCol w:w="109"/>
        <w:gridCol w:w="109"/>
        <w:gridCol w:w="540"/>
        <w:gridCol w:w="541"/>
        <w:gridCol w:w="402"/>
        <w:gridCol w:w="109"/>
        <w:gridCol w:w="109"/>
        <w:gridCol w:w="109"/>
        <w:gridCol w:w="286"/>
        <w:gridCol w:w="347"/>
        <w:gridCol w:w="148"/>
        <w:gridCol w:w="109"/>
        <w:gridCol w:w="109"/>
        <w:gridCol w:w="109"/>
        <w:gridCol w:w="383"/>
        <w:gridCol w:w="1310"/>
        <w:gridCol w:w="197"/>
        <w:gridCol w:w="109"/>
        <w:gridCol w:w="109"/>
        <w:gridCol w:w="109"/>
        <w:gridCol w:w="264"/>
        <w:gridCol w:w="979"/>
        <w:gridCol w:w="136"/>
        <w:gridCol w:w="109"/>
        <w:gridCol w:w="109"/>
        <w:gridCol w:w="109"/>
        <w:gridCol w:w="211"/>
        <w:gridCol w:w="616"/>
        <w:gridCol w:w="159"/>
      </w:tblGrid>
      <w:tr>
        <w:trPr/>
        <w:tc>
          <w:tcPr>
            <w:tcW w:w="86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7"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17,862,108 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334,418 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7,093,744 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25,290,270 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5275"/>
                <wp:effectExtent l="0" t="0" r="0" b="0"/>
                <wp:wrapNone/>
                <wp:docPr id="7" name="Frame7"/>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SPRINGBIG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tbl>
      <w:tblPr>
        <w:tblW w:w="8845" w:type="dxa"/>
        <w:jc w:val="left"/>
        <w:tblInd w:w="0" w:type="dxa"/>
        <w:tblLayout w:type="fixed"/>
        <w:tblCellMar>
          <w:top w:w="28" w:type="dxa"/>
          <w:left w:w="28" w:type="dxa"/>
          <w:bottom w:w="28" w:type="dxa"/>
          <w:right w:w="28" w:type="dxa"/>
        </w:tblCellMar>
      </w:tblPr>
      <w:tblGrid>
        <w:gridCol w:w="2260"/>
        <w:gridCol w:w="1982"/>
        <w:gridCol w:w="1998"/>
        <w:gridCol w:w="109"/>
        <w:gridCol w:w="109"/>
        <w:gridCol w:w="109"/>
        <w:gridCol w:w="197"/>
        <w:gridCol w:w="637"/>
        <w:gridCol w:w="110"/>
        <w:gridCol w:w="110"/>
        <w:gridCol w:w="110"/>
        <w:gridCol w:w="110"/>
        <w:gridCol w:w="197"/>
        <w:gridCol w:w="652"/>
        <w:gridCol w:w="155"/>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Discount amortization on convertible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on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Accounts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payroll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convertible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equity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flows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convertible note and outstanding interest into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Warrant assumed in business combination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assets obtained in exchange for lease obligations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equity issuance deducted from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cost of equity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5275"/>
                <wp:effectExtent l="0" t="0" r="0" b="0"/>
                <wp:wrapNone/>
                <wp:docPr id="8" name="Frame8"/>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Holdings, Inc. and its wholly-owned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direct wholly-owned subsidiary, SpringBig, Inc.</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 See Note 9, Business Combination, to these consolidated financial statements for further information.</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the legal acquirer in the business combination is SpringBig for financial accounting and reporting purposes under U.S. GAAP, Legacy SpringBig is the accounting acquirer, with the merger accounted for as a “reverse recapitalization.” A reverse recapitalization does not result in a new basis of accounting, and the financial statements of the combined entity represent the continuation of the financial statements of Legacy SpringBig. Under this accounting method, SpringBig is treated as the “acquired” company and Legacy SpringBig is the accounting acquirer, with the transaction treated as a recapitalization of Legacy SpringBig. SpringBig’s assets, liabilities and results of operations were consolidated with Legacy SpringBig’s beginning on the date of the business combination. Except for certain warrant liabilities, the assets and liabilities of SpringBig were recognized at historical cost (which is consistent with carrying value) and were not material, with no goodwill or other intangible assets recorded. The warrant liabilities, which are discussed in Note 11, Warrant Liabilities, were recorded at fair value. The consolidated assets, liabilities, and results of operations of Legacy SpringBig became the historical financial statements, and operations prior to the closing of the business combination presented for comparative purposes are those of Legacy SpringBig. Pre-merger shares of common stock and preferred stock of Legacy SpringBig were converted to shares of common stock of the combined company using the conversion ratio of 0.59289 and for comparative purposes, the shares and net loss per share of Legacy SpringBig prior to the merger have been retroactively restated using the conversion ratio.</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June 15, 2022, the ticker symbols for the Company’s common stock and publicly-traded warrants were changed to “SBIG” and “SBIGW,” respectively, and commenced trading on The Nasdaq Global Market. The Company received net proceeds of $18.8 million, with gross proceeds of $25.1 million, which were in addition to the $7.0 million in Convertible Notes proceeds, which were received in February 2022 in connection with Legacy SpringBig’s issuance of such notes (and which Convertible Notes and the interest due thereon were converted into common stock in connection with the business combination. See Note 10, 15% Convertible Promissory Notes, to these consolidated financial statements). Of the amount received at the Closing, approximately $8.8 million represented cash from the TCAC trust related to unredeemed shares; $6.1 million represented proceeds from the subscription for common stock from certain investors (the “PIPE Financing”), and $10.0 million from the Secured Convertible Note (defined below). The Company incurred additional cash and non cash expenses totaling $8.7 million, resulting in net business combination proceeds of $10.1 million.</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Principles of Consolidation and Basis of Presentation</w:t>
      </w:r>
    </w:p>
    <w:p>
      <w:pPr>
        <w:pStyle w:val="TextBody"/>
        <w:bidi w:val="0"/>
        <w:spacing w:before="0" w:after="0"/>
        <w:ind w:left="0" w:right="0" w:firstLine="54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the Company and its wholly owned subsidiaries. All significant intercompany balances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are prepared in accordance with accounting principles generally accepted in the United States of America (“GAAP”).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and six months ended June 30, 2023 are not necessarily indicative of the results that may be expected for future periods or for the year ending December 31, 2023.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data presented herein should be read in conjunction with the audited consolidated financial statements and accompanying notes as of and for the year ended December 31, 2022, as reported in the 2022 Annual Report on Form 10-K.</w:t>
      </w:r>
    </w:p>
    <w:p>
      <w:pPr>
        <w:pStyle w:val="TextBody"/>
        <w:bidi w:val="0"/>
        <w:spacing w:before="0" w:after="0"/>
        <w:ind w:left="0" w:right="0" w:firstLine="540"/>
        <w:jc w:val="both"/>
        <w:rPr/>
      </w:pPr>
      <w:r>
        <w:rPr/>
      </w:r>
    </w:p>
    <w:p>
      <w:pPr>
        <w:pStyle w:val="TextBody"/>
        <w:bidi w:val="0"/>
        <w:spacing w:lineRule="auto" w:line="27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Going Concern and Liquidity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Company has incurred losses, which has resulted in an accumulated deficit of approximately $30.6 million as of June 30, 2023. Cash flows used in operating activities were $2.6 million for the six months ended June 30, 2023. As of June 30, 2023, the Company had a working capital deficit of approximately $1.3 million, inclusive of $0.7 million in cash and cash equivalents to cover overhead expenses.</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continue as a going concern is dependent on its ability to meet its liquidity needs through a combination of factors but not limited to, cash and cash equivalents, the ongoing increase in revenue through increased usage by customers and new customers, its Stock Purchase Agreement and strategic capital raises. The ultimate success to these plans is not guaranteed.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management projections for increases in revenue and cash on hand, we concluded that there was substantial doubt about our ability to continue to operate as a going concern for the 12 months following the issuance of the accompanying consolidated financial statements.</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on a going concern basis and do not include any adjustments that might result from uncertainty about the Company’s ability to continue as a going concern.</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Foreign Currency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translate the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 Translation gains and losses are included within “other comprehensive income” on the consolidated statements of operations. These gains and losses are immaterial to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Deferred Payroll Tax Credits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eligible to receive certain payroll tax credits as a result of governmental legislation. Due to the complexities in calculating and qualifying for payroll tax credits, any benefits we may receive are uncertain and may significantly differ from our current estimates. Accordingly, we record any benefits related to these types of credits upon both the receipt of the benefit and the resolution of the uncertainties, including, but not limited to, the completion of any potential audit or examination, or the expiration of the related statute of limitations.</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Use of Estimates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requires management to make estimates and assumptions that affect the amounts reported in the financial statements and accompanying notes. We base our estimates on historical experience and various other assumptions that we believe to be reasonable. We believe that the assumptions and estimates associated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recognition, software development costs, income taxes, and equity-based compensation have the greatest potential impact on our consolidated financial statements. Therefore, we consider these to be our critical accounting policies and estimates.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pStyle w:val="TextBody"/>
        <w:bidi w:val="0"/>
        <w:spacing w:before="0" w:after="0"/>
        <w:ind w:left="0" w:right="0" w:firstLine="540"/>
        <w:jc w:val="both"/>
        <w:rPr/>
      </w:pPr>
      <w:r>
        <w:rPr/>
      </w:r>
    </w:p>
    <w:p>
      <w:pPr>
        <w:pStyle w:val="TextBody"/>
        <w:bidi w:val="0"/>
        <w:spacing w:lineRule="auto" w:line="276" w:before="0" w:after="0"/>
        <w:jc w:val="left"/>
        <w:rPr/>
      </w:pPr>
      <w:r>
        <w:rPr>
          <w:rFonts w:ascii="Times New Roman;sans-serif" w:hAnsi="Times New Roman;sans-serif"/>
          <w:b/>
          <w:i/>
          <w:color w:val="000000"/>
          <w:sz w:val="20"/>
          <w:u w:val="single"/>
        </w:rPr>
        <w:t>Concentrations of Credit Risk</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perform ongoing credit evaluations of our customers’ financial condition and require no collateral from our customers. We maintain an credit loss reserve for doubtful accounts The evaluation of expected losses is based on the probability of default using historical loss rates, as well as adjustments for forward-looking information, including industry and macroeconomic forecasts, as required.receivable based upon the expected collectability of accounts receivable balances. See </w:t>
      </w:r>
      <w:r>
        <w:rPr>
          <w:rFonts w:ascii="Times New Roman;sans-serif" w:hAnsi="Times New Roman;sans-serif"/>
          <w:b w:val="false"/>
          <w:i/>
          <w:color w:val="000000"/>
          <w:sz w:val="20"/>
        </w:rPr>
        <w:t>Effective Accounting Pronouncements</w:t>
      </w:r>
      <w:r>
        <w:rPr>
          <w:color w:val="000000"/>
        </w:rPr>
        <w:t xml:space="preserve"> </w:t>
      </w:r>
      <w:r>
        <w:rPr>
          <w:rFonts w:ascii="Times New Roman;sans-serif" w:hAnsi="Times New Roman;sans-serif"/>
          <w:b w:val="false"/>
          <w:color w:val="000000"/>
          <w:sz w:val="20"/>
        </w:rPr>
        <w:t>within this Note below for further information.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one customer representing 12% of our total revenues for the three and six months ended June 30, 2023. By comparison, we had one customer representing 13% of total revenues for the three and six months ended June 30,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we had one customer representing 13% of accounts receivable, and one customer representing 12% of accounts receivable at December 31,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Transaction Costs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significant costs direct and incremental to the business combination and therefore to the recapitalization of the Company. We deferred such costs incurred in 2021. In 2022, upon closing of the business combination, total direct transaction costs were allocated between equity and liability instruments measured at fair value on a recurring basis that were newly issued in the recapitalization. Amounts allocated to equity were recorded to additional paid-in capital, while amounts allocated to the specified liabilities were recorded as other expense. See Note 9, Business Combination, to these consolidated financial statements for further information.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u w:val="single"/>
        </w:rPr>
        <w:t>Cash and Cash Equivalents</w:t>
      </w:r>
      <w:r>
        <w:rPr>
          <w:color w:val="000000"/>
        </w:rPr>
        <w:t xml:space="preserve"> </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 maturity of three months or less, when acquired, to be cash equivalents. The Company maintains its cash with three commercial banks.</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exceeded the federally insured limits of $250,000 for interest and non-interest bearing deposits. The Company had cash balances with a single financial institution in excess of the FDIC insured limits by amounts of $0.5 million as of June 30, 2023. We monitor the financial condition of such institution and have not experienced any losses associated with these accounts.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Corporation's reserve methodology used to determine the appropriate level of the allowance for credit losses ("ACL") is a critical accounting estimate. The ACL is maintained at a level believed to be appropriate to provide for the current credit losses expected to be incurred related to the Company’s accounts and unbilled receivables at the balance sheet date. The evaluation of expected losses is based on the probability of default using historical loss rates, as well as adjustments for forward-looking information, including industry and macroeconomic forecasts,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required. Management's current methodology includes utilizing a historical loss rate equivalent to the average loss rate during the preceding forty-eight months and applying this rate to accounts and unbilled receivables at the date of recording. This rate as well as the various quantitative and qualitative factors used in the methodologies are reviewed quarterly.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Effective Accounting Pronouncements</w:t>
      </w:r>
    </w:p>
    <w:p>
      <w:pPr>
        <w:pStyle w:val="TextBody"/>
        <w:bidi w:val="0"/>
        <w:spacing w:before="0" w:after="0"/>
        <w:jc w:val="both"/>
        <w:rPr/>
      </w:pPr>
      <w:r>
        <w:rPr/>
      </w:r>
    </w:p>
    <w:p>
      <w:pPr>
        <w:pStyle w:val="TextBody"/>
        <w:bidi w:val="0"/>
        <w:spacing w:lineRule="auto" w:line="244" w:before="0" w:after="0"/>
        <w:jc w:val="both"/>
        <w:rPr/>
      </w:pPr>
      <w:r>
        <w:rPr>
          <w:rFonts w:ascii="Times New Roman;sans-serif" w:hAnsi="Times New Roman;sans-serif"/>
          <w:b w:val="false"/>
          <w:color w:val="000000"/>
          <w:sz w:val="20"/>
        </w:rPr>
        <w:t xml:space="preserve">In October 2021, the FASB issued ASU 2021-08 - </w:t>
      </w:r>
      <w:r>
        <w:rPr>
          <w:rFonts w:ascii="Times New Roman;sans-serif" w:hAnsi="Times New Roman;sans-serif"/>
          <w:b w:val="false"/>
          <w:i/>
          <w:color w:val="000000"/>
          <w:sz w:val="20"/>
        </w:rPr>
        <w:t>Business Combinations (Topic 805): Accounting for Contract Assets and Contract Liabilities from Contracts with Customer</w:t>
      </w:r>
      <w:r>
        <w:rPr>
          <w:rFonts w:ascii="Times New Roman;sans-serif" w:hAnsi="Times New Roman;sans-serif"/>
          <w:b w:val="false"/>
          <w:color w:val="000000"/>
          <w:sz w:val="20"/>
        </w:rPr>
        <w:t>s. The amendments in this update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For public business entities, the amendments in this update are effective for fiscal years beginning after December 15, 2022, including interim periods within those fiscal years. The amendments in this update should be applied prospectively to business combinations occurring on or after the effective date of the amendments. Early adoption of the amendments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We adopted this standard on January 1, 2023. The adoption of this standard did not have a material impact on our consolidated financial statements for the period ended June 30, 2023.</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ASU 2016-13, Financial Instruments – Credit Losses (Topic 326): Measurement of Credit Losses on Financial Instruments, to revise the criteria for the measurement, recognition, and reporting of credit losses on financial instruments to be recognized when expected. In November 2019, FASB issued ASU 2019-10, Financial Instruments—Credit Losses (Topic 326), Derivatives and Hedging (Topic 815), and Leases (Topic 842), which deferred the effective date of ASU 2016-13 to annual reporting periods beginning after December 15, 2022, with early adoption permitted. We adopted this standard on January 1, 2023. The adoption of this standard did not have a material impact on our consolidated financial statements for the period ended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ACCOUNTS RECEIVABLE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(in thousands):</w:t>
      </w:r>
    </w:p>
    <w:p>
      <w:pPr>
        <w:pStyle w:val="TextBody"/>
        <w:bidi w:val="0"/>
        <w:spacing w:before="0" w:after="0"/>
        <w:jc w:val="both"/>
        <w:rPr/>
      </w:pPr>
      <w:r>
        <w:rPr/>
      </w:r>
    </w:p>
    <w:tbl>
      <w:tblPr>
        <w:tblW w:w="5550" w:type="dxa"/>
        <w:jc w:val="left"/>
        <w:tblInd w:w="0" w:type="dxa"/>
        <w:tblLayout w:type="fixed"/>
        <w:tblCellMar>
          <w:top w:w="28" w:type="dxa"/>
          <w:left w:w="28" w:type="dxa"/>
          <w:bottom w:w="28" w:type="dxa"/>
          <w:right w:w="28" w:type="dxa"/>
        </w:tblCellMar>
      </w:tblPr>
      <w:tblGrid>
        <w:gridCol w:w="962"/>
        <w:gridCol w:w="845"/>
        <w:gridCol w:w="848"/>
        <w:gridCol w:w="109"/>
        <w:gridCol w:w="109"/>
        <w:gridCol w:w="109"/>
        <w:gridCol w:w="211"/>
        <w:gridCol w:w="616"/>
        <w:gridCol w:w="109"/>
        <w:gridCol w:w="109"/>
        <w:gridCol w:w="109"/>
        <w:gridCol w:w="109"/>
        <w:gridCol w:w="280"/>
        <w:gridCol w:w="819"/>
        <w:gridCol w:w="206"/>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Bad debt expense was $0.2 million for both three month periods ended June 30, 2023 and 2022, respectively. Bad debt expense was $0.4 million and $0.2 million for the six months ended June 30, 2023 and 2022,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4 – PREPAID EXPENSES AND OTHER CURRENT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4905" w:type="dxa"/>
        <w:jc w:val="left"/>
        <w:tblInd w:w="0" w:type="dxa"/>
        <w:tblLayout w:type="fixed"/>
        <w:tblCellMar>
          <w:top w:w="28" w:type="dxa"/>
          <w:left w:w="28" w:type="dxa"/>
          <w:bottom w:w="28" w:type="dxa"/>
          <w:right w:w="28" w:type="dxa"/>
        </w:tblCellMar>
      </w:tblPr>
      <w:tblGrid>
        <w:gridCol w:w="727"/>
        <w:gridCol w:w="641"/>
        <w:gridCol w:w="642"/>
        <w:gridCol w:w="109"/>
        <w:gridCol w:w="109"/>
        <w:gridCol w:w="109"/>
        <w:gridCol w:w="211"/>
        <w:gridCol w:w="616"/>
        <w:gridCol w:w="109"/>
        <w:gridCol w:w="109"/>
        <w:gridCol w:w="109"/>
        <w:gridCol w:w="109"/>
        <w:gridCol w:w="280"/>
        <w:gridCol w:w="819"/>
        <w:gridCol w:w="206"/>
      </w:tblGrid>
      <w:tr>
        <w:trPr/>
        <w:tc>
          <w:tcPr>
            <w:tcW w:w="72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5 – PROPERTY AND EQUIPMENT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(in thousands):</w:t>
      </w:r>
    </w:p>
    <w:tbl>
      <w:tblPr>
        <w:tblW w:w="6818" w:type="dxa"/>
        <w:jc w:val="left"/>
        <w:tblInd w:w="0" w:type="dxa"/>
        <w:tblLayout w:type="fixed"/>
        <w:tblCellMar>
          <w:top w:w="28" w:type="dxa"/>
          <w:left w:w="28" w:type="dxa"/>
          <w:bottom w:w="28" w:type="dxa"/>
          <w:right w:w="28" w:type="dxa"/>
        </w:tblCellMar>
      </w:tblPr>
      <w:tblGrid>
        <w:gridCol w:w="1467"/>
        <w:gridCol w:w="1287"/>
        <w:gridCol w:w="1296"/>
        <w:gridCol w:w="109"/>
        <w:gridCol w:w="109"/>
        <w:gridCol w:w="109"/>
        <w:gridCol w:w="217"/>
        <w:gridCol w:w="480"/>
        <w:gridCol w:w="112"/>
        <w:gridCol w:w="109"/>
        <w:gridCol w:w="109"/>
        <w:gridCol w:w="109"/>
        <w:gridCol w:w="331"/>
        <w:gridCol w:w="732"/>
        <w:gridCol w:w="242"/>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&amp;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 warehouse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useful life of computer equipment, software, furniture and fixtures, and the data warehouse is 3 years.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the three and six months ended June 30, 2022 was $64,000 and $123,000, respectively. Depreciation and amortization expense for the three and six months ended June 30, 2023 was $64,000 and $131,000, respectively. These amounts are included in general and administrative expenses in the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6 – CONVERTIBLE NOTE RECEIVABLE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purchased $250,000 in aggregate principal amount of convertible promissory note due April 1, 2026 (the “Convertible Note Receivable”).</w:t>
      </w:r>
    </w:p>
    <w:p>
      <w:pPr>
        <w:pStyle w:val="TextBody"/>
        <w:bidi w:val="0"/>
        <w:spacing w:before="0" w:after="0"/>
        <w:jc w:val="left"/>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 Receivable accrues interest at the rate of 5% per annum on the principal amount of the Convertible Note Receivable which is payable at maturity. The issuer may not prepay the note prior to its maturity date without the consent of the Company. The Convertible Note Receivable is convertible into equity securities of the borrower in the event that the borrower issues and sells shares to investors on or before the maturity date, subject to certain other conditions. In the event that the Convertible Note Receivable remains outstanding on the maturity date, then the outstanding principal balance and any unpaid accrued interest shall automatically convert into equity securities of the borrower. Should the borrower consummate a change of control while this note remains outstanding, the borrower shall repay the Company in cash in an amount equal to the outstanding principal amount of this Note plus any unpaid accrued interest on the original principal. The conversion price is based on the occurrence of certain actions by the issuer.</w:t>
      </w:r>
    </w:p>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earned $3,000 and $6,000 in interest income on the Convertible Note Receivable for the three and six months ended June 30, 2023, respectively.</w:t>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ACCRUED EXPENSES AND OTHER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 (in thousands):</w:t>
      </w:r>
    </w:p>
    <w:p>
      <w:pPr>
        <w:pStyle w:val="TextBody"/>
        <w:bidi w:val="0"/>
        <w:spacing w:before="0" w:after="0"/>
        <w:jc w:val="left"/>
        <w:rPr/>
      </w:pPr>
      <w:r>
        <w:rPr/>
      </w:r>
    </w:p>
    <w:tbl>
      <w:tblPr>
        <w:tblW w:w="6179" w:type="dxa"/>
        <w:jc w:val="left"/>
        <w:tblInd w:w="0" w:type="dxa"/>
        <w:tblLayout w:type="fixed"/>
        <w:tblCellMar>
          <w:top w:w="28" w:type="dxa"/>
          <w:left w:w="28" w:type="dxa"/>
          <w:bottom w:w="28" w:type="dxa"/>
          <w:right w:w="28" w:type="dxa"/>
        </w:tblCellMar>
      </w:tblPr>
      <w:tblGrid>
        <w:gridCol w:w="1188"/>
        <w:gridCol w:w="1044"/>
        <w:gridCol w:w="1052"/>
        <w:gridCol w:w="109"/>
        <w:gridCol w:w="109"/>
        <w:gridCol w:w="109"/>
        <w:gridCol w:w="211"/>
        <w:gridCol w:w="616"/>
        <w:gridCol w:w="109"/>
        <w:gridCol w:w="109"/>
        <w:gridCol w:w="109"/>
        <w:gridCol w:w="109"/>
        <w:gridCol w:w="280"/>
        <w:gridCol w:w="819"/>
        <w:gridCol w:w="206"/>
      </w:tblGrid>
      <w:tr>
        <w:trPr/>
        <w:tc>
          <w:tcPr>
            <w:tcW w:w="11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commission and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financial advisory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8 – RELATED PARTY TRANSACTIONS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software development and information technology related costs to a vendor related through common ownership to a major stockholder of approximately $4,000 and $8,000 for the three and six months ended June 30, 2023, respectively. For the three and six months ended June 30, 2022, expenditures related to the same vendor were $37,000 and $93,000, respectively. Amounts due to this related party were $0 and $3,000 at June 30, 2023 and December 31, 2022, respectively, and the related expense is recorded to technology and software development costs on the consolidated statement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9 – BUSINESS COMBINATION</w:t>
      </w:r>
    </w:p>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between Tuatara and Legacy SpringBig was consummated on June 14, 2022. Holders of an aggregate of 19,123,806 Class A ordinary shares of Tuatara sold in its initial public offering exercised their right to have such shares redeemed for a full pro rata portion of the trust account holding the proceeds from Tuatara’s IPO, which was approximately $10.01 per share, or $191,437,817 in the aggregate. The holders that did not elect to have their shares redeemed, received, following the domestication, additional shares of common stock which amounted to 876,194 shares of common stock, resulting in total shares of 1,752,388.</w:t>
      </w:r>
    </w:p>
    <w:p>
      <w:pPr>
        <w:pStyle w:val="TextBody"/>
        <w:bidi w:val="0"/>
        <w:spacing w:before="0" w:after="0"/>
        <w:ind w:left="0" w:right="0" w:firstLine="403"/>
        <w:jc w:val="both"/>
        <w:rPr/>
      </w:pPr>
      <w:r>
        <w:rPr/>
      </w:r>
    </w:p>
    <w:p>
      <w:pPr>
        <w:pStyle w:val="TextBody"/>
        <w:bidi w:val="0"/>
        <w:spacing w:lineRule="auto" w:line="268" w:before="0" w:after="0"/>
        <w:jc w:val="both"/>
        <w:rPr/>
      </w:pPr>
      <w:r>
        <w:rPr>
          <w:rFonts w:ascii="Times New Roman;sans-serif" w:hAnsi="Times New Roman;sans-serif"/>
          <w:b w:val="false"/>
          <w:color w:val="222222"/>
          <w:sz w:val="20"/>
        </w:rPr>
        <w:t>Beginning June 15, 2022, the ticker symbols for TCAC’s common stock and warrants were ch</w:t>
      </w:r>
      <w:r>
        <w:rPr>
          <w:rFonts w:ascii="Times New Roman;sans-serif" w:hAnsi="Times New Roman;sans-serif"/>
          <w:b w:val="false"/>
          <w:color w:val="222222"/>
          <w:sz w:val="20"/>
          <w:shd w:fill="FFFFFF" w:val="clear"/>
        </w:rPr>
        <w:t>anged to “SBIG” and “SBIGW,” respectively, and commenced trading on The Nasdaq Global Market.</w:t>
      </w:r>
      <w:r>
        <w:rPr>
          <w:color w:val="222222"/>
        </w:rPr>
        <w:t xml:space="preserve"> </w:t>
      </w:r>
      <w:r>
        <w:rPr>
          <w:rFonts w:ascii="Times New Roman;sans-serif" w:hAnsi="Times New Roman;sans-serif"/>
          <w:b w:val="false"/>
          <w:color w:val="222222"/>
          <w:sz w:val="20"/>
          <w:shd w:fill="FFFFFF" w:val="clear"/>
        </w:rPr>
        <w:t xml:space="preserve">The Company received net proceeds of </w:t>
      </w:r>
      <w:r>
        <w:rPr>
          <w:rFonts w:ascii="Times New Roman;sans-serif" w:hAnsi="Times New Roman;sans-serif"/>
          <w:b w:val="false"/>
          <w:color w:val="000000"/>
          <w:sz w:val="20"/>
        </w:rPr>
        <w:t>$18.8 million</w:t>
      </w:r>
      <w:r>
        <w:rPr>
          <w:rFonts w:ascii="Times New Roman;sans-serif" w:hAnsi="Times New Roman;sans-serif"/>
          <w:b w:val="false"/>
          <w:color w:val="222222"/>
          <w:sz w:val="20"/>
          <w:shd w:fill="FFFFFF" w:val="clear"/>
        </w:rPr>
        <w:t xml:space="preserve">, with gross proceeds of </w:t>
      </w:r>
      <w:r>
        <w:rPr>
          <w:rFonts w:ascii="Times New Roman;sans-serif" w:hAnsi="Times New Roman;sans-serif"/>
          <w:b w:val="false"/>
          <w:color w:val="000000"/>
          <w:sz w:val="20"/>
        </w:rPr>
        <w:t>$25.1 million</w:t>
      </w:r>
      <w:r>
        <w:rPr>
          <w:rFonts w:ascii="Times New Roman;sans-serif" w:hAnsi="Times New Roman;sans-serif"/>
          <w:b w:val="false"/>
          <w:color w:val="222222"/>
          <w:sz w:val="20"/>
          <w:shd w:fill="FFFFFF" w:val="clear"/>
        </w:rPr>
        <w:t xml:space="preserve">, in addition to the </w:t>
      </w:r>
      <w:r>
        <w:rPr>
          <w:rFonts w:ascii="Times New Roman;sans-serif" w:hAnsi="Times New Roman;sans-serif"/>
          <w:b w:val="false"/>
          <w:color w:val="000000"/>
          <w:sz w:val="20"/>
        </w:rPr>
        <w:t>$7.0 million</w:t>
      </w:r>
      <w:r>
        <w:rPr>
          <w:color w:val="222222"/>
          <w:shd w:fill="FFFFFF" w:val="clear"/>
        </w:rPr>
        <w:t xml:space="preserve"> </w:t>
      </w:r>
      <w:r>
        <w:rPr>
          <w:rFonts w:ascii="Times New Roman;sans-serif" w:hAnsi="Times New Roman;sans-serif"/>
          <w:b w:val="false"/>
          <w:color w:val="222222"/>
          <w:sz w:val="20"/>
          <w:shd w:fill="FFFFFF" w:val="clear"/>
        </w:rPr>
        <w:t xml:space="preserve">Convertible Notes which were issued in February 2022 and were converted into common stock at the Closing, see </w:t>
      </w:r>
      <w:r>
        <w:rPr>
          <w:rFonts w:ascii="Times New Roman;sans-serif" w:hAnsi="Times New Roman;sans-serif"/>
          <w:b w:val="false"/>
          <w:color w:val="222222"/>
          <w:sz w:val="20"/>
        </w:rPr>
        <w:t>Note 10</w:t>
      </w:r>
      <w:r>
        <w:rPr>
          <w:rFonts w:ascii="Times New Roman;sans-serif" w:hAnsi="Times New Roman;sans-serif"/>
          <w:b w:val="false"/>
          <w:color w:val="222222"/>
          <w:sz w:val="20"/>
          <w:shd w:fill="FFFFFF" w:val="clear"/>
        </w:rPr>
        <w:t xml:space="preserve">, 15% Convertible Promissory Notes, to these consolidated financial statements for further information. Of the amounts received, approximately </w:t>
      </w:r>
      <w:r>
        <w:rPr>
          <w:rFonts w:ascii="Times New Roman;sans-serif" w:hAnsi="Times New Roman;sans-serif"/>
          <w:b w:val="false"/>
          <w:color w:val="000000"/>
          <w:sz w:val="20"/>
        </w:rPr>
        <w:t>$8.8 million</w:t>
      </w:r>
      <w:r>
        <w:rPr>
          <w:color w:val="222222"/>
          <w:shd w:fill="FFFFFF" w:val="clear"/>
        </w:rPr>
        <w:t xml:space="preserve"> </w:t>
      </w:r>
      <w:r>
        <w:rPr>
          <w:rFonts w:ascii="Times New Roman;sans-serif" w:hAnsi="Times New Roman;sans-serif"/>
          <w:b w:val="false"/>
          <w:color w:val="222222"/>
          <w:sz w:val="20"/>
          <w:shd w:fill="FFFFFF" w:val="clear"/>
        </w:rPr>
        <w:t xml:space="preserve">represents remaining funds for unredeemed shares from the TCAC trust; </w:t>
      </w:r>
      <w:r>
        <w:rPr>
          <w:rFonts w:ascii="Times New Roman;sans-serif" w:hAnsi="Times New Roman;sans-serif"/>
          <w:b w:val="false"/>
          <w:color w:val="000000"/>
          <w:sz w:val="20"/>
        </w:rPr>
        <w:t>$6.1 million</w:t>
      </w:r>
      <w:r>
        <w:rPr>
          <w:color w:val="222222"/>
          <w:shd w:fill="FFFFFF" w:val="clear"/>
        </w:rPr>
        <w:t xml:space="preserve"> </w:t>
      </w:r>
      <w:r>
        <w:rPr>
          <w:rFonts w:ascii="Times New Roman;sans-serif" w:hAnsi="Times New Roman;sans-serif"/>
          <w:b w:val="false"/>
          <w:color w:val="222222"/>
          <w:sz w:val="20"/>
          <w:shd w:fill="FFFFFF" w:val="clear"/>
        </w:rPr>
        <w:t xml:space="preserve">from PIPE Financing proceeds and </w:t>
      </w:r>
      <w:r>
        <w:rPr>
          <w:rFonts w:ascii="Times New Roman;sans-serif" w:hAnsi="Times New Roman;sans-serif"/>
          <w:b w:val="false"/>
          <w:color w:val="000000"/>
          <w:sz w:val="20"/>
        </w:rPr>
        <w:t>$10.0 million</w:t>
      </w:r>
      <w:r>
        <w:rPr>
          <w:color w:val="222222"/>
          <w:shd w:fill="FFFFFF" w:val="clear"/>
        </w:rPr>
        <w:t xml:space="preserve"> </w:t>
      </w:r>
      <w:r>
        <w:rPr>
          <w:rFonts w:ascii="Times New Roman;sans-serif" w:hAnsi="Times New Roman;sans-serif"/>
          <w:b w:val="false"/>
          <w:color w:val="222222"/>
          <w:sz w:val="20"/>
          <w:shd w:fill="FFFFFF" w:val="clear"/>
        </w:rPr>
        <w:t>from the Secured Convertible Note.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On April 29, 2022, the Company entered into the Stock Purchase Agreement with Cantor, which was subsequently amended on July 20, 2022. The Company, in its sole discretion, shall have the right, but not the obligation, to issue and sell to Cantor, and Cantor shall purchase from the Company, up to </w:t>
      </w:r>
      <w:r>
        <w:rPr>
          <w:rFonts w:ascii="Times New Roman;sans-serif" w:hAnsi="Times New Roman;sans-serif"/>
          <w:b w:val="false"/>
          <w:color w:val="222222"/>
          <w:sz w:val="20"/>
          <w:shd w:fill="FFFFFF" w:val="clear"/>
        </w:rPr>
        <w:t>$50.0 million</w:t>
      </w:r>
      <w:r>
        <w:rPr>
          <w:color w:val="000000"/>
        </w:rPr>
        <w:t xml:space="preserve"> </w:t>
      </w:r>
      <w:r>
        <w:rPr>
          <w:rFonts w:ascii="Times New Roman;sans-serif" w:hAnsi="Times New Roman;sans-serif"/>
          <w:b w:val="false"/>
          <w:color w:val="000000"/>
          <w:sz w:val="20"/>
        </w:rPr>
        <w:t>of common shares, par value $0.0001 per share, subject to certain terms and conditions. In connection with the Facility, the Company incurred a $1.5 million commitment fee which it settled in exchange for 877,193 shares of common stock.</w:t>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pStyle w:val="TextBody"/>
        <w:bidi w:val="0"/>
        <w:spacing w:before="0" w:after="0"/>
        <w:ind w:left="0" w:right="0" w:firstLine="40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significant sources and uses of cash related to the closing of the business combination on June 14, 2022, (in thousands):</w:t>
      </w:r>
    </w:p>
    <w:tbl>
      <w:tblPr>
        <w:tblW w:w="7877" w:type="dxa"/>
        <w:jc w:val="left"/>
        <w:tblInd w:w="0" w:type="dxa"/>
        <w:tblLayout w:type="fixed"/>
        <w:tblCellMar>
          <w:top w:w="28" w:type="dxa"/>
          <w:left w:w="28" w:type="dxa"/>
          <w:bottom w:w="28" w:type="dxa"/>
          <w:right w:w="28" w:type="dxa"/>
        </w:tblCellMar>
      </w:tblPr>
      <w:tblGrid>
        <w:gridCol w:w="2343"/>
        <w:gridCol w:w="2058"/>
        <w:gridCol w:w="2063"/>
        <w:gridCol w:w="109"/>
        <w:gridCol w:w="109"/>
        <w:gridCol w:w="109"/>
        <w:gridCol w:w="211"/>
        <w:gridCol w:w="721"/>
        <w:gridCol w:w="154"/>
      </w:tblGrid>
      <w:tr>
        <w:trPr/>
        <w:tc>
          <w:tcPr>
            <w:tcW w:w="2343"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available after paying TCAC redeeming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PIPE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operating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proceeds available at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paid at closing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to Legacy SpringBig at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 closing expense (cash paid or accrued for expenses by Legacy SpringBig)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after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common shares related to the business combination transaction:</w:t>
      </w:r>
    </w:p>
    <w:p>
      <w:pPr>
        <w:pStyle w:val="TextBody"/>
        <w:bidi w:val="0"/>
        <w:spacing w:before="0" w:after="0"/>
        <w:ind w:left="0" w:right="0" w:firstLine="403"/>
        <w:jc w:val="both"/>
        <w:rPr/>
      </w:pPr>
      <w:r>
        <w:rPr/>
      </w:r>
    </w:p>
    <w:tbl>
      <w:tblPr>
        <w:tblW w:w="4546" w:type="dxa"/>
        <w:jc w:val="left"/>
        <w:tblInd w:w="0" w:type="dxa"/>
        <w:tblLayout w:type="fixed"/>
        <w:tblCellMar>
          <w:top w:w="28" w:type="dxa"/>
          <w:left w:w="28" w:type="dxa"/>
          <w:bottom w:w="28" w:type="dxa"/>
          <w:right w:w="28" w:type="dxa"/>
        </w:tblCellMar>
      </w:tblPr>
      <w:tblGrid>
        <w:gridCol w:w="1080"/>
        <w:gridCol w:w="950"/>
        <w:gridCol w:w="954"/>
        <w:gridCol w:w="109"/>
        <w:gridCol w:w="109"/>
        <w:gridCol w:w="109"/>
        <w:gridCol w:w="540"/>
        <w:gridCol w:w="541"/>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non-redeeming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sponsor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SpringBig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25,290,270 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pPr>
      <w:r>
        <w:rPr>
          <w:rFonts w:ascii="Times New Roman;sans-serif" w:hAnsi="Times New Roman;sans-serif"/>
          <w:b w:val="false"/>
          <w:color w:val="000000"/>
          <w:sz w:val="20"/>
        </w:rPr>
        <w:t xml:space="preserve">Of the 1,341,356 shares of common stock shown above, 730,493 shares were issued to holders of the Convertible Note (which was converted at Closing), representing repayment of principal of </w:t>
      </w:r>
      <w:r>
        <w:rPr>
          <w:rFonts w:ascii="Times New Roman;sans-serif" w:hAnsi="Times New Roman;sans-serif"/>
          <w:b w:val="false"/>
          <w:color w:val="222222"/>
          <w:sz w:val="20"/>
          <w:shd w:fill="FFFFFF" w:val="clear"/>
        </w:rPr>
        <w:t>$7.0 million</w:t>
      </w:r>
      <w:r>
        <w:rPr>
          <w:color w:val="000000"/>
        </w:rPr>
        <w:t xml:space="preserve"> </w:t>
      </w:r>
      <w:r>
        <w:rPr>
          <w:rFonts w:ascii="Times New Roman;sans-serif" w:hAnsi="Times New Roman;sans-serif"/>
          <w:b w:val="false"/>
          <w:color w:val="000000"/>
          <w:sz w:val="20"/>
        </w:rPr>
        <w:t xml:space="preserve">and outstanding interest of $305,000, in accordance with the terms of the Convertible Notes. See Note 10, 15% Convertible Promissory Note, </w:t>
      </w:r>
      <w:r>
        <w:rPr>
          <w:rFonts w:ascii="Times New Roman;sans-serif" w:hAnsi="Times New Roman;sans-serif"/>
          <w:b w:val="false"/>
          <w:color w:val="222222"/>
          <w:sz w:val="20"/>
          <w:shd w:fill="FFFFFF" w:val="clear"/>
        </w:rPr>
        <w:t>to these consolidated financial statements for further information</w:t>
      </w:r>
      <w:r>
        <w:rPr>
          <w:rFonts w:ascii="Times New Roman;sans-serif" w:hAnsi="Times New Roman;sans-serif"/>
          <w:b w:val="false"/>
          <w:color w:val="000000"/>
          <w:sz w:val="20"/>
        </w:rPr>
        <w:t xml:space="preserve">. </w:t>
      </w:r>
    </w:p>
    <w:p>
      <w:pPr>
        <w:pStyle w:val="TextBody"/>
        <w:bidi w:val="0"/>
        <w:spacing w:before="0" w:after="0"/>
        <w:ind w:left="0" w:right="0" w:firstLine="40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10 – 15% CONVERTIBLE PROMISSORY NOTES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issued $7.0 million in aggregate principal amount of convertible promissory notes due September 30, 2022 (the “Convertible Notes”).</w:t>
      </w:r>
    </w:p>
    <w:p>
      <w:pPr>
        <w:pStyle w:val="TextBody"/>
        <w:bidi w:val="0"/>
        <w:spacing w:before="0" w:after="0"/>
        <w:jc w:val="left"/>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accrued interest at the rate of 15% per annum on the principal amount of the Convertible Notes, due and payable at the maturity date of September 30, 2022 (the “Maturity Date”), if not converted prior to the maturity date. Under the terms of such notes, the conversion of the Convertible Notes could be triggered by the closing of the business combination between Tuatara and Legacy SpringBig, the occurrence of the stated maturity date, or in connection with certain equity issuances. The Convertible Notes contained customary events of default such as failures to observe or perform any covenants, obligation, condition or agreement contained in the Convertible Notes and commencement of bankruptcy.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consummation of the business combination, the Convertible Notes and outstanding accrued interest converted in full into 730,493 shares of common stock at a price of $10.00 per share, representing repayment of principal of $7.0 million and outstanding interest of $305,000, in accordance with the terms of the Convertible Notes.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2022, the Company recorded $216,000 and $305,000 of interest expense on the Convertible Notes,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SENIOR SECURED CONVERTIBLE NOTES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 The Secured Convertible Notes accrue interest at the rate of 6.0% per annum which, along with equal principal payments through June 2024, are due in cash in arrears beginning six months after the notes’ issuance. The Company may, at its option, satisfy each principal payment either in cash or, if certain conditions set forth in the Secured Convertible Notes are met, by issuing a number of shares of common stock equal to the amount due on such date divided by the lower of (i) the number of shares determined based on at a rate of $12.00 per share or (ii) 93% of the volume-weighted average price prior to such monthly payment date.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warrant representing 586,890 shares of common stock of the Company (the “Convertible Warrant”) with a fair value of $839,000 was also issued in a private placement with the purchaser party thereto. To determine the fair value of the Convertible Warrant, the Company performed a Black-Scholes calculation as of June 14, 2022 using a stock price of $4.28, a strike price of $12.00, a risk free rate of 3.61%, annualized volatilty of 65%, and a time to maturity of five years. The Convertible Warrant is exercisable for shares of the Company’s common stock at an exercise price of $12.00 per share, subject to certain anti-dilution adjustments. Warrants are classified as equity on SpringBig’s consolidated balance sheet as of June 30,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was initially convertible at the option of the holder at a conversion share price of $12.00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Secured Convertible Notes are secured against substantially all the assets of the Company and each material subsidiary, including Legacy SpringBig.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Secured Convertible Notes include restrictive covenants that, among other things, limit the ability of the Company </w:t>
      </w:r>
      <w:r>
        <w:rPr>
          <w:rFonts w:ascii="Times New Roman;sans-serif" w:hAnsi="Times New Roman;sans-serif"/>
          <w:b w:val="false"/>
          <w:color w:val="000000"/>
          <w:sz w:val="20"/>
          <w:shd w:fill="FFFFFF" w:val="clear"/>
        </w:rPr>
        <w:t>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issue additional equity (outside of the equity facility with Cantor, issuances under our equity compensation plan and other limited exceptions); enter into variable rate transactions (exclusive of the equity facility with Cantor); and adopt certain amendments to our governing documents, among other restrictions.</w:t>
      </w:r>
      <w:r>
        <w:rPr>
          <w:color w:val="000000"/>
        </w:rPr>
        <w:t xml:space="preserve"> </w:t>
      </w:r>
      <w:r>
        <w:rPr>
          <w:rFonts w:ascii="Times New Roman;sans-serif" w:hAnsi="Times New Roman;sans-serif"/>
          <w:b w:val="false"/>
          <w:color w:val="000000"/>
          <w:sz w:val="20"/>
        </w:rPr>
        <w:t xml:space="preserve">The Notes also contains customary events of default.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24, 2023 and May 25, 2023, the Company entered into amendments to the Secured Convertible Notes which provide, among other provisions, amended repayment terms, including extending the term to March 2025, and an adjustment in the conversion share price to $1.00, and amended the warrant exercise price to $1.00. The Company accounted for the amendments as a debt modification pursuant to ASC 470-50-40-10. The impact to the financial statements of the debt modification was not significant.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outstanding principal of the Secured Convertible Notes was $5.6 million with a carrying value of $4.6 million, net of a discount of $1.0 million.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$323,000 and $714,000 of interest expense related to the Secured Convertible Notes for the three and six months ended June 30, 2023, respectively. Interest expense for the three and six months ended June 30, 2022 was insignificant.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WARRANT LIABILITIES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accounts for the warrants in accordance with the guidance contained in ASC </w:t>
      </w:r>
      <w:r>
        <w:rPr>
          <w:rFonts w:ascii="Times New Roman;sans-serif" w:hAnsi="Times New Roman;sans-serif"/>
          <w:b w:val="false"/>
          <w:i/>
          <w:color w:val="000000"/>
          <w:sz w:val="20"/>
        </w:rPr>
        <w:t>815 Derivatives and Hedging,</w:t>
      </w:r>
      <w:r>
        <w:rPr>
          <w:color w:val="000000"/>
        </w:rPr>
        <w:t xml:space="preserve"> </w:t>
      </w:r>
      <w:r>
        <w:rPr>
          <w:rFonts w:ascii="Times New Roman;sans-serif" w:hAnsi="Times New Roman;sans-serif"/>
          <w:b w:val="false"/>
          <w:color w:val="000000"/>
          <w:sz w:val="20"/>
        </w:rPr>
        <w:t>under which the warrants do not meet the criteria for equity treatment and hence recorded as liabilities. Accordingly, we classify the warrants as liabilities at their fair value and adjust the warrants to fair value at each reporting period. This liability is subject to re-measurement at each balance sheet date until exercised or expired, and any change in fair value is recognized in our statement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estimated fair value of the warrants is $427,000.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change in fair value gain of approximately $64,000 for the three months ended June 30, 2023 and a fair value loss of approximately $89,000 for the six months ended June 30, 2023. These amounts are included in the consolidated statements of operations.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fair value is determined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See Note 18, Fair Value Measurements, to the accompanying consolidated financial statements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REVENUE RECOGNITION</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2022 the Company corrected the classification of credits given to customers to report the credits as a reduction of revenue.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impact of the revision for the three and six months ended June 30, 2022.</w:t>
      </w:r>
    </w:p>
    <w:p>
      <w:pPr>
        <w:pStyle w:val="TextBody"/>
        <w:bidi w:val="0"/>
        <w:spacing w:before="0" w:after="0"/>
        <w:jc w:val="both"/>
        <w:rPr/>
      </w:pPr>
      <w:r>
        <w:rPr/>
      </w:r>
    </w:p>
    <w:tbl>
      <w:tblPr>
        <w:tblW w:w="9586" w:type="dxa"/>
        <w:jc w:val="left"/>
        <w:tblInd w:w="0" w:type="dxa"/>
        <w:tblLayout w:type="fixed"/>
        <w:tblCellMar>
          <w:top w:w="28" w:type="dxa"/>
          <w:left w:w="28" w:type="dxa"/>
          <w:bottom w:w="28" w:type="dxa"/>
          <w:right w:w="28" w:type="dxa"/>
        </w:tblCellMar>
      </w:tblPr>
      <w:tblGrid>
        <w:gridCol w:w="533"/>
        <w:gridCol w:w="467"/>
        <w:gridCol w:w="470"/>
        <w:gridCol w:w="109"/>
        <w:gridCol w:w="109"/>
        <w:gridCol w:w="109"/>
        <w:gridCol w:w="230"/>
        <w:gridCol w:w="671"/>
        <w:gridCol w:w="118"/>
        <w:gridCol w:w="109"/>
        <w:gridCol w:w="109"/>
        <w:gridCol w:w="109"/>
        <w:gridCol w:w="272"/>
        <w:gridCol w:w="622"/>
        <w:gridCol w:w="142"/>
        <w:gridCol w:w="109"/>
        <w:gridCol w:w="109"/>
        <w:gridCol w:w="109"/>
        <w:gridCol w:w="211"/>
        <w:gridCol w:w="616"/>
        <w:gridCol w:w="109"/>
        <w:gridCol w:w="109"/>
        <w:gridCol w:w="109"/>
        <w:gridCol w:w="109"/>
        <w:gridCol w:w="211"/>
        <w:gridCol w:w="721"/>
        <w:gridCol w:w="109"/>
        <w:gridCol w:w="109"/>
        <w:gridCol w:w="109"/>
        <w:gridCol w:w="109"/>
        <w:gridCol w:w="272"/>
        <w:gridCol w:w="622"/>
        <w:gridCol w:w="142"/>
        <w:gridCol w:w="109"/>
        <w:gridCol w:w="109"/>
        <w:gridCol w:w="109"/>
        <w:gridCol w:w="211"/>
        <w:gridCol w:w="721"/>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type (in thousands):</w:t>
      </w:r>
    </w:p>
    <w:p>
      <w:pPr>
        <w:pStyle w:val="TextBody"/>
        <w:bidi w:val="0"/>
        <w:spacing w:before="0" w:after="0"/>
        <w:ind w:left="0" w:right="0" w:firstLine="720"/>
        <w:jc w:val="left"/>
        <w:rPr/>
      </w:pPr>
      <w:r>
        <w:rPr/>
      </w:r>
    </w:p>
    <w:tbl>
      <w:tblPr>
        <w:tblW w:w="6900" w:type="dxa"/>
        <w:jc w:val="left"/>
        <w:tblInd w:w="0" w:type="dxa"/>
        <w:tblLayout w:type="fixed"/>
        <w:tblCellMar>
          <w:top w:w="28" w:type="dxa"/>
          <w:left w:w="28" w:type="dxa"/>
          <w:bottom w:w="28" w:type="dxa"/>
          <w:right w:w="28" w:type="dxa"/>
        </w:tblCellMar>
      </w:tblPr>
      <w:tblGrid>
        <w:gridCol w:w="488"/>
        <w:gridCol w:w="430"/>
        <w:gridCol w:w="431"/>
        <w:gridCol w:w="109"/>
        <w:gridCol w:w="109"/>
        <w:gridCol w:w="109"/>
        <w:gridCol w:w="234"/>
        <w:gridCol w:w="685"/>
        <w:gridCol w:w="121"/>
        <w:gridCol w:w="121"/>
        <w:gridCol w:w="121"/>
        <w:gridCol w:w="121"/>
        <w:gridCol w:w="234"/>
        <w:gridCol w:w="685"/>
        <w:gridCol w:w="121"/>
        <w:gridCol w:w="109"/>
        <w:gridCol w:w="109"/>
        <w:gridCol w:w="109"/>
        <w:gridCol w:w="211"/>
        <w:gridCol w:w="721"/>
        <w:gridCol w:w="109"/>
        <w:gridCol w:w="109"/>
        <w:gridCol w:w="109"/>
        <w:gridCol w:w="109"/>
        <w:gridCol w:w="211"/>
        <w:gridCol w:w="721"/>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Geographic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geographical region consist of the following (in thousands):</w:t>
      </w:r>
    </w:p>
    <w:p>
      <w:pPr>
        <w:pStyle w:val="TextBody"/>
        <w:bidi w:val="0"/>
        <w:spacing w:before="0" w:after="0"/>
        <w:jc w:val="left"/>
        <w:rPr/>
      </w:pPr>
      <w:r>
        <w:rPr/>
      </w:r>
    </w:p>
    <w:tbl>
      <w:tblPr>
        <w:tblW w:w="6930"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34"/>
        <w:gridCol w:w="685"/>
        <w:gridCol w:w="121"/>
        <w:gridCol w:w="121"/>
        <w:gridCol w:w="121"/>
        <w:gridCol w:w="121"/>
        <w:gridCol w:w="234"/>
        <w:gridCol w:w="685"/>
        <w:gridCol w:w="121"/>
        <w:gridCol w:w="109"/>
        <w:gridCol w:w="109"/>
        <w:gridCol w:w="109"/>
        <w:gridCol w:w="211"/>
        <w:gridCol w:w="721"/>
        <w:gridCol w:w="109"/>
        <w:gridCol w:w="109"/>
        <w:gridCol w:w="109"/>
        <w:gridCol w:w="109"/>
        <w:gridCol w:w="211"/>
        <w:gridCol w:w="721"/>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Brand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geography are generally based on the country of the Company’s contracting entity. Total United States revenue was approximately 97% of total revenue for the six months ended June 30, 2023 and June 30,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substantially all of our long-lived assets were attributable to operations in the United States. An immaterial amount of assets are located in Canada.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14 – CONTRACT ASSETS AND LIABILITIES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consisted of the following as of (in thousands):</w:t>
      </w:r>
    </w:p>
    <w:p>
      <w:pPr>
        <w:pStyle w:val="TextBody"/>
        <w:bidi w:val="0"/>
        <w:spacing w:before="0" w:after="0"/>
        <w:jc w:val="left"/>
        <w:rPr/>
      </w:pPr>
      <w:r>
        <w:rPr/>
      </w:r>
    </w:p>
    <w:tbl>
      <w:tblPr>
        <w:tblW w:w="5107" w:type="dxa"/>
        <w:jc w:val="left"/>
        <w:tblInd w:w="0" w:type="dxa"/>
        <w:tblLayout w:type="fixed"/>
        <w:tblCellMar>
          <w:top w:w="28" w:type="dxa"/>
          <w:left w:w="28" w:type="dxa"/>
          <w:bottom w:w="28" w:type="dxa"/>
          <w:right w:w="28" w:type="dxa"/>
        </w:tblCellMar>
      </w:tblPr>
      <w:tblGrid>
        <w:gridCol w:w="847"/>
        <w:gridCol w:w="745"/>
        <w:gridCol w:w="747"/>
        <w:gridCol w:w="109"/>
        <w:gridCol w:w="109"/>
        <w:gridCol w:w="109"/>
        <w:gridCol w:w="217"/>
        <w:gridCol w:w="480"/>
        <w:gridCol w:w="112"/>
        <w:gridCol w:w="109"/>
        <w:gridCol w:w="109"/>
        <w:gridCol w:w="109"/>
        <w:gridCol w:w="331"/>
        <w:gridCol w:w="732"/>
        <w:gridCol w:w="242"/>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movement in the contract assets during the six months ended June 30, 2023 and the year ended December 31, 2022, comprised the following (in thousands):</w:t>
      </w:r>
    </w:p>
    <w:p>
      <w:pPr>
        <w:pStyle w:val="TextBody"/>
        <w:bidi w:val="0"/>
        <w:spacing w:before="0" w:after="0"/>
        <w:jc w:val="left"/>
        <w:rPr/>
      </w:pPr>
      <w:r>
        <w:rPr/>
      </w:r>
    </w:p>
    <w:tbl>
      <w:tblPr>
        <w:tblW w:w="6307" w:type="dxa"/>
        <w:jc w:val="left"/>
        <w:tblInd w:w="0" w:type="dxa"/>
        <w:tblLayout w:type="fixed"/>
        <w:tblCellMar>
          <w:top w:w="28" w:type="dxa"/>
          <w:left w:w="28" w:type="dxa"/>
          <w:bottom w:w="28" w:type="dxa"/>
          <w:right w:w="28" w:type="dxa"/>
        </w:tblCellMar>
      </w:tblPr>
      <w:tblGrid>
        <w:gridCol w:w="1281"/>
        <w:gridCol w:w="1127"/>
        <w:gridCol w:w="1131"/>
        <w:gridCol w:w="109"/>
        <w:gridCol w:w="109"/>
        <w:gridCol w:w="109"/>
        <w:gridCol w:w="217"/>
        <w:gridCol w:w="480"/>
        <w:gridCol w:w="112"/>
        <w:gridCol w:w="109"/>
        <w:gridCol w:w="109"/>
        <w:gridCol w:w="109"/>
        <w:gridCol w:w="331"/>
        <w:gridCol w:w="732"/>
        <w:gridCol w:w="242"/>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at start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deferred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expensed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consisted of the following as of (in thousands):</w:t>
      </w:r>
    </w:p>
    <w:p>
      <w:pPr>
        <w:pStyle w:val="TextBody"/>
        <w:bidi w:val="0"/>
        <w:spacing w:before="0" w:after="0"/>
        <w:jc w:val="left"/>
        <w:rPr/>
      </w:pPr>
      <w:r>
        <w:rPr/>
      </w:r>
    </w:p>
    <w:tbl>
      <w:tblPr>
        <w:tblW w:w="4928" w:type="dxa"/>
        <w:jc w:val="left"/>
        <w:tblInd w:w="0" w:type="dxa"/>
        <w:tblLayout w:type="fixed"/>
        <w:tblCellMar>
          <w:top w:w="28" w:type="dxa"/>
          <w:left w:w="28" w:type="dxa"/>
          <w:bottom w:w="28" w:type="dxa"/>
          <w:right w:w="28" w:type="dxa"/>
        </w:tblCellMar>
      </w:tblPr>
      <w:tblGrid>
        <w:gridCol w:w="781"/>
        <w:gridCol w:w="688"/>
        <w:gridCol w:w="691"/>
        <w:gridCol w:w="109"/>
        <w:gridCol w:w="109"/>
        <w:gridCol w:w="109"/>
        <w:gridCol w:w="217"/>
        <w:gridCol w:w="480"/>
        <w:gridCol w:w="112"/>
        <w:gridCol w:w="109"/>
        <w:gridCol w:w="109"/>
        <w:gridCol w:w="109"/>
        <w:gridCol w:w="331"/>
        <w:gridCol w:w="732"/>
        <w:gridCol w:w="242"/>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retail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brands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movement in the contract liabilities during the six months ended June 30, 2023 and the year ended December 31, 2022, comprised the following (in thousands):</w:t>
      </w:r>
    </w:p>
    <w:p>
      <w:pPr>
        <w:pStyle w:val="TextBody"/>
        <w:bidi w:val="0"/>
        <w:spacing w:before="0" w:after="0"/>
        <w:jc w:val="left"/>
        <w:rPr/>
      </w:pPr>
      <w:r>
        <w:rPr/>
      </w:r>
    </w:p>
    <w:tbl>
      <w:tblPr>
        <w:tblW w:w="6435" w:type="dxa"/>
        <w:jc w:val="left"/>
        <w:tblInd w:w="0" w:type="dxa"/>
        <w:tblLayout w:type="fixed"/>
        <w:tblCellMar>
          <w:top w:w="28" w:type="dxa"/>
          <w:left w:w="28" w:type="dxa"/>
          <w:bottom w:w="28" w:type="dxa"/>
          <w:right w:w="28" w:type="dxa"/>
        </w:tblCellMar>
      </w:tblPr>
      <w:tblGrid>
        <w:gridCol w:w="1291"/>
        <w:gridCol w:w="1137"/>
        <w:gridCol w:w="1141"/>
        <w:gridCol w:w="109"/>
        <w:gridCol w:w="109"/>
        <w:gridCol w:w="109"/>
        <w:gridCol w:w="246"/>
        <w:gridCol w:w="549"/>
        <w:gridCol w:w="112"/>
        <w:gridCol w:w="109"/>
        <w:gridCol w:w="109"/>
        <w:gridCol w:w="109"/>
        <w:gridCol w:w="331"/>
        <w:gridCol w:w="732"/>
        <w:gridCol w:w="242"/>
      </w:tblGrid>
      <w:tr>
        <w:trPr/>
        <w:tc>
          <w:tcPr>
            <w:tcW w:w="12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start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invoiced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15 – STOCK BASED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in connection with the business combination, the Tuatara shareholders approved the SpringBig Holdings, Inc. 2022 Long-Term Incentive Plan (the “2022 Incentive Plan”), which became effective upon the Closing.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At the shareholders’ meeting held on June 13, 2023, shareholders approved an additional 1,332,986 shares of our common stock reserved for issuance under the 2022 Incentive Plan.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Prior to the closing of the merger, Legacy SpringBig maintained an equity incentive plan (the “Legacy Incentive Plan”), which was originally established effective December 1, 2017. The Legacy Incentive Plan permitted the grant of incentive stock options, non-qualified stock options, restricted stock awards, and restricted stock unit awards to Legacy SpringBig and its affiliates’ employees, consultants and directors. SpringBig will not grant any additional awards under the Legacy Incentive Plan following the business combination.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on stock options outstanding as of June 30, 2023 under the Legacy Incentive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45"/>
        <w:gridCol w:w="479"/>
        <w:gridCol w:w="480"/>
        <w:gridCol w:w="109"/>
        <w:gridCol w:w="109"/>
        <w:gridCol w:w="109"/>
        <w:gridCol w:w="534"/>
        <w:gridCol w:w="378"/>
        <w:gridCol w:w="310"/>
        <w:gridCol w:w="114"/>
        <w:gridCol w:w="114"/>
        <w:gridCol w:w="114"/>
        <w:gridCol w:w="376"/>
        <w:gridCol w:w="835"/>
        <w:gridCol w:w="190"/>
        <w:gridCol w:w="109"/>
        <w:gridCol w:w="109"/>
        <w:gridCol w:w="109"/>
        <w:gridCol w:w="534"/>
        <w:gridCol w:w="378"/>
        <w:gridCol w:w="310"/>
        <w:gridCol w:w="114"/>
        <w:gridCol w:w="114"/>
        <w:gridCol w:w="114"/>
        <w:gridCol w:w="574"/>
        <w:gridCol w:w="574"/>
        <w:gridCol w:w="576"/>
        <w:gridCol w:w="114"/>
        <w:gridCol w:w="114"/>
        <w:gridCol w:w="114"/>
        <w:gridCol w:w="367"/>
        <w:gridCol w:w="816"/>
        <w:gridCol w:w="269"/>
      </w:tblGrid>
      <w:tr>
        <w:trPr/>
        <w:tc>
          <w:tcPr>
            <w:tcW w:w="54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Vested and Exercisable</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 (Years)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r>
      <w:tr>
        <w:trPr/>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3,394,753 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3,250,236 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(727,233)</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Outstanding Balance,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2,641,644 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2,545,299 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the options exercised during the six months ended June 30, 2023 was $162,000. As of June 30, 2023, the intrinsic value of the 2,545,299 options outstanding and exercisable was $290,000. As of June 30, 2023, the total compensation cost related to non-vested awards not yet recognized was $122,000 with a weighted-average period of one year over which it is expected to be recognized.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$30,000 and $61,000 of compensation expense was recorded in connection with the Legacy Incentive Plan, respectively. During the three and six months ended June 30, 2022, compensation expense recorded in connection with the Legacy Incentive Plan was $1.0 million and $1.2 million, respectively. These charges are recorded in administrative expense on the consolidated statements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on Restricted Stock Units outstanding as of June 30, 2023 under the 2022 Incentive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1"/>
        <w:gridCol w:w="898"/>
        <w:gridCol w:w="901"/>
        <w:gridCol w:w="109"/>
        <w:gridCol w:w="109"/>
        <w:gridCol w:w="109"/>
        <w:gridCol w:w="479"/>
        <w:gridCol w:w="468"/>
        <w:gridCol w:w="453"/>
        <w:gridCol w:w="143"/>
        <w:gridCol w:w="143"/>
        <w:gridCol w:w="143"/>
        <w:gridCol w:w="571"/>
        <w:gridCol w:w="1340"/>
        <w:gridCol w:w="312"/>
        <w:gridCol w:w="143"/>
        <w:gridCol w:w="143"/>
        <w:gridCol w:w="143"/>
        <w:gridCol w:w="752"/>
        <w:gridCol w:w="752"/>
        <w:gridCol w:w="1073"/>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 Outstanding</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Fair Value </w:t>
              <w:br/>
              <w:t>(Per Share)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Vesting (Years)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761,500 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725,000 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1,889,000 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Outstanding 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2,600,500 </w:t>
            </w:r>
          </w:p>
        </w:tc>
        <w:tc>
          <w:tcPr>
            <w:tcW w:w="4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compensation expense recorded in connection with the 2022 Incentive Plan was $175,000 and $306,000, respectively. These charges are recorded in administrative expense on the consolidated statements of operations. During the three and six months ended June 30, 2022, no compensation expense was recorded in connection with the 2022 Incentive Plan.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expense of approximately $1,968,000 will be recognized in future periods through June 2026. The Restricted Stock Units vest one-third on each of the first, second, and third anniversary after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16 – LEASES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Financial Accounting Standards Board (“FASB”) issued Accounting Standards Update (“ASU”) 2016-02, </w:t>
      </w:r>
      <w:r>
        <w:rPr>
          <w:rFonts w:ascii="Times New Roman;sans-serif" w:hAnsi="Times New Roman;sans-serif"/>
          <w:b w:val="false"/>
          <w:i/>
          <w:color w:val="000000"/>
          <w:sz w:val="20"/>
        </w:rPr>
        <w:t>Leases (Topic 842)</w:t>
      </w:r>
      <w:r>
        <w:rPr>
          <w:color w:val="000000"/>
        </w:rPr>
        <w:t xml:space="preserve"> </w:t>
      </w:r>
      <w:r>
        <w:rPr>
          <w:rFonts w:ascii="Times New Roman;sans-serif" w:hAnsi="Times New Roman;sans-serif"/>
          <w:b w:val="false"/>
          <w:color w:val="000000"/>
          <w:sz w:val="20"/>
        </w:rPr>
        <w:t xml:space="preserve">in February 2016 (“Lease Standard”). The amendments are effective for fiscal years beginning after December 15, 2021, for all entities, and interim periods within those fiscal years for public business entities and interim periods within fiscal years beginning after December 15, 2022, for all other entities. The Company adopted this standard on January 1, 2022.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SpringBig elected to take the cumulative transition approach to accounting for the adoption of the Lease Standard. This approach requires entities to apply the ASC 842 requirements in the period of adoption (i.e., assuming an adoption date of January 1, 2022, SpringBig’s comparative financial statements for the years ended December 31, 2022 and 2021 would need to apply ASC 842 only for the year ended December 31, 2022). As of the adoption date of January 1, 2022, the Company recorded ROU assets of $1.1 million and lease liabilities of $1.1 million. A cumulative effect adjustment to equity of $31,000 was recorded as of the adoption date.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facilities in Boca Raton, Florida, Seattle, Washington and Ontario, Canada under non-cancelable operating lease agreements. The leases require monthly payments ranging from $3,000 to $42,000 and expire on various dates through November 2024. In addition to minimum rent, the Company is required to pay a proportionate share of operating expenses under these leases.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of 2022, the Company entered into a lease with the current landlord for the Company’s corporate headquarters under which the current leases will be replaced by the new lease on a single floor in the same building as the Company currently occupies. The new lease will commence on the sooner of the day the Company takes occupancy or day of substantial completion of leasehold improvements. Neither of these events had taken place as of June 30, 2023. The new lease term is for 98 months. Monthly rental payments range from $38,000 to $48,000 over the life of the lease.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following amounts were presented on SpringBig’s consolidated balance sheets in accordance with the Lease Standard.</w:t>
      </w:r>
    </w:p>
    <w:p>
      <w:pPr>
        <w:pStyle w:val="TextBody"/>
        <w:bidi w:val="0"/>
        <w:spacing w:before="0" w:after="0"/>
        <w:jc w:val="both"/>
        <w:rPr/>
      </w:pPr>
      <w:r>
        <w:rPr/>
      </w:r>
    </w:p>
    <w:tbl>
      <w:tblPr>
        <w:tblW w:w="5857" w:type="dxa"/>
        <w:jc w:val="left"/>
        <w:tblInd w:w="0" w:type="dxa"/>
        <w:tblLayout w:type="fixed"/>
        <w:tblCellMar>
          <w:top w:w="28" w:type="dxa"/>
          <w:left w:w="28" w:type="dxa"/>
          <w:bottom w:w="28" w:type="dxa"/>
          <w:right w:w="28" w:type="dxa"/>
        </w:tblCellMar>
      </w:tblPr>
      <w:tblGrid>
        <w:gridCol w:w="1120"/>
        <w:gridCol w:w="982"/>
        <w:gridCol w:w="987"/>
        <w:gridCol w:w="109"/>
        <w:gridCol w:w="109"/>
        <w:gridCol w:w="109"/>
        <w:gridCol w:w="217"/>
        <w:gridCol w:w="480"/>
        <w:gridCol w:w="112"/>
        <w:gridCol w:w="109"/>
        <w:gridCol w:w="109"/>
        <w:gridCol w:w="109"/>
        <w:gridCol w:w="331"/>
        <w:gridCol w:w="732"/>
        <w:gridCol w:w="242"/>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June 30, 2022, the Company’s operating lease cost was $226,000 and $253,000, respectively. For the three months ended June 30, 2023 and June 30, 2022, the Company’s operating lease cost was $93,000 and $129,000, respectively. Other information pertaining to capitalized assets and liabilities under the leasing standard is as follows.</w:t>
      </w:r>
    </w:p>
    <w:p>
      <w:pPr>
        <w:pStyle w:val="TextBody"/>
        <w:bidi w:val="0"/>
        <w:spacing w:before="0" w:after="0"/>
        <w:jc w:val="both"/>
        <w:rPr/>
      </w:pPr>
      <w:r>
        <w:rPr/>
      </w:r>
    </w:p>
    <w:tbl>
      <w:tblPr>
        <w:tblW w:w="8441" w:type="dxa"/>
        <w:jc w:val="left"/>
        <w:tblInd w:w="0" w:type="dxa"/>
        <w:tblLayout w:type="fixed"/>
        <w:tblCellMar>
          <w:top w:w="28" w:type="dxa"/>
          <w:left w:w="28" w:type="dxa"/>
          <w:bottom w:w="28" w:type="dxa"/>
          <w:right w:w="28" w:type="dxa"/>
        </w:tblCellMar>
      </w:tblPr>
      <w:tblGrid>
        <w:gridCol w:w="2058"/>
        <w:gridCol w:w="1808"/>
        <w:gridCol w:w="1818"/>
        <w:gridCol w:w="109"/>
        <w:gridCol w:w="109"/>
        <w:gridCol w:w="109"/>
        <w:gridCol w:w="1080"/>
        <w:gridCol w:w="557"/>
        <w:gridCol w:w="793"/>
      </w:tblGrid>
      <w:tr>
        <w:trPr/>
        <w:tc>
          <w:tcPr>
            <w:tcW w:w="205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paid to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Company’s lease liabilities mature as follows: </w:t>
      </w:r>
    </w:p>
    <w:p>
      <w:pPr>
        <w:pStyle w:val="TextBody"/>
        <w:bidi w:val="0"/>
        <w:spacing w:before="0" w:after="0"/>
        <w:jc w:val="both"/>
        <w:rPr/>
      </w:pPr>
      <w:r>
        <w:rPr/>
      </w:r>
    </w:p>
    <w:tbl>
      <w:tblPr>
        <w:tblW w:w="4647" w:type="dxa"/>
        <w:jc w:val="left"/>
        <w:tblInd w:w="0" w:type="dxa"/>
        <w:tblLayout w:type="fixed"/>
        <w:tblCellMar>
          <w:top w:w="28" w:type="dxa"/>
          <w:left w:w="28" w:type="dxa"/>
          <w:bottom w:w="28" w:type="dxa"/>
          <w:right w:w="28" w:type="dxa"/>
        </w:tblCellMar>
      </w:tblPr>
      <w:tblGrid>
        <w:gridCol w:w="969"/>
        <w:gridCol w:w="853"/>
        <w:gridCol w:w="863"/>
        <w:gridCol w:w="109"/>
        <w:gridCol w:w="109"/>
        <w:gridCol w:w="109"/>
        <w:gridCol w:w="415"/>
        <w:gridCol w:w="916"/>
        <w:gridCol w:w="304"/>
      </w:tblGrid>
      <w:tr>
        <w:trPr/>
        <w:tc>
          <w:tcPr>
            <w:tcW w:w="9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17 – COMITTMENTS AND CONTINGENCIES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Employment Agreements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employment agreements with Jeffrey Harris, CEO of SpringBig, and Paul Sykes, CFO of SpringBig, which became effective as of the consummation of the business combination.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Litigation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possible resolution of any legal and other contingencies when losses are possible in accordance with ASC 450, Contingencies (“ASC 450”). Significant judgment is required in both the determination of the probability of an outcome as well as the determination of an estimate of the amount of any potential loss.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mediation to settle a dispute concerning the granting in 2017 of a non-exclusive, perpetual license to install and use certain of the Company’s software and derivative works, subject to certain limitations including being restricted to industries other than cannabis. This creates the potential for a contingent loss of approximately $1.0 million, with any settlement to be partly in cash and partly in stock. The Company believes a loss is reasonably possible, but not probable, and can be reasonably estimated, therefore pursuant to ASC 450 the potential loss has been disclosed but not recorded.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Employee Retention Payroll Tax Credits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six months ended June 30, 2023, we received $2.0 million related to these credits, recorded a liability of $0.6 million to a consultant through accounts payable. We have deferred recognition of remaining $1.4 million, which is recorded as deferred payroll tax credits on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 FAIR VALUE MEASUREMENTS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fair value hierarchy is used to classify assets and liabilities based on the observable inputs and unobservable inputs used in order to value the assets and liabilities: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Valuation is based on unadjusted quoted prices in active markets for identical assets and liabilities that are accessible at the reporting date. Because valuations are based on quoted prices that are readily and regularly available in an active market, valuation of these products does not entail a significant degree of judgment.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Level 2</w:t>
      </w:r>
      <w:r>
        <w:rPr>
          <w:rFonts w:ascii="Times New Roman;sans-serif" w:hAnsi="Times New Roman;sans-serif"/>
          <w:b w:val="false"/>
          <w:color w:val="000000"/>
          <w:sz w:val="20"/>
        </w:rPr>
        <w:t>: Valuation is determined from pricing inputs that are other than quoted prices in active markets that are either directly or indirectly observable 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Level 3</w:t>
      </w:r>
      <w:r>
        <w:rPr>
          <w:rFonts w:ascii="Times New Roman;sans-serif" w:hAnsi="Times New Roman;sans-serif"/>
          <w:b w:val="false"/>
          <w:color w:val="000000"/>
          <w:sz w:val="20"/>
        </w:rPr>
        <w:t>: Valuation is based on inputs that are both significant to the fair value measurement and unobservable. Level 3 inputs include situations where there is little, if any, market activity for the financial instrument. The inputs into the determination of fair value generally require significant management judgment or estimation. .</w:t>
      </w:r>
    </w:p>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measured at fair value on a recurring basis</w:t>
      </w:r>
    </w:p>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of the Company’s liabilities measured at fair value on a recurring basis as of June 30, 2023, are as follows (in thousands):</w:t>
      </w:r>
    </w:p>
    <w:p>
      <w:pPr>
        <w:pStyle w:val="TextBody"/>
        <w:bidi w:val="0"/>
        <w:spacing w:before="0" w:after="0"/>
        <w:jc w:val="left"/>
        <w:rPr/>
      </w:pPr>
      <w:r>
        <w:rPr/>
      </w:r>
    </w:p>
    <w:tbl>
      <w:tblPr>
        <w:tblW w:w="6502"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211"/>
        <w:gridCol w:w="466"/>
        <w:gridCol w:w="109"/>
        <w:gridCol w:w="109"/>
        <w:gridCol w:w="109"/>
        <w:gridCol w:w="109"/>
        <w:gridCol w:w="213"/>
        <w:gridCol w:w="411"/>
        <w:gridCol w:w="110"/>
        <w:gridCol w:w="109"/>
        <w:gridCol w:w="109"/>
        <w:gridCol w:w="109"/>
        <w:gridCol w:w="213"/>
        <w:gridCol w:w="411"/>
        <w:gridCol w:w="110"/>
        <w:gridCol w:w="109"/>
        <w:gridCol w:w="109"/>
        <w:gridCol w:w="109"/>
        <w:gridCol w:w="400"/>
        <w:gridCol w:w="883"/>
        <w:gridCol w:w="292"/>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Fair Value</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methodologies used to estimate the fair values of liabilities measured at fair value on a recurring basis and within the fair value hierarchy.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Warrant liabilities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a fair value approach to account for its warrants based on the quoted price at June 30, 2023, the calculation is consistent with ASC 820, Fair Value Measurement, with changes in fair value recorded in current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value of the public warrants was approximately $427,000 using a closing price of $0.027.</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Fair Value</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provides a roll-forward in the changes in fair value in the public warrants for the six months ended June 30, 2023, </w:t>
      </w:r>
    </w:p>
    <w:p>
      <w:pPr>
        <w:pStyle w:val="TextBody"/>
        <w:bidi w:val="0"/>
        <w:spacing w:before="0" w:after="0"/>
        <w:jc w:val="left"/>
        <w:rPr/>
      </w:pPr>
      <w:r>
        <w:rPr/>
      </w:r>
    </w:p>
    <w:tbl>
      <w:tblPr>
        <w:tblW w:w="9348" w:type="dxa"/>
        <w:jc w:val="left"/>
        <w:tblInd w:w="0" w:type="dxa"/>
        <w:tblLayout w:type="fixed"/>
        <w:tblCellMar>
          <w:top w:w="28" w:type="dxa"/>
          <w:left w:w="28" w:type="dxa"/>
          <w:bottom w:w="28" w:type="dxa"/>
          <w:right w:w="28" w:type="dxa"/>
        </w:tblCellMar>
      </w:tblPr>
      <w:tblGrid>
        <w:gridCol w:w="2961"/>
        <w:gridCol w:w="2605"/>
        <w:gridCol w:w="2624"/>
        <w:gridCol w:w="109"/>
        <w:gridCol w:w="109"/>
        <w:gridCol w:w="109"/>
        <w:gridCol w:w="211"/>
        <w:gridCol w:w="466"/>
        <w:gridCol w:w="154"/>
      </w:tblGrid>
      <w:tr>
        <w:trPr/>
        <w:tc>
          <w:tcPr>
            <w:tcW w:w="2961"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included in earnings for the period relating to liabilities held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financial liabilities between levels of the fair value hierarchy during the six months ended June 30, 2023.</w:t>
      </w:r>
    </w:p>
    <w:p>
      <w:pPr>
        <w:pStyle w:val="TextBody"/>
        <w:bidi w:val="0"/>
        <w:spacing w:before="0" w:after="0"/>
        <w:jc w:val="both"/>
        <w:rPr/>
      </w:pPr>
      <w:r>
        <w:rPr/>
      </w:r>
    </w:p>
    <w:p>
      <w:pPr>
        <w:pStyle w:val="TextBody"/>
        <w:bidi w:val="0"/>
        <w:spacing w:lineRule="auto" w:line="247" w:before="0" w:after="0"/>
        <w:ind w:left="0" w:right="0" w:firstLine="450"/>
        <w:jc w:val="both"/>
        <w:rPr/>
      </w:pPr>
      <w:r>
        <w:rPr>
          <w:rFonts w:ascii="Times New Roman;sans-serif" w:hAnsi="Times New Roman;sans-serif"/>
          <w:b w:val="false"/>
          <w:i/>
          <w:color w:val="000000"/>
          <w:sz w:val="20"/>
        </w:rPr>
        <w:t xml:space="preserve">Other Fair Value Considerations </w:t>
      </w:r>
      <w:r>
        <w:rPr>
          <w:color w:val="000000"/>
        </w:rPr>
        <w:t xml:space="preserve">– </w:t>
      </w:r>
      <w:r>
        <w:rPr>
          <w:rFonts w:ascii="Times New Roman;sans-serif" w:hAnsi="Times New Roman;sans-serif"/>
          <w:b w:val="false"/>
          <w:color w:val="000000"/>
          <w:sz w:val="20"/>
        </w:rPr>
        <w:t>Carrying value of accounts receivables, contract assets, prepaid expenses and other assets, accounts payable and accrued expenses approximate fair value due to their short-term maturities and/or low credit risk.</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19 – STOCKHOLDERS’ EQUITY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Consolidated Statements of Changes in Stockholders' Equity reflect the reverse recapitalization on June 14, 2022, as discussed in Note 9, Business Combination, </w:t>
      </w:r>
      <w:r>
        <w:rPr>
          <w:rFonts w:ascii="Times New Roman;sans-serif" w:hAnsi="Times New Roman;sans-serif"/>
          <w:b w:val="false"/>
          <w:color w:val="222222"/>
          <w:sz w:val="20"/>
          <w:shd w:fill="FFFFFF" w:val="clear"/>
        </w:rPr>
        <w:t>to these consolidated financial statements</w:t>
      </w:r>
      <w:r>
        <w:rPr>
          <w:rFonts w:ascii="Times New Roman;sans-serif" w:hAnsi="Times New Roman;sans-serif"/>
          <w:b w:val="false"/>
          <w:color w:val="000000"/>
          <w:sz w:val="20"/>
        </w:rPr>
        <w:t>. Because the Company was determined to be the accounting acquirer in the transaction, all periods presented prior to consummation of the transaction reflect the historical activity and balances of Legacy SpringBig, Inc. (other than common stock and potentially issuable shares underlying stock options which have been retroactively restated).</w:t>
      </w:r>
    </w:p>
    <w:p>
      <w:pPr>
        <w:pStyle w:val="TextBody"/>
        <w:bidi w:val="0"/>
        <w:spacing w:before="0" w:after="0"/>
        <w:jc w:val="left"/>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after giving effect to the business combination, the following equity securities of SpringBig were issued and outstanding: (i) 5,752,388 shares of SpringBig common stock issued to the holders of Tuatara Class A ordinary shares and Tuatara Class B ordinary shares that automatically convert into Tuatara Class A ordinary shares upon the occurrence of the business combination in accordance with Tuatara’s amended and restated memorandum and articles of association as consideration in the business combination (comprised of 1,752,388 Class A ordinary shares after giving effect to the redemptions and the issuance of shares to public shareholders who did not elect to redeem their public shares and 4,000,000 Class B ordinary shares that converted into common stock), (ii) 18,196,526 shares of SpringBig common stock issued to the stockholders of SpringBig as consideration in the business combination, (iii) 10,000,000 warrants to purchase shares of SpringBig common stock issued to holders of the Public Shares upon conversion of warrants to purchase Tuatara Class A ordinary shares in connection with the business combination (each, a “New SpringBig Public Warrant”), (iv) 6,000,000 warrants to purchase shares of SpringBig common stock issued to Sponsor (as defined below) upon conversion of warrants to purchase Tuatara Class A Common Stock, and (v) 1,310,000 shares of SpringBig common stock issued to private investors (the “PIPE Investors”) in the PIPE Financing, plus 31,356 shares paid to certain PIPE Investors pursuant to the Convertible Notes. </w:t>
      </w:r>
    </w:p>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consummation of the business combination, the capital stock of Legacy SpringBig consisted of Series A, B and Seed preferred stock which was automatically convertible into common stock at the earlier of a $50.0 million initial public offering or vote of 63% of majority of preferred stockholders. The conversion rate of all preferred stock was at a one to one ratio to common stock. The preferred shares of stock were converted to SpringBig common stock at the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03"/>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consummation of the business combination, Legacy SpringBig issued and outstanding shares were converted into shares of SpringBig common stock as follows:</w:t>
      </w:r>
    </w:p>
    <w:p>
      <w:pPr>
        <w:pStyle w:val="TextBody"/>
        <w:bidi w:val="0"/>
        <w:spacing w:before="0" w:after="0"/>
        <w:jc w:val="both"/>
        <w:rPr/>
      </w:pPr>
      <w:r>
        <w:rPr/>
      </w:r>
    </w:p>
    <w:tbl>
      <w:tblPr>
        <w:tblW w:w="7556" w:type="dxa"/>
        <w:jc w:val="left"/>
        <w:tblInd w:w="0" w:type="dxa"/>
        <w:tblLayout w:type="fixed"/>
        <w:tblCellMar>
          <w:top w:w="28" w:type="dxa"/>
          <w:left w:w="28" w:type="dxa"/>
          <w:bottom w:w="28" w:type="dxa"/>
          <w:right w:w="28" w:type="dxa"/>
        </w:tblCellMar>
      </w:tblPr>
      <w:tblGrid>
        <w:gridCol w:w="667"/>
        <w:gridCol w:w="588"/>
        <w:gridCol w:w="590"/>
        <w:gridCol w:w="109"/>
        <w:gridCol w:w="109"/>
        <w:gridCol w:w="109"/>
        <w:gridCol w:w="564"/>
        <w:gridCol w:w="564"/>
        <w:gridCol w:w="566"/>
        <w:gridCol w:w="109"/>
        <w:gridCol w:w="109"/>
        <w:gridCol w:w="109"/>
        <w:gridCol w:w="504"/>
        <w:gridCol w:w="504"/>
        <w:gridCol w:w="506"/>
        <w:gridCol w:w="109"/>
        <w:gridCol w:w="109"/>
        <w:gridCol w:w="109"/>
        <w:gridCol w:w="540"/>
        <w:gridCol w:w="541"/>
        <w:gridCol w:w="441"/>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Legacy SpringBig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Conversion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SpringBig </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4,585,202 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2,718,522 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5,088,944 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3,017,184 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Seed Preferred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6,911,715 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4,097,887 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14,105,371 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8,362,933 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30,691,232 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18,196,526 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Sponsor Escrow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Contingent and Earnout Shares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a.7,000,000 contingent shares if the closing price of the Company’s common stock equals or exceeds $12.00 per share on any twenty (20) trading days in a thirty (30)-trading day period at any time after the Closing Date and no later than 60 months following the Closing Date;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c.1,250,000 contingent shares if the closing price of the Company’s common stock equals or exceeds $18.00 per share on any twenty (20) trading days in a thirty (30)-trading day period at any time after the Closing Date and no later than 60 months following the Closing Date.</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consummation of the business combination, the Company’s authorized capital stock is 350,000,000 shares, consisting of 300,000,000 shares of common stock and 50,000,000 shares of preferred stock, with par value of 0.0001 per share.</w:t>
      </w:r>
    </w:p>
    <w:p>
      <w:pPr>
        <w:pStyle w:val="TextBody"/>
        <w:bidi w:val="0"/>
        <w:spacing w:before="0" w:after="0"/>
        <w:jc w:val="both"/>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2023, SpringBig raised gross cash proceeds of approximately $3.0 million through a public equity offering and in addition $1.25 million of the outstanding principal of the Senior Secured Convertible Note was converted into common shares. In aggregate, 14.0 million common shares were issued, of which, approximately 1.0 million related to conversion of a portion of the Senior Secured Convertible Note to common shares on June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2023. The cash proceeds from the public equity offering, after payment of transaction related fees, were $2.5 million and these funds were in part used to make further repayments of principal of the Senior Secured Convertible Note and in part for general corporate purposes.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20 – NET LOSS PER SHARE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Given the consummation of the business combination, </w:t>
      </w:r>
      <w:r>
        <w:rPr>
          <w:rFonts w:ascii="Times New Roman;sans-serif" w:hAnsi="Times New Roman;sans-serif"/>
          <w:b w:val="false"/>
          <w:i/>
          <w:color w:val="000000"/>
          <w:sz w:val="20"/>
        </w:rPr>
        <w:t>ASC 805</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states that the equity structure for the prior period of Legacy SpringBig (the accounting acquirer) is restated using the exchange ratio established in the acquisition agreement to reflect the number of shares of the accounting acquiree issued in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2022, there were 41,402,847 and 17,884,588 shares of common stock issued and outstanding, respectively.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that there are losses during the period, the inclusion of all potential common shares outstanding would have been anti-dilutive.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actual basic and diluted earnings per share for the six months ended June 30, 2023 and 2022, respectively (in thousands, except share and per share data).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67"/>
        <w:gridCol w:w="1285"/>
        <w:gridCol w:w="953"/>
        <w:gridCol w:w="109"/>
        <w:gridCol w:w="109"/>
        <w:gridCol w:w="109"/>
        <w:gridCol w:w="270"/>
        <w:gridCol w:w="811"/>
        <w:gridCol w:w="119"/>
        <w:gridCol w:w="119"/>
        <w:gridCol w:w="119"/>
        <w:gridCol w:w="119"/>
        <w:gridCol w:w="270"/>
        <w:gridCol w:w="811"/>
        <w:gridCol w:w="119"/>
        <w:gridCol w:w="109"/>
        <w:gridCol w:w="109"/>
        <w:gridCol w:w="109"/>
        <w:gridCol w:w="270"/>
        <w:gridCol w:w="811"/>
        <w:gridCol w:w="109"/>
        <w:gridCol w:w="109"/>
        <w:gridCol w:w="109"/>
        <w:gridCol w:w="109"/>
        <w:gridCol w:w="270"/>
        <w:gridCol w:w="811"/>
        <w:gridCol w:w="109"/>
        <w:gridCol w:w="109"/>
        <w:gridCol w:w="109"/>
        <w:gridCol w:w="164"/>
      </w:tblGrid>
      <w:tr>
        <w:trPr/>
        <w:tc>
          <w:tcPr>
            <w:tcW w:w="146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common shares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31,489,803 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19,285,050 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18,586,515 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anti-dilutive securities excluded from the weighted-average shares used to calculate the diluted net loss per common share for the three months ended June 30, 2023 and 2022 were as follows:</w:t>
      </w:r>
    </w:p>
    <w:p>
      <w:pPr>
        <w:pStyle w:val="TextBody"/>
        <w:bidi w:val="0"/>
        <w:spacing w:before="0" w:after="0"/>
        <w:jc w:val="left"/>
        <w:rPr/>
      </w:pPr>
      <w:r>
        <w:rPr/>
      </w:r>
    </w:p>
    <w:tbl>
      <w:tblPr>
        <w:tblW w:w="8549" w:type="dxa"/>
        <w:jc w:val="center"/>
        <w:tblInd w:w="0" w:type="dxa"/>
        <w:tblLayout w:type="fixed"/>
        <w:tblCellMar>
          <w:top w:w="28" w:type="dxa"/>
          <w:left w:w="28" w:type="dxa"/>
          <w:bottom w:w="28" w:type="dxa"/>
          <w:right w:w="28" w:type="dxa"/>
        </w:tblCellMar>
      </w:tblPr>
      <w:tblGrid>
        <w:gridCol w:w="1689"/>
        <w:gridCol w:w="1482"/>
        <w:gridCol w:w="1493"/>
        <w:gridCol w:w="109"/>
        <w:gridCol w:w="109"/>
        <w:gridCol w:w="109"/>
        <w:gridCol w:w="667"/>
        <w:gridCol w:w="414"/>
        <w:gridCol w:w="258"/>
        <w:gridCol w:w="258"/>
        <w:gridCol w:w="258"/>
        <w:gridCol w:w="258"/>
        <w:gridCol w:w="667"/>
        <w:gridCol w:w="414"/>
        <w:gridCol w:w="364"/>
      </w:tblGrid>
      <w:tr>
        <w:trPr/>
        <w:tc>
          <w:tcPr>
            <w:tcW w:w="168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unvested and subject to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192,689 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2,545,299 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3,486,482 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convertible notes stock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5,636,928 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916,667 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warrants stock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16,586,980 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16,586,980 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contingent earn 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2,600,500 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21 – BENEFIT PLAN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safe harbor 401(k) retirement plan for the benefit of its employees. The plan allows participants to make contributions subject to certain limitations. Company matching contributions were $131,000 and $289,000 for the three and six months ended June 30, 2023, respectively. For the three and six months ended June 30, 2022, Company matching contributions were $68,000 and $117,000,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22 – INCOME TAXES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NOTE 23 – SUBSEQUENT EVENTS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considered subsequent events through August 10, 2023, the date this report was issued, and there were no events that required additional disclosure.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40" w:after="283"/>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"SpringBig," "the Company," "we," "us" or "our" refer to SpringBig Holdings, Inc. and its subsidiaries, unless the context otherwise requires.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other than statements of historical facts contained in this report, including statements regarding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objectives, and financial needs. Our actual results could differ materially from those anticipated due to various factors discussed under “Risk Factors” in this Quarterly Report on Form 10-Q.</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Business Overview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SpringBig Holdings, Inc. (the “Company” or “SpringBig”)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serves approximately 1,300 brand and retailer clients across more than 3,000 distinct retail locations in North America. Our clients distribute more than 2.0 billion messages annually, and in the last year more than $7.5 billion of gross merchandise value was accounted for by clients utilizing our platform. </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Business Combination and Public Company Cost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2022, SpringBig Holdings, Inc., a Delaware corporation (formerly known as Tuatara Capital Acquisition Corporation (“Tuatara” or “TCAC”)), consummated the previously announced business combination (the “business combination”) of Tuatara and SpringBig, Inc.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 Legacy SpringBig was deemed to be the accounting acquirer in the business combination based on an analysis of the criteria outlined in Accounting Standards Codification (“ASC”) 805. While Tuatara was the legal acquirer in the business combination, because Legacy SpringBig was deemed the accounting acquirer, the historical financial statements of Legacy SpringBig became the historical financial statements of the combined company, upon the Closing.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combination was accounted for as a “reverse recapitalization.” A reverse recapitalization does not result in a new basis of accounting, and the financial statements of the combined entity represent the continuation of the financial statements of Legacy SpringBig in many respects. Under this method of accounting, Tuatara was treated as the “acquired” company for financial reporting purposes. For accounting purposes, Legacy SpringBig was deemed to be the accounting acquirer in the transaction and, consequently, the transaction was treated as a recapitalization of Legacy SpringBig (i.e., a capital transaction involving the issuance of stock by Tuatara for stock of Legacy SpringBig). Accordingly, the consolidated assets, liabilities and results of operations of Legacy SpringBig became the historical financial statements of the combined company, and Tuatara’s assets, liabilities and results of operations were consolidated with Legacy SpringBig beginning on the acquisition date. Operations prior to the business combination are presented as those of Legacy SpringBig. The net assets of Tuatara were recognized at historical cost (which are consistent with carrying value), with no goodwill or other intangible assets recorded.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consequence of the business combination, Legacy SpringBig became the successor to an SEC-registered and Nasdaq-listed company, which requires us to incur additional expenses and implement procedures and processes to address public company regulatory requirements and customary practices. We have and expect to continue to incur additional annual expenses as a public company for, amongst other things, directors’ and officers’ liability insurance, director fees and additional internal and external accounting, legal and administrative resources, including increased audit and legal fees.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and Financial Metrics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the following key financial and operational metrics to evaluate our business, measure our performance, identify trends affecting our business, formulate business plans, and make strategic decisions. The following is our analysis for the three and six months ended June 30, 2023 and 2022, in thousands:</w:t>
      </w:r>
    </w:p>
    <w:p>
      <w:pPr>
        <w:pStyle w:val="TextBody"/>
        <w:bidi w:val="0"/>
        <w:spacing w:before="0" w:after="0"/>
        <w:jc w:val="both"/>
        <w:rPr/>
      </w:pPr>
      <w:r>
        <w:rPr/>
      </w:r>
    </w:p>
    <w:tbl>
      <w:tblPr>
        <w:tblW w:w="8590" w:type="dxa"/>
        <w:jc w:val="left"/>
        <w:tblInd w:w="0" w:type="dxa"/>
        <w:tblLayout w:type="fixed"/>
        <w:tblCellMar>
          <w:top w:w="28" w:type="dxa"/>
          <w:left w:w="28" w:type="dxa"/>
          <w:bottom w:w="28" w:type="dxa"/>
          <w:right w:w="28" w:type="dxa"/>
        </w:tblCellMar>
      </w:tblPr>
      <w:tblGrid>
        <w:gridCol w:w="915"/>
        <w:gridCol w:w="806"/>
        <w:gridCol w:w="814"/>
        <w:gridCol w:w="109"/>
        <w:gridCol w:w="109"/>
        <w:gridCol w:w="109"/>
        <w:gridCol w:w="219"/>
        <w:gridCol w:w="641"/>
        <w:gridCol w:w="282"/>
        <w:gridCol w:w="113"/>
        <w:gridCol w:w="113"/>
        <w:gridCol w:w="113"/>
        <w:gridCol w:w="219"/>
        <w:gridCol w:w="641"/>
        <w:gridCol w:w="282"/>
        <w:gridCol w:w="109"/>
        <w:gridCol w:w="109"/>
        <w:gridCol w:w="109"/>
        <w:gridCol w:w="211"/>
        <w:gridCol w:w="721"/>
        <w:gridCol w:w="271"/>
        <w:gridCol w:w="109"/>
        <w:gridCol w:w="109"/>
        <w:gridCol w:w="109"/>
        <w:gridCol w:w="211"/>
        <w:gridCol w:w="721"/>
        <w:gridCol w:w="316"/>
      </w:tblGrid>
      <w:tr>
        <w:trPr/>
        <w:tc>
          <w:tcPr>
            <w:tcW w:w="9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retail clients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messages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reconciliation of net loss to Adjusted EBITDA see “EBITDA” and “Adjusted EBITDA,” below.</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w:t>
      </w:r>
      <w:r>
        <w:rPr>
          <w:color w:val="000000"/>
        </w:rPr>
        <w:t xml:space="preserve"> “</w:t>
      </w:r>
      <w:r>
        <w:rPr>
          <w:rFonts w:ascii="Times New Roman;sans-serif" w:hAnsi="Times New Roman;sans-serif"/>
          <w:b w:val="false"/>
          <w:color w:val="000000"/>
          <w:sz w:val="20"/>
        </w:rPr>
        <w:t>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Key Operating Metrics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Number of Retail Clients.</w:t>
      </w:r>
      <w:r>
        <w:rPr>
          <w:color w:val="000000"/>
        </w:rPr>
        <w:t xml:space="preserve"> </w:t>
      </w:r>
      <w:r>
        <w:rPr>
          <w:rFonts w:ascii="Times New Roman;sans-serif" w:hAnsi="Times New Roman;sans-serif"/>
          <w:b w:val="false"/>
          <w:color w:val="000000"/>
          <w:sz w:val="20"/>
        </w:rPr>
        <w:t>We disclose in the table above the number of discrete SpringBig platforms used by clients of the business at the end of the relevant period. We view this number as an important metric to assess the performance of our business because an increased number of clients drives growth, increases brand awareness and helps contribute to our reach and strengthening our value proposition.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Net Revenue Retention.</w:t>
      </w:r>
      <w:r>
        <w:rPr>
          <w:color w:val="000000"/>
        </w:rPr>
        <w:t xml:space="preserve"> </w:t>
      </w:r>
      <w:r>
        <w:rPr>
          <w:rFonts w:ascii="Times New Roman;sans-serif" w:hAnsi="Times New Roman;sans-serif"/>
          <w:b w:val="false"/>
          <w:color w:val="000000"/>
          <w:sz w:val="20"/>
        </w:rPr>
        <w:t>We believe that the growth in the use of our platform by our clients is an important metric in evaluating our business and 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average recurring monthly revenue from retail clients, adjusted for losses, increases and decreases in monthly subscriptions during the prior twelve months divided by the average recurring monthly subscription revenue over the same trailing twelve-month period.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view a net revenue retention rate exceeding 100% as positive because this is indicative of increasing subscription revenue without including the impact of the initial recurring revenue from new clients during the month in which they are on-boarded. We believe that we can drive this metric by continuing to focus on existing clients and by revenue-increasing activities, such as client upgrades. Net revenue retention is measured over the twelve-month period ending at the reporting date and if the ratio exceeds 100% this is an indication of upgrades from clients exceeding the value of any lost clients and downgrades in subscriptions. The net revenue retention is calculated based on subscription revenues only and does not include the impact of excess use revenue.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Number of Messages Sent.</w:t>
      </w:r>
      <w:r>
        <w:rPr>
          <w:color w:val="000000"/>
        </w:rPr>
        <w:t xml:space="preserve"> </w:t>
      </w:r>
      <w:r>
        <w:rPr>
          <w:rFonts w:ascii="Times New Roman;sans-serif" w:hAnsi="Times New Roman;sans-serif"/>
          <w:b w:val="false"/>
          <w:color w:val="000000"/>
          <w:sz w:val="20"/>
        </w:rPr>
        <w:t>We believe that the volume of messages sent, measured in standardized message size, is important as it indicates the frequency of use and level of engagement of our platform by our clients. Messages are distributed by text, email, and direct push notifications to mobile applications.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EBITDA and Adjusted EBITDA</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To provide investors with additional information regarding our financial results, we have disclosed EBITDA, which is a non-GAAP financial measure that we calculate as net income before interest, taxes, depreciation and amortization and </w:t>
      </w:r>
      <w:r>
        <w:rPr>
          <w:rFonts w:ascii="Times New Roman;sans-serif" w:hAnsi="Times New Roman;sans-serif"/>
          <w:b w:val="false"/>
          <w:color w:val="000000"/>
          <w:sz w:val="20"/>
          <w:shd w:fill="FFFFFF" w:val="clear"/>
        </w:rPr>
        <w:t>Adjusted EBITDA, which represents EBITDA adjusted for certain unusual, infrequent items, or non-cash items</w:t>
      </w:r>
      <w:r>
        <w:rPr>
          <w:color w:val="000000"/>
        </w:rPr>
        <w:t xml:space="preserve"> </w:t>
      </w:r>
      <w:r>
        <w:rPr>
          <w:rFonts w:ascii="Times New Roman;sans-serif" w:hAnsi="Times New Roman;sans-serif"/>
          <w:b w:val="false"/>
          <w:color w:val="000000"/>
          <w:sz w:val="20"/>
        </w:rPr>
        <w:t>(such as bad debt expense and stock-based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EBITDA and Adjusted EBITDA do not reflect changes in, or cash requirements for, our working capital needs;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EBITDA and Adjusted EBITDA do not reflect tax payments that may represent a reduction in cash available.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EBITDA and Adjusted EBITDA alongside other financial performance measures, including net loss and our other GAAP results.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before taxes to non-GAAP EBITDA and Adjusted EBITDA is as follows (in thousands):</w:t>
      </w:r>
    </w:p>
    <w:p>
      <w:pPr>
        <w:pStyle w:val="TextBody"/>
        <w:bidi w:val="0"/>
        <w:spacing w:before="0" w:after="0"/>
        <w:jc w:val="left"/>
        <w:rPr/>
      </w:pPr>
      <w:r>
        <w:rPr/>
      </w:r>
    </w:p>
    <w:tbl>
      <w:tblPr>
        <w:tblW w:w="8758" w:type="dxa"/>
        <w:jc w:val="left"/>
        <w:tblInd w:w="0" w:type="dxa"/>
        <w:tblLayout w:type="fixed"/>
        <w:tblCellMar>
          <w:top w:w="28" w:type="dxa"/>
          <w:left w:w="28" w:type="dxa"/>
          <w:bottom w:w="28" w:type="dxa"/>
          <w:right w:w="28" w:type="dxa"/>
        </w:tblCellMar>
      </w:tblPr>
      <w:tblGrid>
        <w:gridCol w:w="1107"/>
        <w:gridCol w:w="974"/>
        <w:gridCol w:w="978"/>
        <w:gridCol w:w="109"/>
        <w:gridCol w:w="109"/>
        <w:gridCol w:w="109"/>
        <w:gridCol w:w="235"/>
        <w:gridCol w:w="772"/>
        <w:gridCol w:w="121"/>
        <w:gridCol w:w="121"/>
        <w:gridCol w:w="121"/>
        <w:gridCol w:w="121"/>
        <w:gridCol w:w="235"/>
        <w:gridCol w:w="772"/>
        <w:gridCol w:w="121"/>
        <w:gridCol w:w="109"/>
        <w:gridCol w:w="109"/>
        <w:gridCol w:w="109"/>
        <w:gridCol w:w="214"/>
        <w:gridCol w:w="701"/>
        <w:gridCol w:w="110"/>
        <w:gridCol w:w="110"/>
        <w:gridCol w:w="110"/>
        <w:gridCol w:w="110"/>
        <w:gridCol w:w="214"/>
        <w:gridCol w:w="701"/>
        <w:gridCol w:w="156"/>
      </w:tblGrid>
      <w:tr>
        <w:trPr/>
        <w:tc>
          <w:tcPr>
            <w:tcW w:w="110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related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Overall Economic Trends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Growth and Retention of Customers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Regulation and Maturation of Cannabis Markets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our brand identity and our reputation is critical to maintaining and growing our relationships with customers and to our ability to attract new customers.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fixed fees for credits (up to the pre-contracted amount) and optional purchases of additional credits.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amounts payable to distributors of messages on behalf of the Company’s customers across cellular networks and integrations. </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Servicing and Marketing Expenses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and Software Development Expenses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costs consist of salaries and benefits for employees, including engineering and technical teams who are responsible for building new products, as well as maintaining and improving existing products. We capitalize certain costs associated with technology and software development in accordance with ASC 350-40, Intangibles – Goodwill and Other – Internal Use Software, but these are limited in quantum as we are constantly and regularly making enhancements to our technology platform and do not consider them appropriate to be capitalized. Capitalized costs are generally amortized over a three-year period commencing on the date that the specific software product is placed in service. We believe that continued investment in our platform is important for our growth.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stock-based compensation expenses.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Three Months Ended June 30, 2023 compared to Three Months Ended June 30,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indicated:</w:t>
      </w:r>
    </w:p>
    <w:p>
      <w:pPr>
        <w:pStyle w:val="TextBody"/>
        <w:bidi w:val="0"/>
        <w:spacing w:before="0" w:after="0"/>
        <w:jc w:val="both"/>
        <w:rPr/>
      </w:pPr>
      <w:r>
        <w:rPr/>
      </w:r>
    </w:p>
    <w:tbl>
      <w:tblPr>
        <w:tblW w:w="9089" w:type="dxa"/>
        <w:jc w:val="left"/>
        <w:tblInd w:w="0" w:type="dxa"/>
        <w:tblLayout w:type="fixed"/>
        <w:tblCellMar>
          <w:top w:w="28" w:type="dxa"/>
          <w:left w:w="28" w:type="dxa"/>
          <w:bottom w:w="28" w:type="dxa"/>
          <w:right w:w="28" w:type="dxa"/>
        </w:tblCellMar>
      </w:tblPr>
      <w:tblGrid>
        <w:gridCol w:w="1188"/>
        <w:gridCol w:w="1046"/>
        <w:gridCol w:w="1050"/>
        <w:gridCol w:w="109"/>
        <w:gridCol w:w="109"/>
        <w:gridCol w:w="109"/>
        <w:gridCol w:w="211"/>
        <w:gridCol w:w="691"/>
        <w:gridCol w:w="109"/>
        <w:gridCol w:w="109"/>
        <w:gridCol w:w="109"/>
        <w:gridCol w:w="109"/>
        <w:gridCol w:w="211"/>
        <w:gridCol w:w="691"/>
        <w:gridCol w:w="109"/>
        <w:gridCol w:w="109"/>
        <w:gridCol w:w="109"/>
        <w:gridCol w:w="109"/>
        <w:gridCol w:w="461"/>
        <w:gridCol w:w="1022"/>
        <w:gridCol w:w="241"/>
        <w:gridCol w:w="109"/>
        <w:gridCol w:w="109"/>
        <w:gridCol w:w="109"/>
        <w:gridCol w:w="216"/>
        <w:gridCol w:w="219"/>
        <w:gridCol w:w="316"/>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nm-not meaningful</w:t>
      </w:r>
    </w:p>
    <w:p>
      <w:pPr>
        <w:pStyle w:val="TextBody"/>
        <w:bidi w:val="0"/>
        <w:spacing w:lineRule="auto" w:line="268" w:before="0" w:after="0"/>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xml:space="preserve">. Revenues increased $0.8 million for the three months ended June 30, 2023, representing a 12% increase compared with the same period in 2022. Our subscription revenue was $5.9 million for the three months ended June 30, 2023 compared with $4.9 million in the same period in 2022, representing 19% year-over-year growth. The excess use revenue declined by 7% year-over-year reflecting the fact that some excess use revenue in the comparable prior period had converted into recurring subscription revenues due to clients upgrading their subscriptions.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net revenue retention rate was 100% for the twelve months ended June 30, 2023, consistent with the 100% reported for the twelve months ended March 31, 2023, and compared with 114% for the twelve months ended June 30, 2022. The ratio continues to be within our range of 100% to 110% although currently at the lower end of the range because of the challenging macro-economic conditions impacting the cannabis market and general economy.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Gross profit increased to $5.7 million for the three months ended June 30, 2023 from $4.6 million for the three months ended June 30, 2022, representing a 24% increase. The gross profit margin improved from 71% for the three months ended June 30, 2022 to 79% for the three months ended June 30, 2023. Messaging costs, which are the main expense in our cost of revenue, reduced by 22% year-on-year due to operating efficiencies and a larger proportion of messages being distributed directly into mobile applications.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 Our operating expenses decreased by $2.4 million, or 24%, for the quarter ended June 30, 2023 compared with the same period in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 expenses decreased by $0.9 million, or 30%, for the quarter ended June 30, 2023, compared to the same period in 2022, due to lower compensation expense as a result of lower employee headcount.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expenses decreased by $0.9 million, or 30%, for the quarter ended June 30, 2023, compared to the same period in 2022, with the decrease being attributable to lower expenses associated with the use of offshore contract developers and a reduction in compensation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reduced by $0.6 million, or 16%, for the quarter ended June 30, 2023, compared to the same period in 2022. The stock compensation expense in the quarter ended June 30, 2023, was $0.2 million compared with $1.0 million for the same period in 2022 and this reduction is the primary reason for the year-on-year reduction. Excluding stock compensation expense, general and administrative costs increased by $0.2 million, or 8%, due to additional expenses associated with being a public company. SpringBig became a public company in June 2022, so only incurred these additional costs for part of the quarter ended June 30, 2022, whereas a full three months expense is reflected during the quarter ended June 30, 2023.</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was $0.3 million for the quarter ended June 30, 2023 due to interest payable on the 6.0% Secured Convertible Notes issued in connection with the merger completed on June 14, 2022.</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Change in fair value of warrants</w:t>
      </w:r>
      <w:r>
        <w:rPr>
          <w:rFonts w:ascii="Times New Roman;sans-serif" w:hAnsi="Times New Roman;sans-serif"/>
          <w:b w:val="false"/>
          <w:color w:val="000000"/>
          <w:sz w:val="20"/>
        </w:rPr>
        <w:t>. The liability relating to warrants issued by SpringBig is included on the balance sheet at the fair value prevailing at the end of the accounting period and any change in value is reported in the income statement. As at June 30, 2023, the market value of the public warrants, which are listed on the Nasdaq stock exchange, was $0.0267 per warrant compared with $0.0307 at March 31, 2023. The decrease in value, which is recognized as income in our income statement for the three months ended June 30, 2023, was $0.1 million.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Six Months Ended June 30, 2023 compared to Six Months Ended June 30,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indicated:</w:t>
      </w:r>
    </w:p>
    <w:p>
      <w:pPr>
        <w:pStyle w:val="TextBody"/>
        <w:bidi w:val="0"/>
        <w:spacing w:before="0" w:after="0"/>
        <w:jc w:val="both"/>
        <w:rPr/>
      </w:pPr>
      <w:r>
        <w:rPr/>
      </w:r>
    </w:p>
    <w:tbl>
      <w:tblPr>
        <w:tblW w:w="9149" w:type="dxa"/>
        <w:jc w:val="left"/>
        <w:tblInd w:w="0" w:type="dxa"/>
        <w:tblLayout w:type="fixed"/>
        <w:tblCellMar>
          <w:top w:w="28" w:type="dxa"/>
          <w:left w:w="28" w:type="dxa"/>
          <w:bottom w:w="28" w:type="dxa"/>
          <w:right w:w="28" w:type="dxa"/>
        </w:tblCellMar>
      </w:tblPr>
      <w:tblGrid>
        <w:gridCol w:w="1188"/>
        <w:gridCol w:w="1046"/>
        <w:gridCol w:w="1050"/>
        <w:gridCol w:w="109"/>
        <w:gridCol w:w="109"/>
        <w:gridCol w:w="109"/>
        <w:gridCol w:w="211"/>
        <w:gridCol w:w="721"/>
        <w:gridCol w:w="109"/>
        <w:gridCol w:w="109"/>
        <w:gridCol w:w="109"/>
        <w:gridCol w:w="109"/>
        <w:gridCol w:w="211"/>
        <w:gridCol w:w="721"/>
        <w:gridCol w:w="109"/>
        <w:gridCol w:w="109"/>
        <w:gridCol w:w="109"/>
        <w:gridCol w:w="109"/>
        <w:gridCol w:w="389"/>
        <w:gridCol w:w="1135"/>
        <w:gridCol w:w="200"/>
        <w:gridCol w:w="109"/>
        <w:gridCol w:w="109"/>
        <w:gridCol w:w="109"/>
        <w:gridCol w:w="216"/>
        <w:gridCol w:w="219"/>
        <w:gridCol w:w="316"/>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nm-not meaningful</w:t>
      </w:r>
    </w:p>
    <w:p>
      <w:pPr>
        <w:pStyle w:val="TextBody"/>
        <w:bidi w:val="0"/>
        <w:spacing w:lineRule="auto" w:line="268" w:before="0" w:after="0"/>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Revenues increased $1.7 million for the six months ended June 30, 2023, representing a 14% increase compared with the same period in 2022. Our subscription revenue was $11.9 million for the six months ended June 30, 2023 compared with $9.6 million in the same period in 2022, representing 23% year-over-year growth. The excess use revenue declined by 15% year-over-year due to the weaker economy and the fact that some excess use revenue in the comparable prior period had converted into recurring subscription revenues due to clients upgrading their subscriptions. Our revenue from Brands clients increased by 16% year-over-year and was $0.5 million in the six months ended June 30, 2023, as compared to $0.4 million for the six months ended June 30, 2022.</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Gross profit increased to $11.5 million for the six months ended June 30, 2023 from $9.1 million for the six months ended June 30, 2022, representing a 26% increase. The gross profit margin improved from 72% for the six months ended June 30, 2022 to 80% for the six months ended June 30, 2023. Messaging costs, which are the main expense in our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revenue reduced year-on-year due to operating efficiencies and a larger proportion of messages being distributed directly into mobile applications.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 Our operating expenses decreased by $2.2 million, or 13%, for the six months ended June 30, 2023 compared with the same period in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 expenses decreased by $1.4 million, or 23%, for the six months ended June 30, 2023, compared to the same period in 2022, due to lower compensation expense as a result of lower employee headcount.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expenses decreased by $1.2 million, or 22%, for the six months ended June 30, 2023, compared to the same period in 2022, with the decrease being attributable to lower expenses associated with the use of offshore contract developers and a reduction in compensation expense.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$0.4 million, or 8%, for the six months ended June 30, 2023, compared to the same period in 2022 due to additional expenses associated with being a public company, including increases in directors’ and officer’s insurance premiums, higher legal and audit costs and compensation to the board of directors, being incurred for the full six months in the period ended June 30, 2023, whereas these additional expenses were not incurred in the early months of the prior year until SpringBig became a public company in June 2022.</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was $0.7 million for the six months ended June 30, 2023 due to interest payable on the 6.0% Secured Convertible Notes issued in connection with the merger completed on June 14, 2022.</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Change in fair value of warrants</w:t>
      </w:r>
      <w:r>
        <w:rPr>
          <w:rFonts w:ascii="Times New Roman;sans-serif" w:hAnsi="Times New Roman;sans-serif"/>
          <w:b w:val="false"/>
          <w:color w:val="000000"/>
          <w:sz w:val="20"/>
        </w:rPr>
        <w:t>. The liability relating to warrants issued by SpringBig is included on the balance sheet at the fair value prevailing at the end of the accounting period and any change in value is reported in the income statement. As at June 30, 2023, the market value of the public warrants, which are listed on the Nasdaq stock exchange, was $0.0267 per warrant compared with $0.0211 at December 31, 2022. The increase in value, which is recognized as an expense in our income statement for the six months ended June 30, 2023, was $0.1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Liquidity, Capital Resources, &amp; Going Concern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as described below. Our primary uses of cash in the short-term are to fund our operations as we continue to grow our business.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Additionally, following the execution of the merger agreement, we entered into two incremental financing agreements. An institutional investor through a securities purchase agreement agreed to purchase $11.0 million of 6.0% Secured Convertible Notes and a number of warrants equal to one-half of the principal amount of the notes divided by the volume weighted average price on the trading day prior to closing. This financing closed immediately after the business combination. As discussed in </w:t>
      </w:r>
      <w:r>
        <w:rPr>
          <w:rFonts w:ascii="Times New Roman;sans-serif" w:hAnsi="Times New Roman;sans-serif"/>
          <w:b w:val="false"/>
          <w:color w:val="000000"/>
          <w:sz w:val="20"/>
          <w:shd w:fill="FFFFFF" w:val="clear"/>
        </w:rPr>
        <w:t xml:space="preserve">Notes 11 and 12 of the notes to these consolidated financial statements, these notes were amended on </w:t>
      </w:r>
      <w:r>
        <w:rPr>
          <w:rFonts w:ascii="Times New Roman;sans-serif" w:hAnsi="Times New Roman;sans-serif"/>
          <w:b w:val="false"/>
          <w:color w:val="000000"/>
          <w:sz w:val="20"/>
        </w:rPr>
        <w:t>May 24, 2023 and May 25, 2023 to extend the due date for repayment, adjust the conversion share price to $1.00, and adjust the exercise price of the attached warrants to $1.00. The Company accounted for the amendments as a debt modification pursuant to ASC 470-50-40-10, and the impact to the financial statements was not significant.</w:t>
      </w:r>
    </w:p>
    <w:p>
      <w:pPr>
        <w:pStyle w:val="TextBody"/>
        <w:bidi w:val="0"/>
        <w:spacing w:before="0" w:after="0"/>
        <w:jc w:val="left"/>
        <w:rPr/>
      </w:pPr>
      <w:r>
        <w:rPr/>
      </w:r>
    </w:p>
    <w:p>
      <w:pPr>
        <w:pStyle w:val="TextBody"/>
        <w:bidi w:val="0"/>
        <w:spacing w:lineRule="auto" w:line="247" w:before="0" w:after="0"/>
        <w:jc w:val="both"/>
        <w:rPr/>
      </w:pPr>
      <w:r>
        <w:rPr>
          <w:rFonts w:ascii="Times New Roman;sans-serif" w:hAnsi="Times New Roman;sans-serif"/>
          <w:b w:val="false"/>
          <w:color w:val="000000"/>
          <w:sz w:val="20"/>
        </w:rPr>
        <w:t>On May 31, 2023, SpringBig raised gross cash proceeds of approximately $3.0 million through a public equity offering and in addition $1.25 million of the outstanding principal of the Senior Secured Convertible Note was converted into common shares. In aggregate, 14.0 million common shares were issued, of which, approximately 1.0 million related to conversion of a portion of the Senior Secured Convertible Note to common shares on June 15, 2023. The cash proceeds from the public equity offering, after payment of transaction related fees, were $2.5 million and these funds were in part used to make further repayments of principal of the Senior Secured Convertible Note and in part for general corporate purposes.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also entered into a committed equity line facility (the “Facility”) with CF Principal Investments, LLC (“Cantor”) for up to $50.0 million in aggregate gross purchase price of newly issued shares of our common stock after the closing of the business combination. In connection with the Facility, the Company incurred a $1.5 million commitment fee which it settled in exchange for 877,193 shares of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from time to time at its option, sell to Cantor newly issued shares of common stock pursuant to the terms of the Facility. The use of the Facility under the agreement with Cantor is subject to certain conditions, including the aggregate market value of the Company’s outstanding common stock being equal to or greater than $25 million. Therefore, there can be no assurances that the Facility will be available to the Company at all times during its terms or that such purchase price will ever become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accounts receivable, and working capital at June 30, 2023 and December 31, 2022 (in thousands):</w:t>
      </w:r>
    </w:p>
    <w:p>
      <w:pPr>
        <w:pStyle w:val="TextBody"/>
        <w:bidi w:val="0"/>
        <w:spacing w:before="0" w:after="0"/>
        <w:jc w:val="left"/>
        <w:rPr/>
      </w:pPr>
      <w:r>
        <w:rPr/>
      </w:r>
    </w:p>
    <w:tbl>
      <w:tblPr>
        <w:tblW w:w="5961" w:type="dxa"/>
        <w:jc w:val="left"/>
        <w:tblInd w:w="0" w:type="dxa"/>
        <w:tblLayout w:type="fixed"/>
        <w:tblCellMar>
          <w:top w:w="28" w:type="dxa"/>
          <w:left w:w="28" w:type="dxa"/>
          <w:bottom w:w="28" w:type="dxa"/>
          <w:right w:w="28" w:type="dxa"/>
        </w:tblCellMar>
      </w:tblPr>
      <w:tblGrid>
        <w:gridCol w:w="820"/>
        <w:gridCol w:w="720"/>
        <w:gridCol w:w="724"/>
        <w:gridCol w:w="109"/>
        <w:gridCol w:w="109"/>
        <w:gridCol w:w="109"/>
        <w:gridCol w:w="342"/>
        <w:gridCol w:w="756"/>
        <w:gridCol w:w="176"/>
        <w:gridCol w:w="109"/>
        <w:gridCol w:w="109"/>
        <w:gridCol w:w="109"/>
        <w:gridCol w:w="380"/>
        <w:gridCol w:w="1110"/>
        <w:gridCol w:w="27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based on the factors described in this sub-section, we concluded that there was substantial doubt about our ability to continue to operate as a going concern for the 12 months following the issuance of the financial statements in this Quarterly Report on Form 10-Q. </w:t>
      </w: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his estimate is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under "Risk Factors" in this Quarterly Report on Form 10-Q.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To the extent existing cash and investments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Secured Convertible Notes also contain a number of restrictive covenants that may impose significant restrictions on obtaining future financings, including restrictions on SpringBig’s ability to do any of each following while the Secured Convertible Notes remain outstanding: </w:t>
      </w:r>
      <w:r>
        <w:rPr>
          <w:rFonts w:ascii="Times New Roman;sans-serif" w:hAnsi="Times New Roman;sans-serif"/>
          <w:b w:val="false"/>
          <w:color w:val="000000"/>
          <w:sz w:val="20"/>
          <w:shd w:fill="FFFFFF" w:val="clear"/>
        </w:rPr>
        <w:t xml:space="preserve">(i)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the equity facility, issuances under our equity compensation plan and other limited exceptions until a resale registration statement registering all of the common stock underlying the notes and warrants with the Investor is declared effective by the SEC); (vii) entering into variable rate transactions (exclusive of the equity facility); and (viii) adopting certain amendments to our governing documents, among other restrictions. In addition, the noteholders have the right, for 18 months following the first closing of the notes and warrants with the Investor, to purchase up to 30% of the securities we may offer in subsequent financings. </w:t>
      </w:r>
      <w:r>
        <w:rPr>
          <w:rFonts w:ascii="Times New Roman;sans-serif" w:hAnsi="Times New Roman;sans-serif"/>
          <w:b w:val="false"/>
          <w:color w:val="000000"/>
          <w:sz w:val="20"/>
        </w:rPr>
        <w:t>Accordingly, we may be limited in our ability to raise additional capital on acceptable terms or at all within such limitations. Such restrictions may be waived by consent of the noteholder.</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SpringBig’s ability to continue as a going concern is dependent on its ability to meet its liquidity needs through a combination of factors including, but not limited to, cash and cash equivalents, the ongoing increase in revenue through increased usage by customers and new customers, its Common Stock Purchase Agreement and strategic capital raises. The ultimate success of these plans is not guaranteed. See the section titled “Going Concern and Liquidity” in Note 2 of the notes to these consolidated financial statements included in this report for more information</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left"/>
        <w:rPr/>
      </w:pPr>
      <w:r>
        <w:rPr/>
      </w:r>
    </w:p>
    <w:p>
      <w:pPr>
        <w:pStyle w:val="TextBody"/>
        <w:bidi w:val="0"/>
        <w:spacing w:lineRule="auto" w:line="247" w:before="0" w:after="0"/>
        <w:ind w:left="0" w:right="0" w:firstLine="495"/>
        <w:jc w:val="both"/>
        <w:rPr/>
      </w:pPr>
      <w:r>
        <w:rPr>
          <w:rFonts w:ascii="Times New Roman;sans-serif" w:hAnsi="Times New Roman;sans-serif"/>
          <w:b w:val="false"/>
          <w:color w:val="000000"/>
          <w:sz w:val="20"/>
        </w:rPr>
        <w:t xml:space="preserve">The following table summarizes our cash flows from operating, investing and financing activities for the six months ended June 30, 2023 and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(in thousands):</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tbl>
      <w:tblPr>
        <w:tblW w:w="6741" w:type="dxa"/>
        <w:jc w:val="left"/>
        <w:tblInd w:w="0" w:type="dxa"/>
        <w:tblLayout w:type="fixed"/>
        <w:tblCellMar>
          <w:top w:w="28" w:type="dxa"/>
          <w:left w:w="28" w:type="dxa"/>
          <w:bottom w:w="28" w:type="dxa"/>
          <w:right w:w="28" w:type="dxa"/>
        </w:tblCellMar>
      </w:tblPr>
      <w:tblGrid>
        <w:gridCol w:w="1444"/>
        <w:gridCol w:w="1271"/>
        <w:gridCol w:w="1275"/>
        <w:gridCol w:w="109"/>
        <w:gridCol w:w="109"/>
        <w:gridCol w:w="109"/>
        <w:gridCol w:w="211"/>
        <w:gridCol w:w="691"/>
        <w:gridCol w:w="109"/>
        <w:gridCol w:w="109"/>
        <w:gridCol w:w="109"/>
        <w:gridCol w:w="109"/>
        <w:gridCol w:w="211"/>
        <w:gridCol w:w="721"/>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left w:val="single" w:sz="8"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Cash Flows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(used in) provided 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47"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2023, the net loss was $4.3 million and the cash used in operating activities was $2.6 million. The difference of $1.7 million is due to $1.7 million non-cash items (including depreciation, amortization, stock-based compensation and change in the fair value of warrants) offsetting a $1.9 million increase in working capital (primarily due to an increase in receivables) and the receipt of $2.0 million relating to refundable employee retention payroll tax credits under the Coronavirus Aid, Relief and Economic Security Act (CARES Act). Due to the complex nature of the employee retention credit computations we plan to defer any benefit related to these credits until we have reasonable certainty, including, but not limited to, the completion of any potential audit or examination or the expiration of the related statute of limitations.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2022, the net loss was $5.5 million and cash used in operating activities was $5.0 million.</w:t>
      </w:r>
    </w:p>
    <w:p>
      <w:pPr>
        <w:pStyle w:val="TextBody"/>
        <w:bidi w:val="0"/>
        <w:spacing w:before="0" w:after="0"/>
        <w:ind w:left="0" w:right="0" w:firstLine="495"/>
        <w:jc w:val="both"/>
        <w:rPr/>
      </w:pPr>
      <w:r>
        <w:rPr/>
      </w:r>
    </w:p>
    <w:p>
      <w:pPr>
        <w:pStyle w:val="TextBody"/>
        <w:bidi w:val="0"/>
        <w:spacing w:lineRule="auto" w:line="247"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SpringBig has low capital investment requirements, with our needs being comprised primarily of computer equipment and office furniture and related items. Cash used in investing activities was $90,000 for the six months ended June 30, 2023 and $363,000 for the six months ended June 30, 2022.</w:t>
      </w:r>
    </w:p>
    <w:p>
      <w:pPr>
        <w:pStyle w:val="TextBody"/>
        <w:bidi w:val="0"/>
        <w:spacing w:before="0" w:after="0"/>
        <w:ind w:left="0" w:right="0" w:firstLine="495"/>
        <w:jc w:val="both"/>
        <w:rPr/>
      </w:pPr>
      <w:r>
        <w:rPr/>
      </w:r>
    </w:p>
    <w:p>
      <w:pPr>
        <w:pStyle w:val="TextBody"/>
        <w:bidi w:val="0"/>
        <w:spacing w:lineRule="auto" w:line="247"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net cash used in financing activities was approximately $0.2 million representing $2.9 million repayment of principal of the 6% Secured Convertible Notes and $0.2 million of equity issuance costs which were partially offset by $2.7 million net proceeds from the issuance of common stock and $0.3 million from the exercise of stock options by executives and employees.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before="0" w:after="0"/>
        <w:jc w:val="left"/>
        <w:rPr/>
      </w:pPr>
      <w:r>
        <w:rPr/>
      </w:r>
    </w:p>
    <w:p>
      <w:pPr>
        <w:pStyle w:val="TextBody"/>
        <w:bidi w:val="0"/>
        <w:spacing w:lineRule="auto" w:line="247"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software development costs, income taxes, and equity-based compensation have the greatest potential impact on our consolidated financial statements. Therefore, we consider these to be our critical accounting policies and estimates. For further information on all of our significant accounting policies, see the Company's audited consolidated financial statements and accompanying notes as of and for the year ended December 31, 2022, as reported in the 2022 Annual Report on Form 10-K.</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231F20"/>
          <w:sz w:val="20"/>
        </w:rPr>
      </w:pPr>
      <w:r>
        <w:rPr>
          <w:rFonts w:ascii="Times New Roman;sans-serif" w:hAnsi="Times New Roman;sans-serif"/>
          <w:b/>
          <w:color w:val="231F20"/>
          <w:sz w:val="20"/>
        </w:rPr>
        <w:t>Recent Accounting Pronouncements</w:t>
      </w:r>
    </w:p>
    <w:p>
      <w:pPr>
        <w:pStyle w:val="TextBody"/>
        <w:bidi w:val="0"/>
        <w:spacing w:before="0" w:after="0"/>
        <w:jc w:val="left"/>
        <w:rPr/>
      </w:pPr>
      <w:r>
        <w:rPr/>
      </w:r>
    </w:p>
    <w:p>
      <w:pPr>
        <w:pStyle w:val="TextBody"/>
        <w:bidi w:val="0"/>
        <w:spacing w:lineRule="auto" w:line="268" w:before="0" w:after="0"/>
        <w:ind w:left="0" w:right="0" w:firstLine="399"/>
        <w:jc w:val="both"/>
        <w:rPr>
          <w:rFonts w:ascii="Times New Roman;sans-serif" w:hAnsi="Times New Roman;sans-serif"/>
          <w:b w:val="false"/>
          <w:color w:val="231F20"/>
          <w:sz w:val="20"/>
        </w:rPr>
      </w:pPr>
      <w:r>
        <w:rPr>
          <w:rFonts w:ascii="Times New Roman;sans-serif" w:hAnsi="Times New Roman;sans-serif"/>
          <w:b w:val="false"/>
          <w:color w:val="231F20"/>
          <w:sz w:val="20"/>
        </w:rPr>
        <w:t>See the section titled “Summary of Significant Accounting Policies” in Note 2 of the notes to our unaudited condensed consolidated financial statements included in this Quarterly Report on Form 10-Q for more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Emerging Growth Company and Smaller Reporting Company Status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before="40" w:after="283"/>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Fluctuation Risk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with an original maturity of three months or less to be cash equivalents.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Exchange Rate Risk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pPr>
      <w:r>
        <w:rPr>
          <w:rFonts w:ascii="Times New Roman;sans-serif" w:hAnsi="Times New Roman;sans-serif"/>
          <w:b/>
          <w:color w:val="000000"/>
          <w:sz w:val="20"/>
        </w:rPr>
        <w:t>Item 4. Controls and Procedures</w:t>
      </w:r>
      <w:r>
        <w:rPr>
          <w:color w:val="000000"/>
        </w:rPr>
        <w:t> </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(our principal executive, financial and accounting officer) evaluated the effectiveness of our “disclosure controls and procedures” (as defined in the Exchange Act Rules 13a-15(e) and 15d-15(e)) as of June 30, 2023, the end of the period covered by this report. Based on that evaluation, our Chief Executive Officer and Chief Financial Officer concluded that our disclosure controls and procedures were not effective as of such date. See the Company’s Annual Report on Form 10-K for the fiscal year ended December 31, 2022, for a description of the Company’s material weaknesses in internal control over financial reporting.</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Rules 13a-15(f) and 15d-15(f) under the Exchange Act) occurred during the quarter ended June 30, 2023 that has materially affected, or is reasonably likely to materially affect, the Company’s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84"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27, 2022, plaintiffs Michael Gross and Yuzz Buzz, LLC (“YB”), of which Mr. Gross is allegedly the majority owner, filed a complaint (as amended, the “Complaint”) against the Company in the Circuit Court of the 15th Judicial Circuit in and for Palm Beach County, Florida. Mr. Gross was the Company’s co-founder and former 45% owner, and on or about July 10, 2017, Mr. Gross entered into a Settlement Agreement and Mutual Release (the “Settlement Agreement”) with the Company, Jeffrey Harris, our CEO and Chairman of our Board of Directors, and various related parties, pursuant to which (1) Mr. Gross released various claims and transferred to the Company all his shares of common stock and interest in the Company, and (2) the Company made certain payments to Mr. Gross and related parties and, concurrently with the Settlement Agreement, executed a license agreement (the “License Agreement”) that granted YB a non-exclusive, perpetual license to install and use certain of the Company’s software and derivative works, subject to certain limitations including being restricted to industries other than cannabis.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hereof, the remaining counts of the Complaint are for declaratory judgment and alleged breaches of the Settlement Agreement and License Agreement. The plaintiffs seek specific performance of the License Agreement or, in the alternative, damages for the Company’s alleged breach of the License Agreement. In the case of specific performance, the parties dispute the cost to YB of delivery of the software.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Discovery is currently ongoing. On July 5, 2023, the parties exchanged documents in response to initial discovery requests. In the meantime, on July 7, 2023, the parties formally engaged a professional mediator in an effort to reach a settlement. On July 17, 2023, the plaintiffs amended their written discovery responses providing details of their theory of damages. On July 18, 2023, the parties began formal mediation.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developments to legal proceedings during the six months ended June 30, 2023, see "Litigation" under Note 17, "Commitments and Contingencies" to our consolidated financial statements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40" w:after="283"/>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involves a high degree of risk. You should carefully consider the risks described under the caption “Risk Factors” in Part I, Item 1A of our Annual Report on Form 10-K for the year ended December 31, 2022, as well as the risks, uncertainties and other information set forth in the reports and other materials filed or furnished by us with the SEC when making investment decisions regarding our securities. There have been no material changes to the Risk Factors disclosed in the December 31, 2022 Form 10-K. We cannot assure you that any of the events discussed therein will not occur. These risks could have a material and adverse impact on our business, prospects, results of operations, financial condition and cash flows.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0" w:after="0"/>
        <w:jc w:val="left"/>
        <w:rPr/>
      </w:pPr>
      <w:r>
        <w:rPr/>
      </w:r>
    </w:p>
    <w:p>
      <w:pPr>
        <w:pStyle w:val="TextBody"/>
        <w:bidi w:val="0"/>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we received a letter from the Nasdaq Staff notifying us that for the last 30 consecutive business days, our minimum market value of listed securities (“MVLS”) was below the minimum of $50 million required for continued listing on The Nasdaq Global Market pursuant to Nasdaq listing rule 5450(b)(2)(A). The notice had no immediate effect on the listing of our common stock or warrants. In accordance with Nasdaq Listing Rule 5810(c)(3)(C), the Company has 180 calendar days, or until March 6, 2023, to regain compliance. The notice states that to regain compliance, the Company’s MVLS must close at $50 million or more for a minimum of ten consecutive business days during the compliance period ending March 6, 2023. On March 7, 2023, we received formal notice from the Nasdaq Staff indicating that we continued to be non-compliant with the MVLS requirement and that our common stock and public warrants were subject to delisting unless the Company timely requests a hearing before the Panel. The Company timely requested a hearing before the Panel, and on May 8, 2023, the Panel granted the Company’s request to transfer the listing of its common stock and public warrants to the Nasdaq Capital Market effective at the open of business on May 10, 2023.</w:t>
      </w:r>
    </w:p>
    <w:p>
      <w:pPr>
        <w:pStyle w:val="TextBody"/>
        <w:bidi w:val="0"/>
        <w:spacing w:before="0" w:after="0"/>
        <w:jc w:val="left"/>
        <w:rPr/>
      </w:pPr>
      <w:r>
        <w:rPr/>
      </w:r>
    </w:p>
    <w:p>
      <w:pPr>
        <w:pStyle w:val="TextBody"/>
        <w:bidi w:val="0"/>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2022, we received a letter from the Nasdaq Staff providing notification that, for the previous 30 consecutive business days, the bid price for the Company’s common stock had closed below the $1.00 per share minimum bid price requirement for continued listing under Nasdaq Listing Rule 5450(a)(1). The notice had no immediate effect on the listing of the Company’s common stock or public warrants. In accordance with Nasdaq Listing Rule 5810(c)(3)(A) the Company has been provided an initial period of 180 calendar days, or until June 19, 2023 to regain compliance with the minimum bid requirement. To regain compliance, the closing bid price of the Company’s common stock must be $1.00 per share or higher for a minimum of 10 consecutive business days any time before June 19, 2023, unless Nasdaq exercises its discretion to extend this 10-day period pursuant to Nasdaq Listing Rule 5810(c)(3)(H). If the Company does not regain compliance by June 19, 2023, the Company may be eligible for an additional 180 calendar days compliance period. On June 21, 2023, we received formal notice from the Nasdaq Staff indicating that, based upon the Company’s continued non-compliance with the minimum bid requirement, the deficiency could serve as an additional basis for the delisting of the Company’s securities from Nasdaq. As mentioned above, the Company previously presented its plan to regain compliance with the minimum bid requirement at a hearing before the Panel, subsequent to which the Panel transferred the Company’s listing to The Nasdaq Capital Market tier and granted the Company an extension through September 5, 2023, to evidence compliance with the minimum bid requirement. To qualify, the Company would need to meet the continued listing requirement for market value of publicly held shares and all other initial listing standards for the Nasdaq Capital Market, with the exception of the minimum bid price requirement, and would need to provide written notice of its intention to cure the deficiency during the second compliance period by effecting a reverse stock split if necessary.</w:t>
      </w:r>
    </w:p>
    <w:p>
      <w:pPr>
        <w:pStyle w:val="TextBody"/>
        <w:bidi w:val="0"/>
        <w:spacing w:before="0" w:after="0"/>
        <w:jc w:val="left"/>
        <w:rPr/>
      </w:pPr>
      <w:r>
        <w:rPr/>
      </w:r>
    </w:p>
    <w:p>
      <w:pPr>
        <w:pStyle w:val="TextBody"/>
        <w:bidi w:val="0"/>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regain compliance with the requirements for listing our common stock and/or public warrants on Nasdaq. If we are unable to satisfy the Nasdaq criteria for continued listing, our common stock and/or public warrants would be subject to delisting. A delisting of our common stock could negatively impact us by, among other things, reducing the liquidity and market price of our common stock and/or public warrants; reducing the number of investors willing to hold or acquire our common stock and/or public warrants,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are and may become involved in litigation that may materially adversely affect us.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and continue to be subject to litigation, and may become involved in various legal proceedings relating to matters incidental to the ordinary course of our business, including patent, commercial, employment, class action, whistleblower and other litigation and claims, and governmental and other regulatory investigations and proceedings. We are currently involved in litigation related to the Settlement Agreement and the License Agreement. See “Part II – Other Information – Item 1. Legal Proceedings” and "Litigation" under Note 17, "Commitments and Contingencies" to our consolidated financial statements in this Quarterly Report on Form 10-Q.</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Legal proceedings may result in significant defense costs and potentially significant judgments against us, some of which we are not, or cannot be, insured against. Legal proceedings may also be time-consuming, divert management’s attention and resources, cause us to incur significant expenses or liability and/or require us to change our business practices. We generally intend to defend ourselves vigorously. However, we cannot be certain of the ultimate outcomes of any claims that may arise in the future. Resolution of these types of matters against us may result in our having to pay significant fines, judgments, or settlements, which, if uninsured, or if the fines, judgments, and settlements exceed insured levels, could adversely impact our earnings and cash flows, thereby having a material adverse effect on our business, financial condition, results of operations, cash flow, and per share trading price of our common stock. Certain litigation or the resolution of certain litigation may affect the availability or cost of some of our insurance coverage, which could adversely impact our results of operations and cash flows, expose us to increased risks that would be uninsured, and adversely impact our ability to attract directors and officers.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expense of litigation and the timing of this expense from period to period are difficult to estimate, subject to change and could adversely affect our results of operations. Because of the potential risks, expenses and uncertainties of litigation, we may, from time to time, settle disputes, even where we have meritorious claims or defenses, by agreeing to settlement agreements, such as the Settlement Agreement. Because litigation is inherently unpredictable, we cannot assure you that the results of any of these actions will not have a material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shares of common stock, including pursuant to our equity incentive and other compensatory plans, will result in additional dilution of the percentage ownership of our shareholders and could cause our share price to fall.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additional capital in the future to continue our planned operations. To the extent we raise additional capital by issuing equity securities, our shareholders may experience substantial dilution. We may sell shares of common stock, convertible securities or other equity securities in one or more transactions at prices and in a manner we determine from time to time. If we sell shares of common stock, convertible securities or other equity securities in more than one transaction, investors may be materially diluted by subsequent sales. In addition, new investors could gain rights superior to our existing shareholders.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SpringBig Holdings, Inc. 2022 Amended and Restated Long-Term Incentive Plan (the “Incentive Plan”), we are authorized to grant options and other share-based awards to our employees, directors and consultants. The number of shares of our common stock initially reserved for issuance under the Incentive Plan was 1,525,175. At our Annual Meeting of Stockholders held on June 13, 2023, our stockholders approved an amendment to the Incentive Plan, which among other things, added an automatic annual increase in the number of shares authorized for issuance of up to 5% of the number of shares of our common stock issued and outstanding on December 31 of the immediately preceding calendar year, beginning with the fiscal year ending December 31, 2023; provided that the annual increase with respect to the fiscal year ending December 31, 2023, which is 1,332,986 shares of common stock, took effect on the first business day following the date of stockholder approval of the Amended Plan proposal, which was June 14, 2023. We may seek shareholder approval to increase this amount from time to time. Shares subject to stock awards granted under the Incentive Plan that expire or terminate without being exercised in full, or that are paid out in cash rather than in shares, will not reduce the number of shares available for issuance under the Incentive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w:t>
      </w:r>
    </w:p>
    <w:p>
      <w:pPr>
        <w:pStyle w:val="TextBody"/>
        <w:bidi w:val="0"/>
        <w:spacing w:before="40" w:after="283"/>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before="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pPr>
      <w:r>
        <w:rPr>
          <w:rFonts w:ascii="Times New Roman;sans-serif" w:hAnsi="Times New Roman;sans-serif"/>
          <w:b/>
          <w:color w:val="000000"/>
          <w:sz w:val="20"/>
        </w:rPr>
        <w:t>Item 4. Mine Safety Disclosures</w:t>
      </w:r>
      <w:r>
        <w:rPr>
          <w:color w:val="000000"/>
        </w:rPr>
        <w:t> </w:t>
      </w:r>
    </w:p>
    <w:p>
      <w:pPr>
        <w:pStyle w:val="TextBody"/>
        <w:bidi w:val="0"/>
        <w:spacing w:before="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before="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Item 6. Exhibits</w:t>
      </w:r>
      <w:r>
        <w:rPr>
          <w:color w:val="000000"/>
        </w:rPr>
        <w: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25"/>
        <w:gridCol w:w="287"/>
        <w:gridCol w:w="288"/>
        <w:gridCol w:w="1787"/>
        <w:gridCol w:w="1610"/>
        <w:gridCol w:w="1617"/>
        <w:gridCol w:w="200"/>
        <w:gridCol w:w="200"/>
        <w:gridCol w:w="202"/>
        <w:gridCol w:w="280"/>
        <w:gridCol w:w="280"/>
        <w:gridCol w:w="285"/>
        <w:gridCol w:w="298"/>
        <w:gridCol w:w="259"/>
        <w:gridCol w:w="260"/>
        <w:gridCol w:w="404"/>
        <w:gridCol w:w="404"/>
        <w:gridCol w:w="405"/>
        <w:gridCol w:w="279"/>
        <w:gridCol w:w="250"/>
        <w:gridCol w:w="285"/>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Filed/Furnished Herewith</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w:t>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w:t>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ans-serif" w:hAnsi="Times New Roman;sans-serif"/>
                  <w:b w:val="false"/>
                  <w:color w:val="0000FF"/>
                  <w:sz w:val="16"/>
                  <w:u w:val="single"/>
                </w:rPr>
                <w:t>Certificate of Incorporation of SpringBig Holdings, Inc.</w:t>
              </w:r>
            </w:hyperlink>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10-K</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2023</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w:t>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ans-serif" w:hAnsi="Times New Roman;sans-serif"/>
                  <w:b w:val="false"/>
                  <w:color w:val="0000FF"/>
                  <w:sz w:val="16"/>
                  <w:u w:val="single"/>
                </w:rPr>
                <w:t>By-Laws of SpringBig Holdings, Inc.</w:t>
              </w:r>
            </w:hyperlink>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10-K</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w:t>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2023</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ans-serif" w:hAnsi="Times New Roman;sans-serif"/>
                  <w:b w:val="false"/>
                  <w:color w:val="000080"/>
                  <w:sz w:val="16"/>
                  <w:u w:val="single"/>
                </w:rPr>
                <w:t xml:space="preserve">SpringBig Holdings, Inc. 2022 Amended and Restated Long-Term Incentive </w:t>
              </w:r>
            </w:hyperlink>
            <w:hyperlink r:id="rId5">
              <w:r>
                <w:rPr>
                  <w:rStyle w:val="InternetLink"/>
                  <w:rFonts w:ascii="Times New Roman;sans-serif" w:hAnsi="Times New Roman;sans-serif"/>
                  <w:b w:val="false"/>
                  <w:color w:val="000080"/>
                  <w:sz w:val="16"/>
                  <w:u w:val="single"/>
                </w:rPr>
                <w:t>Plan.</w:t>
              </w:r>
            </w:hyperlink>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 14A</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Appendix B</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28, 2023</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10.2</w:t>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ans-serif" w:hAnsi="Times New Roman;sans-serif"/>
                  <w:b w:val="false"/>
                  <w:color w:val="000080"/>
                  <w:sz w:val="16"/>
                  <w:u w:val="single"/>
                </w:rPr>
                <w:t>Amendment No. 3 to Purchase Agreement, dated May 24, 2023, by and between SpringBig Holdings, Inc. and L1 Capital Global Opportunities Master Fund.</w:t>
              </w:r>
            </w:hyperlink>
            <w:hyperlink r:id="rId7">
              <w:r>
                <w:rPr>
                  <w:rStyle w:val="InternetLink"/>
                  <w:rFonts w:ascii="Times New Roman;sans-serif" w:hAnsi="Times New Roman;sans-serif"/>
                  <w:b w:val="false"/>
                  <w:color w:val="000080"/>
                  <w:sz w:val="16"/>
                  <w:u w:val="single"/>
                </w:rPr>
                <w:t xml:space="preserve">of </w:t>
              </w:r>
            </w:hyperlink>
            <w:hyperlink r:id="rId8">
              <w:r>
                <w:rPr>
                  <w:rStyle w:val="InternetLink"/>
                  <w:rFonts w:ascii="Times New Roman;sans-serif" w:hAnsi="Times New Roman;sans-serif"/>
                  <w:b w:val="false"/>
                  <w:color w:val="000080"/>
                  <w:sz w:val="16"/>
                  <w:u w:val="single"/>
                </w:rPr>
                <w:t>Incorporation.</w:t>
              </w:r>
            </w:hyperlink>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25, 2023</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10.3</w:t>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ans-serif" w:hAnsi="Times New Roman;sans-serif"/>
                  <w:b w:val="false"/>
                  <w:color w:val="0000FF"/>
                  <w:sz w:val="16"/>
                  <w:u w:val="single"/>
                </w:rPr>
                <w:t>Amendment No. 4 to Purchase Agreement, dated May 25, 2023, by and between SpringBig Holdings, Inc. and L1 Capital Global Opportunities Master Fund.</w:t>
              </w:r>
            </w:hyperlink>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26, 2023</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10.4</w:t>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0000FF"/>
                  <w:sz w:val="16"/>
                  <w:u w:val="single"/>
                </w:rPr>
                <w:t>Form of Securities Purchase Agreement.</w:t>
              </w:r>
            </w:hyperlink>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S-1/A</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10.15</w:t>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25, 2023</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333-271353</w:t>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10.5</w:t>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ans-serif" w:hAnsi="Times New Roman;sans-serif"/>
                  <w:b w:val="false"/>
                  <w:color w:val="0000FF"/>
                  <w:sz w:val="16"/>
                  <w:u w:val="single"/>
                </w:rPr>
                <w:t>Form of Placement Agency Agreement.</w:t>
              </w:r>
            </w:hyperlink>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S-1/A</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10.16</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25, 2023</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333-271353</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32.1</w:t>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313072693b9644a0a9d75ec1d8e5013d_142">
              <w:r>
                <w:rPr>
                  <w:rStyle w:val="InternetLink"/>
                  <w:rFonts w:ascii="Times New Roman;sans-serif" w:hAnsi="Times New Roman;sans-serif"/>
                  <w:b w:val="false"/>
                  <w:color w:val="0000FF"/>
                  <w:sz w:val="16"/>
                  <w:u w:val="single"/>
                </w:rPr>
                <w:t>Certification of Chief Executive Officer pursuant to Section 906 of the Sarbanes-Oxley Act of 2002.</w:t>
              </w:r>
            </w:hyperlink>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32.2</w:t>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08" w:before="0" w:after="0"/>
              <w:jc w:val="left"/>
              <w:rPr/>
            </w:pPr>
            <w:hyperlink w:anchor="i313072693b9644a0a9d75ec1d8e5013d_142">
              <w:r>
                <w:rPr>
                  <w:rStyle w:val="InternetLink"/>
                  <w:rFonts w:ascii="Times New Roman;sans-serif" w:hAnsi="Times New Roman;sans-serif"/>
                  <w:b w:val="false"/>
                  <w:color w:val="0000FF"/>
                  <w:sz w:val="16"/>
                  <w:u w:val="single"/>
                </w:rPr>
                <w:t>Certification of Chief Financial Officer pursuant to Section 906 of the Sarbanes-Oxley Act of 2002.</w:t>
              </w:r>
            </w:hyperlink>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33.1</w:t>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313072693b9644a0a9d75ec1d8e5013d_142">
              <w:r>
                <w:rPr>
                  <w:rStyle w:val="InternetLink"/>
                  <w:rFonts w:ascii="Times New Roman;sans-serif" w:hAnsi="Times New Roman;sans-serif"/>
                  <w:b w:val="false"/>
                  <w:color w:val="0000FF"/>
                  <w:sz w:val="16"/>
                  <w:u w:val="single"/>
                </w:rPr>
                <w:t>Certification of Chief Executive Officer pursuant to Section 302 of the Sarbanes-Oxley Act of 2002.</w:t>
              </w:r>
            </w:hyperlink>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33.2</w:t>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08" w:before="0" w:after="0"/>
              <w:jc w:val="left"/>
              <w:rPr/>
            </w:pPr>
            <w:hyperlink w:anchor="i313072693b9644a0a9d75ec1d8e5013d_142">
              <w:r>
                <w:rPr>
                  <w:rStyle w:val="InternetLink"/>
                  <w:rFonts w:ascii="Times New Roman;sans-serif" w:hAnsi="Times New Roman;sans-serif"/>
                  <w:b w:val="false"/>
                  <w:color w:val="0000FF"/>
                  <w:sz w:val="16"/>
                  <w:u w:val="single"/>
                </w:rPr>
                <w:t>Certification of Chief Financial Officer pursuant to Section 302 of the Sarbanes-Oxley Act of 2002.</w:t>
              </w:r>
            </w:hyperlink>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w:t>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Schema Document</w:t>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Calculation Linkbase Document</w:t>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 Document</w:t>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Labels Linkbase Document</w:t>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Presentation Linkbase Document</w:t>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Filed herewith.</w:t>
      </w:r>
    </w:p>
    <w:p>
      <w:pPr>
        <w:pStyle w:val="TextBody"/>
        <w:bidi w:val="0"/>
        <w:spacing w:lineRule="auto" w:line="247"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47"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47" w:before="0" w:after="0"/>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bidi w:val="0"/>
        <w:spacing w:before="0" w:after="0"/>
        <w:ind w:left="0" w:right="0" w:firstLine="495"/>
        <w:jc w:val="center"/>
        <w:rPr/>
      </w:pPr>
      <w:r>
        <w:rPr/>
      </w:r>
    </w:p>
    <w:tbl>
      <w:tblPr>
        <w:tblW w:w="6444" w:type="dxa"/>
        <w:jc w:val="center"/>
        <w:tblInd w:w="0" w:type="dxa"/>
        <w:tblLayout w:type="fixed"/>
        <w:tblCellMar>
          <w:top w:w="28" w:type="dxa"/>
          <w:left w:w="28" w:type="dxa"/>
          <w:bottom w:w="28" w:type="dxa"/>
          <w:right w:w="28" w:type="dxa"/>
        </w:tblCellMar>
      </w:tblPr>
      <w:tblGrid>
        <w:gridCol w:w="232"/>
        <w:gridCol w:w="205"/>
        <w:gridCol w:w="208"/>
        <w:gridCol w:w="109"/>
        <w:gridCol w:w="109"/>
        <w:gridCol w:w="109"/>
        <w:gridCol w:w="1698"/>
        <w:gridCol w:w="1698"/>
        <w:gridCol w:w="1704"/>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Sykes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Sykes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 Pursuant to 18 U. S. C. Section 1350, as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Adopted Pursuant to 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I, Jeffrey Harris, hereby certify that, to the best of my knowledge, SpringBig Holdings, Inc’s Quarterly Report on Form 10-Q for the three months ended June 30, 2023 (the Report), as filed with the Securities and Exchange Commission on August 10, 2023,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tbl>
      <w:tblPr>
        <w:tblW w:w="2069" w:type="dxa"/>
        <w:jc w:val="left"/>
        <w:tblInd w:w="0" w:type="dxa"/>
        <w:tblLayout w:type="fixed"/>
        <w:tblCellMar>
          <w:top w:w="28" w:type="dxa"/>
          <w:left w:w="28" w:type="dxa"/>
          <w:bottom w:w="28" w:type="dxa"/>
          <w:right w:w="28" w:type="dxa"/>
        </w:tblCellMar>
      </w:tblPr>
      <w:tblGrid>
        <w:gridCol w:w="660"/>
        <w:gridCol w:w="580"/>
        <w:gridCol w:w="829"/>
      </w:tblGrid>
      <w:tr>
        <w:trPr/>
        <w:tc>
          <w:tcPr>
            <w:tcW w:w="6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Jeffrey Harris</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tc>
      </w:tr>
      <w:tr>
        <w:trPr/>
        <w:tc>
          <w:tcPr>
            <w:tcW w:w="20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 Pursuant to 18 U. S. C. Section 1350, as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Adopted Pursuant to 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I, Paul Sykes, hereby certify that, to the best of my knowledge, SpringBig Holdings, Inc’s Quarterly Report on Form 10-Q for the three months ended June 30, 2023 (the Report), as filed with the Securities and Exchange Commission on August 10, 2023,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tbl>
      <w:tblPr>
        <w:tblW w:w="2085" w:type="dxa"/>
        <w:jc w:val="left"/>
        <w:tblInd w:w="0" w:type="dxa"/>
        <w:tblLayout w:type="fixed"/>
        <w:tblCellMar>
          <w:top w:w="28" w:type="dxa"/>
          <w:left w:w="28" w:type="dxa"/>
          <w:bottom w:w="28" w:type="dxa"/>
          <w:right w:w="28" w:type="dxa"/>
        </w:tblCellMar>
      </w:tblPr>
      <w:tblGrid>
        <w:gridCol w:w="665"/>
        <w:gridCol w:w="584"/>
        <w:gridCol w:w="836"/>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Paul Sykes</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Sykes</w:t>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EXHIBIT 33.1</w:t>
      </w:r>
    </w:p>
    <w:p>
      <w:pPr>
        <w:pStyle w:val="TextBody"/>
        <w:bidi w:val="0"/>
        <w:spacing w:before="0" w:after="0"/>
        <w:jc w:val="left"/>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Jeffrey Harris, certify that: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three months ended June 30, 2023 of SpringBig Holdings, Inc.;</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Jeffrey Harris____________</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EXHIBIT 33.2</w:t>
      </w:r>
    </w:p>
    <w:p>
      <w:pPr>
        <w:pStyle w:val="TextBody"/>
        <w:bidi w:val="0"/>
        <w:spacing w:before="0" w:after="0"/>
        <w:jc w:val="left"/>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Paul Sykes, certify that: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three months ended June 30, 2023 of SpringBig Holdings, Inc.;</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Paul Sykes____________</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Sykes</w:t>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1602/000114036122019634/0001140361-22-019634-index.htm" TargetMode="External"/><Relationship Id="rId3" Type="http://schemas.openxmlformats.org/officeDocument/2006/relationships/hyperlink" Target="https://www.sec.gov/Archives/edgar/data/1801602/000114036122019634/0001140361-22-019634-index.htm" TargetMode="External"/><Relationship Id="rId4" Type="http://schemas.openxmlformats.org/officeDocument/2006/relationships/hyperlink" Target="https://www.sec.gov/Archives/edgar/data/1801602/000114036122019634/0001140361-22-019634-index.htm" TargetMode="External"/><Relationship Id="rId5" Type="http://schemas.openxmlformats.org/officeDocument/2006/relationships/hyperlink" Target="https://www.sec.gov/Archives/edgar/data/1801602/000114036122019634/0001140361-22-019634-index.htm" TargetMode="External"/><Relationship Id="rId6" Type="http://schemas.openxmlformats.org/officeDocument/2006/relationships/hyperlink" Target="https://www.sec.gov/Archives/edgar/data/1801602/000180160223000042/form8-kxl1amendment3.htm" TargetMode="External"/><Relationship Id="rId7" Type="http://schemas.openxmlformats.org/officeDocument/2006/relationships/hyperlink" Target="https://www.sec.gov/Archives/edgar/data/1801602/000180160223000042/form8-kxl1amendment3.htm" TargetMode="External"/><Relationship Id="rId8" Type="http://schemas.openxmlformats.org/officeDocument/2006/relationships/hyperlink" Target="https://www.sec.gov/Archives/edgar/data/1801602/000180160223000042/form8-kxl1amendment3.htm" TargetMode="External"/><Relationship Id="rId9" Type="http://schemas.openxmlformats.org/officeDocument/2006/relationships/hyperlink" Target="https://www.sec.gov/Archives/edgar/data/1801602/000180160223000046/form8-kxl1amendment4.htm" TargetMode="External"/><Relationship Id="rId10" Type="http://schemas.openxmlformats.org/officeDocument/2006/relationships/hyperlink" Target="https://www.sec.gov/Archives/edgar/data/1801602/000114036122019634/0001140361-22-019634-index.htm" TargetMode="External"/><Relationship Id="rId11" Type="http://schemas.openxmlformats.org/officeDocument/2006/relationships/hyperlink" Target="https://www.sec.gov/Archives/edgar/data/1801602/000180160223000060/form8-kx4mequityclosed.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21766</Words>
  <Characters>120166</Characters>
  <CharactersWithSpaces>140667</CharactersWithSpaces>
  <Paragraphs>2094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