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160" w:right="940" w:hanging="3212"/>
        <w:spacing w:after="0" w:line="490" w:lineRule="auto"/>
        <w:tabs>
          <w:tab w:leader="none" w:pos="116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 ended March 31, 2026</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563" w:right="339" w:bottom="1440" w:gutter="0" w:footer="0" w:header="0"/>
        </w:sectPr>
      </w:pPr>
    </w:p>
    <w:p>
      <w:pPr>
        <w:spacing w:after="0" w:line="23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100" w:space="580"/>
            <w:col w:w="4560"/>
          </w:cols>
          <w:pgMar w:left="320" w:top="563" w:right="3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ectPr>
          <w:pgSz w:w="11900" w:h="16838" w:orient="portrait"/>
          <w:cols w:equalWidth="0" w:num="1">
            <w:col w:w="11240"/>
          </w:cols>
          <w:pgMar w:left="320" w:top="563" w:right="339" w:bottom="1440" w:gutter="0" w:footer="0" w:header="0"/>
          <w:type w:val="continuous"/>
        </w:sect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rPr>
              <w:t>of incorporation)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621 NW 53rd Street</w:t>
            </w:r>
          </w:p>
        </w:tc>
        <w:tc>
          <w:tcPr>
            <w:tcW w:w="3580" w:type="dxa"/>
            <w:vAlign w:val="bottom"/>
          </w:tcPr>
          <w:p>
            <w:pPr>
              <w:spacing w:after="0"/>
              <w:rPr>
                <w:sz w:val="24"/>
                <w:szCs w:val="24"/>
                <w:color w:val="auto"/>
              </w:rPr>
            </w:pPr>
          </w:p>
        </w:tc>
      </w:tr>
      <w:tr>
        <w:trPr>
          <w:trHeight w:val="216"/>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Ste. 340</w:t>
            </w:r>
          </w:p>
        </w:tc>
        <w:tc>
          <w:tcPr>
            <w:tcW w:w="3580" w:type="dxa"/>
            <w:vAlign w:val="bottom"/>
          </w:tcPr>
          <w:p>
            <w:pPr>
              <w:spacing w:after="0"/>
              <w:rPr>
                <w:sz w:val="18"/>
                <w:szCs w:val="18"/>
                <w:color w:val="auto"/>
              </w:rPr>
            </w:pPr>
          </w:p>
        </w:tc>
      </w:t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33487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(800) 772-9172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240"/>
        <w:spacing w:after="0"/>
        <w:tabs>
          <w:tab w:leader="none" w:pos="4900" w:val="left"/>
          <w:tab w:leader="none" w:pos="76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there were 48,786,932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SPRINGBIG,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0" w:type="dxa"/>
            <w:vAlign w:val="bottom"/>
            <w:gridSpan w:val="12"/>
            <w:shd w:val="clear" w:color="auto" w:fill="CCEEFF"/>
          </w:tcPr>
          <w:p>
            <w:pPr>
              <w:jc w:val="center"/>
              <w:ind w:right="3660"/>
              <w:spacing w:after="0" w:line="162"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780" w:type="dxa"/>
            <w:vAlign w:val="bottom"/>
            <w:shd w:val="clear" w:color="auto" w:fill="CCEEFF"/>
          </w:tcPr>
          <w:p>
            <w:pPr>
              <w:spacing w:after="0"/>
              <w:rPr>
                <w:sz w:val="17"/>
                <w:szCs w:val="17"/>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540" w:type="dxa"/>
            <w:vAlign w:val="bottom"/>
            <w:tcBorders>
              <w:top w:val="single" w:sz="8" w:color="CCEE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2340" w:type="dxa"/>
            <w:vAlign w:val="bottom"/>
            <w:tcBorders>
              <w:top w:val="single" w:sz="8" w:color="0000EE"/>
            </w:tcBorders>
            <w:gridSpan w:val="6"/>
          </w:tcPr>
          <w:p>
            <w:pPr>
              <w:spacing w:after="0"/>
              <w:rPr>
                <w:sz w:val="15"/>
                <w:szCs w:val="15"/>
                <w:color w:val="auto"/>
              </w:rPr>
            </w:pPr>
          </w:p>
        </w:tc>
        <w:tc>
          <w:tcPr>
            <w:tcW w:w="366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89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Deficit for three months ended March 31, 2026, and 2025</w:t>
            </w:r>
          </w:p>
        </w:tc>
        <w:tc>
          <w:tcPr>
            <w:tcW w:w="6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5"/>
        </w:trPr>
        <w:tc>
          <w:tcPr>
            <w:tcW w:w="920" w:type="dxa"/>
            <w:vAlign w:val="bottom"/>
          </w:tcPr>
          <w:p>
            <w:pPr>
              <w:spacing w:after="0"/>
              <w:rPr>
                <w:sz w:val="15"/>
                <w:szCs w:val="15"/>
                <w:color w:val="auto"/>
              </w:rPr>
            </w:pP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 About Market Risk</w:t>
            </w:r>
          </w:p>
        </w:tc>
        <w:tc>
          <w:tcPr>
            <w:tcW w:w="524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74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62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20" w:type="dxa"/>
            <w:vAlign w:val="bottom"/>
            <w:tcBorders>
              <w:top w:val="single" w:sz="8" w:color="CCEEFF"/>
            </w:tcBorders>
            <w:gridSpan w:val="14"/>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220" w:type="dxa"/>
            <w:vAlign w:val="bottom"/>
            <w:tcBorders>
              <w:bottom w:val="single" w:sz="8" w:color="CCEEFF"/>
            </w:tcBorders>
            <w:gridSpan w:val="1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and our financial condition to differ materially from those indicated in our forward-looking statements include, but are not limited to, the following: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the holders of our secured notes are secured by a security interest in substantially all of our assets, so if we default on those obligations, the noteholders could foreclose on, liquidate and/or take possession of our assets and/or accelerate the payment of principal, and we have received a notice of default related to these secured notes; to date, the noteholders have not enforced these rights and if they were to enforce, we could be forced to curtail, or even to cease, our operations;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cannabis industry and SpringBig’s market size, including with respect to the potential total addressable market in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SpringBig’s growth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offerings SpringBig may introduce in the future;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and identify and realize additional opportunities;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filings made with the Securities and Exchange Commission (the “SEC”).</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$381 and $300, respectively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17,191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300,000,000 authorized at March 31, 2026; 48,786,932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300,000,000 authorized at December 31, 2025; 48,548,772 issued and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29,196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(42,182)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(12,488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5,444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1,858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3,586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0" w:type="dxa"/>
            <w:vAlign w:val="bottom"/>
          </w:tcPr>
          <w:p>
            <w:pPr>
              <w:spacing w:after="0"/>
              <w:rPr>
                <w:sz w:val="18"/>
                <w:szCs w:val="18"/>
                <w:color w:val="auto"/>
              </w:rPr>
            </w:pPr>
          </w:p>
        </w:tc>
      </w:tr>
      <w:tr>
        <w:trPr>
          <w:trHeight w:val="229"/>
        </w:trPr>
        <w:tc>
          <w:tcPr>
            <w:tcW w:w="40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1,229</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tcPr>
          <w:p>
            <w:pPr>
              <w:spacing w:after="0"/>
              <w:rPr>
                <w:sz w:val="19"/>
                <w:szCs w:val="19"/>
                <w:color w:val="auto"/>
              </w:rPr>
            </w:pPr>
          </w:p>
        </w:tc>
      </w:tr>
      <w:tr>
        <w:trPr>
          <w:trHeight w:val="241"/>
        </w:trPr>
        <w:tc>
          <w:tcPr>
            <w:tcW w:w="40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1,827</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40" w:type="dxa"/>
            <w:vAlign w:val="bottom"/>
          </w:tcPr>
          <w:p>
            <w:pPr>
              <w:spacing w:after="0"/>
              <w:rPr>
                <w:sz w:val="20"/>
                <w:szCs w:val="20"/>
                <w:color w:val="auto"/>
              </w:rPr>
            </w:pPr>
          </w:p>
        </w:tc>
      </w:tr>
      <w:tr>
        <w:trPr>
          <w:trHeight w:val="234"/>
        </w:trPr>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40" w:type="dxa"/>
            <w:vAlign w:val="bottom"/>
          </w:tcPr>
          <w:p>
            <w:pPr>
              <w:spacing w:after="0"/>
              <w:rPr>
                <w:sz w:val="20"/>
                <w:szCs w:val="20"/>
                <w:color w:val="auto"/>
              </w:rPr>
            </w:pPr>
          </w:p>
        </w:tc>
      </w:tr>
      <w:tr>
        <w:trPr>
          <w:trHeight w:val="427"/>
        </w:trPr>
        <w:tc>
          <w:tcPr>
            <w:tcW w:w="400" w:type="dxa"/>
            <w:vAlign w:val="bottom"/>
          </w:tcPr>
          <w:p>
            <w:pPr>
              <w:spacing w:after="0"/>
              <w:rPr>
                <w:sz w:val="24"/>
                <w:szCs w:val="24"/>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53"/>
        </w:trPr>
        <w:tc>
          <w:tcPr>
            <w:tcW w:w="400" w:type="dxa"/>
            <w:vAlign w:val="bottom"/>
          </w:tcPr>
          <w:p>
            <w:pPr>
              <w:spacing w:after="0"/>
              <w:rPr>
                <w:sz w:val="24"/>
                <w:szCs w:val="24"/>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53"/>
        </w:trPr>
        <w:tc>
          <w:tcPr>
            <w:tcW w:w="400" w:type="dxa"/>
            <w:vAlign w:val="bottom"/>
          </w:tcPr>
          <w:p>
            <w:pPr>
              <w:spacing w:after="0"/>
              <w:rPr>
                <w:sz w:val="24"/>
                <w:szCs w:val="24"/>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3"/>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9"/>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45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48,559,870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46,386,410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48,559,870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46,386,410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DEFICIT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ectPr>
          <w:pgSz w:w="11900" w:h="16838" w:orient="portrait"/>
          <w:cols w:equalWidth="0" w:num="1">
            <w:col w:w="11200"/>
          </w:cols>
          <w:pgMar w:left="320" w:top="8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960" w:type="dxa"/>
            <w:vAlign w:val="bottom"/>
            <w:gridSpan w:val="3"/>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48,548,772</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29,196</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(41,688)</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(12,488)</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238,160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48,786,932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29,267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(42,182</w:t>
            </w:r>
          </w:p>
        </w:tc>
        <w:tc>
          <w:tcPr>
            <w:tcW w:w="22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(12,911</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-779145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-496570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900" w:space="720"/>
            <w:col w:w="6580"/>
          </w:cols>
          <w:pgMar w:left="320" w:top="87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1140" w:hanging="161"/>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Balance at December 31, 2024 </w:t>
      </w:r>
      <w:r>
        <w:rPr>
          <w:rFonts w:ascii="Times New Roman" w:cs="Times New Roman" w:eastAsia="Times New Roman" w:hAnsi="Times New Roman"/>
          <w:sz w:val="18"/>
          <w:szCs w:val="18"/>
          <w:color w:val="auto"/>
        </w:rPr>
        <w:t>Stock-based compensation Restricted stock units vesting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960" w:type="dxa"/>
            <w:vAlign w:val="bottom"/>
            <w:gridSpan w:val="3"/>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46,348,351</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28,666</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(38,441)</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(9,771)</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122,331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46,470,682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(39,192</w:t>
            </w:r>
          </w:p>
        </w:tc>
        <w:tc>
          <w:tcPr>
            <w:tcW w:w="22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(10,359</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-779145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-496570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-205105</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60" w:space="720"/>
            <w:col w:w="7020"/>
          </w:cols>
          <w:pgMar w:left="320" w:top="873"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added to principal for non-cash interest on Convertible Notes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Holdings, Inc. and its wholly 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direct wholly owned subsidiary, SpringBig, Inc.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continued the existing business operations of Legacy SpringBig as a publicly traded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June 15, 2022, the ticker symbols for the Company’s common stock and publicly traded warrants were changed to “SBIG” and “SBIGW,” respectively, and commenced trading on The Nasdaq Capital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common stock was quoted for trading on the OTCQX® Best Market from September 6, 2023, to March 31, 2025, and is now quoted for trading on the OTCQB® Venture Market and its public warrants are quoted for trading on the OTC Pink Market under their current trading symbols “SBIG” and “SBIGW,” respectively. The Company remains a reporting company under the Securities Exchange Act of 1934, as amended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 and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ended March 31, 2026, are not necessarily indicative of the results that may be expected for future periods or for the year ending December 31, 2026.</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financial data presented herein should be read in conjunction with the audited consolidated financial statements and accompanying notes as of and for the year ended December 31, 2025, as reported in the 2025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Going Concern, Liquidity and Management’s Plans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since inception, resulting in an accumulated deficit of approximately $42.2 million as of March 31, 2026. Cash flows used in operating activities were $229 thousand for the three months ended March 31, 2026. As of March 31, 2026, the Company had a working capital deficit of approximately $13.2 million, which includes $1.3 million of cash and cash equivalents and the reclassification of the long-term debt to current liabilities.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working capital deficit and note payable maturity raise substantial doubt about the Company’s ability to continue as a going concern for a period of at least twelve months from the issuance date of these consolidated financial statements. On April 21, 2026, the Company received a Notice of Default, Reservations of Rights and Notice of Termination (the “Notice”) in relation to its 2024 Secured Convertible Notes and 2024 Secured Term Notes (together, the “Notes”). The Notice constitutes a notice of default under Section 2.1(c) of each of the Notes. The Notice advises, and the Notes provide, that upon the occurrence of an event of default, the holders of the Notes may exercise a variety of remedies afforded to them under the Notes or by applicable law or equity, including without limitation, acceleration of the due date of the unpaid principal balance of the Notes and all accrued but unpaid interest thereon. Further, according to the Notes, the holders of the Notes may, during an event of default and in accordance with applicable law, foreclose on the Company’s assets and its security interest in the Company’s property and exercise any other remedies provided therein.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Notes have not: (i) accelerated or demanded any payment of principal; (ii) foreclosed on all or any part of any lien or security interest created by any of the Note documents; and (iii) exercised any other right or remedy that may be available to them. The Company has no assurance that the holders of the Notes will not seek to enforce their rights in the future.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improve liquidity and meet its obligations as they come due. Management’s plans to address these conditions include a combination of actions, which may include increasing revenue through greater customer usage and new customer acquisition, negotiating amendments or extensions of existing debt obligations, reducing operating costs, and pursuing strategic capital or other transactions. There can be no assurance that these plans will be successfully implemented or that they will generate sufficient liquidity on a timely basis.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and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translates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Goodwill is not amortized, but is tested for impairment annually, or more frequently if events or changes in circumstances indicate that the carrying value may not be recoverable. The Company recorded approximately $17,000 of Goodwill in relation to the ViceCRM acquisition during the year ended December 31, 2025. No impairment was recognized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has used best estimates based on facts and circumstances available to it at the time, different acceptable assumptions would yield different results. Changes in the accounting estimates are reasonably likely to occur from period to period, which may have a material impact on the presentation of our financial condition and results of operations. The Company reviews these estimates and assumptions periodically and reflects on the effects of revisions in the period that are determined to be necessary. The Company believes that the assumptions and estimates associated with income taxes, equity-based compensation (including issuance of common stock for services rendered), warrants, imputed interest on operating lease liabilities, using the U.S. treasuries rate for a similar term prevailing at the lease commencement date as the benchmark rate and adding an appropriate risk margin and allowance for credit losses have the greatest potential impact on our consolidated financial statements. Therefore, the Company considers the policies related to these financial areas to be critical accounting policies.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manages its business as a single operating segment. The chief operating decision maker (“CODM”) reviews financial information presented for the purposes of allocating resources and evaluating financial performance at an entity level. The Company’s Chief Executive Officer (“CEO”) is the CODM, and the Company has no segment managers who are held accountable by the CODM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assets, which include cash equivalents, current financial assets and our current financial liabilities have fair values that approximate their carrying value due to their short-term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Concentrations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principally of cash and cash equivalents and accounts receivable. The Company deposits cash and cash equivalents with high credit-quality financial institutions. Such deposits may be in excess of federally insured limits. To date, the Company has not experienced any losses on our cash and cash equivalents. The Company performs periodic evaluations of the relative credit standing of the financial institutions.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and require no collateral from customers. The Company maintains a credit loss reserve for expected credit losses based upon the expected collectability of accounts receivable balances.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customer representing 19% of total revenues for the three months ended March 31, 2026, and two customer represented more than 17% of total revenues for the three months ended March 31,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two customers representing 34% of accounts receivable and one customer represented 32% of accounts receivable at December 31,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vendor representing 94% of cost of goods sold for the three months ended March 31, 2026, and the same vendor represented 91% of cost of goods sold for the three months ended March 31,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three vendors representing 74% of accounts payable as of March 31, 2026. At December 31, 2025, two vendors represented 74%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Financing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23, 2024, the Company issued $6.4 million aggregate principal amount of 2024 Secured Convertible Notes and $1.6 million aggregate principal amount of 2024 Secured Term Notes. See Note 8. The expenses directly related to issuance of this debt, including investment bank advisory fees, legal fees and other advisory fees, have been deferred and will be expensed over the three-year term of the debt up to January 2027.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acquired, to be cash equivalents. There are no cash equivalents as of March 31, 2026, and December 31,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exceeded the federally insured limits of $250,000 for interest and non-interest-bearing deposits. The Company had cash balances with a single financial institution in excess of the FDIC insured limits by amounts of $0.8 million as of March 31, 2026. We monitor the financial condition of such institution and have not experienced any losses associated with these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 &amp; 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include billed and unbilled receivables, net of allowance for credit losses. Accounts receivable are recorded at invoiced amounts and do not bear interest. Unbilled receivables relate to revenue earned in advance of invoicing per contractual terms with customers. The allowance for credit losses is based on the Company’s assessment of the collectability of accounts receivable considering various factors, including the age of each outstanding invoice, the collection history of each customer, historical write-off experience, current economic conditions, and reasonable and supportable forecasts of future economic conditions over the life of the receivable. The Company assesses collectability by reviewing accounts receivable on an aggregate basis when similar characteristics exist and on an individual basis when specific customers with collectability issues are identified. Accounts receivable deemed uncollectible are charged against the allowance for credit losses when identified.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Credit loss expense was $150,000 and $90,000 for the three months ended March 31, 2026, and 2025, respectively. The amounts are included in general and administrative expenses in the condensed consolidated statements of operations.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activity related to the Company’s allowance for credit losses for the three months ended March 31, 2026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credit losses</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4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(release) for expected credit losses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4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Balance, March 31, 2026</w:t>
            </w:r>
          </w:p>
        </w:tc>
        <w:tc>
          <w:tcPr>
            <w:tcW w:w="47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476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warehouse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useful life of computer equipment, furniture and fixtures, software and the data warehouse is three years. Intangible assets include data warehouse and software.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2026, and 2025, was $5,000 and $33,000, respectively. The amounts are included in general and administrative expenses in the condensed consolidated statements of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17, 2025, the Company announced the intent to acquire VICE CRM, an AI-enabled performance marketing platform designed to optimize return on investment for consumer marketing campaigns in highly regulated industries, and the appointment of Jaret Christopher, the founder of VICE CRM, as the Company’s CEO with effect from April 1, 2025. The acquisition was completed on July 31, 2025 and as a result approximately $49,000 of software was recorded in exchange for approximately $49,000 of stock. As of December 31, 2025, the company has recorded the transaction on the balance sheet as $17,000 of goodwill and $32,000 of software, under property and equipment. The transaction included a second stock issuance, which will fully vest in July 2026, upon Jaret Christopher reaching twelve months of service as CEO following the closing of the acquisition. The second stock issuance is accounted for as compensation expense and reflected in stock-based compensation which is included in general and administrative expenses in the condensed consolidated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commission and bonus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2024 Secured Convertible and Term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financial advisory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Jeffrey Harris, former CEO, and Paul Sykes, former CFO, both participated in the debt financing transaction completed on January 23, 2024. Jeffrey Harris purchased $320,000 of 2024 Secured Convertible Notes, and $80,000 of 2024 Secured Term Notes. Paul Sykes purchased $25,000 of 2024 Secured Convertible Notes, and $6,250 of 2024 Secured Term Notes. Refer to Note 8. In January 2025 another investor in the debt financing agreement purchased $160,000 of 2024 Secured Convertible Notes, and $40,000 of 2024 Secured Term Notes from Jeffrey Harris. That same investor purchased the $25,000 of 2024 Secured Convertible Notes and $6,250 of 2024 Secured Term Notes from Paul Sykes in May 2025.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were two members of the board of directors at December 31, 2025, who are related parties to investors in the debt financing transaction completed on January 23, 2024. In aggregate these investors purchased $5.2 million 2024 Secured Convertible Notes and $1.3 million 2024 Secured Term Notes. One of the investors was the party that purchased Notes from Jeffrey Harris and Paul Sykes. Refer to Note 8. On February 5, 2026, both members of our board of directors that are related parties to investors in the Notes resigned with immediate effect. The resignations were not due to any disagreements with the Company or the board on any matter relating to the Company’s operations, policies, or practices.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31, 2025, Mr. Harris stepped down as the Company’s CEO. Pursuant to agreements entered into between Mr. Harris and the Company,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would provide services to the Company for a twelve-month period commencing on April 1, 2025, including being available to the Board and management to help with questions that may arise and to assist the Company with strategic planning. As consideration for his services, Mr. Harris would receive a consulting fee of $450,000 payable in eighteen equal monthly instalments. In March 2026, the Company entered into a confidential settlement agreement with Mr. Harris, to resolve all outstanding disputes. The Company believes the agreement reduces potential litigation exposure and uncertainty associated with this matter and does not expect the resolution to have a material adverse effect on its financial position, results of operations, or liquidity. As a result of the settlement, the Company reduce the accrued settlement amount and will begin payments to Mr. Harris on April 1, 2026, with two monthly installments of $25,000. The Company has accrued a settlement with Mr. Harris within the accrued expenses and other current liabilities section.</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7, 2025 (the “Amendment Date”) the first amendment to the separation agreement with Mr. Sykes was executed, which revised the terms of the original agreement with Mr. Sykes. Per the amendment, the separation date for Mr. Sykes was accelerated to the Amendment Date, and Mr. Sykes is entitled to a revised bonus of $120,000, payable in twelve equal semimonthly installments. The Company will no longer accelerate the unvested restricted stock units previously granted to Mr. Sykes pursuant to its 2022 Long-Term Incentive Plan. All other terms of the original agreement will remain in effect. As of March 31, 2026, the agreement to Mr. Sykes as been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Notes - related parties</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Term Notes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Convertible Notes - related parties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Convertible Notes</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deferred financing fees, net</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1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784" w:gutter="0" w:footer="0" w:header="0"/>
        </w:sectPr>
      </w:pPr>
    </w:p>
    <w:bookmarkStart w:id="13" w:name="page14"/>
    <w:bookmarkEnd w:id="1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issued $1.6 million aggregate principal amount of 2024 Secured Term Notes and $6.4 million aggregate principal amount of 2024 Secured Convertible Notes to a group of investors.</w:t>
      </w:r>
    </w:p>
    <w:p>
      <w:pPr>
        <w:spacing w:after="0" w:line="162"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2026, subject to a maximum reduction to 14% and 10%, respectively. In addition, a sum of $64,000 was payable to the holders of the 2024 Secured Term Notes in January 2025, and the principal amount of the 2024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2024 Secured Convertible Notes are convertible into common stock at a conversion price of $0.15 per share at the holder’s option any time up to the day prior to maturity in January 2027.</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2024 Secured Term Notes and 2024 Secured Convertible Notes rank pari passu and are secured on substantially all the assets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Secured Term Notes and 2024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At the time of the amendments, consistent with FASB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(“ASC 470”), the Company performed an analysis of the change associated with the amendments to determine whether the change was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consolidated statement of operations for the year ended December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for the three months ended March 31, 2026 and 2025 of $355,000 and $324,000 respectively, in connection with the 2024 Secured Term Notes and 2024 Secured Convertible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light of the contractual maturity of the Company’s long-term debt within twelve months of the balance sheet date, such amounts have been classified as a current liability in the accompanying condensed consolidated balance sheets as of March 31,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6, 2026, the Company notified the holders of the 2024 Secured Convertible Notes and the 2024 Secured Term Notes that the Company was not in compliance with the minimum cash covenant under the applicable note agreements for the month of January 2026. Subsequently, the Company provided to the holders a compliance certificate stating that the Company was in compliance with the minimum cash covenant under the applicable note agreements for each of the months of February and March 2026. While these discussions are ongoing, the covenant non-compliance constitutes an event of default, which provides the note holders with certain contractual rights and remedies, including the ability to accelerate the outstanding indebtedness and exercise other rights under the agreements. As of the date of this filing, the Company had received the Notice, but the noteholders have not exercised any remedies associated with such event of default. See Note 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contained in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2026 and December 31, 2025, the estimated fair value of the warrants was $16,000 and $16,000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a change in fair value of $0 for the three months ended March 31, 2026 and 2025.</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in accordance with </w:t>
      </w:r>
      <w:r>
        <w:rPr>
          <w:rFonts w:ascii="Times New Roman" w:cs="Times New Roman" w:eastAsia="Times New Roman" w:hAnsi="Times New Roman"/>
          <w:sz w:val="18"/>
          <w:szCs w:val="18"/>
          <w:i w:val="1"/>
          <w:iCs w:val="1"/>
          <w:color w:val="auto"/>
        </w:rPr>
        <w:t>ASC 820, Fair Value Measurement</w:t>
      </w:r>
      <w:r>
        <w:rPr>
          <w:rFonts w:ascii="Times New Roman" w:cs="Times New Roman" w:eastAsia="Times New Roman" w:hAnsi="Times New Roman"/>
          <w:sz w:val="18"/>
          <w:szCs w:val="18"/>
          <w:color w:val="auto"/>
        </w:rPr>
        <w:t>. See Note 15, Fair Value Measurements, to the accompanying condensed consolidated financial statements 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 RECOGNITION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type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 revenue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Geographic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geographical region consist of the following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revenue</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55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Brand revenue</w:t>
            </w:r>
          </w:p>
        </w:tc>
        <w:tc>
          <w:tcPr>
            <w:tcW w:w="5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spacing w:after="0"/>
              <w:rPr>
                <w:sz w:val="19"/>
                <w:szCs w:val="19"/>
                <w:color w:val="auto"/>
              </w:rPr>
            </w:pPr>
          </w:p>
        </w:tc>
        <w:tc>
          <w:tcPr>
            <w:tcW w:w="5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53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3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 w:name="page16"/>
    <w:bookmarkEnd w:id="15"/>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by geography are generally based on the country of the Company’s contracting entity. Total United States revenue was approximately 99% and 98% of total revenue for the three months ended March 31, 2026 and 2025,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CONTRACT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as of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movement in the contract assets during the three months ended March 31, 2026, and the year ended December 31, 2025, comprised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at start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Expense deferred during the period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expensed during the period</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Contract assets at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Tuatara shareholders approved the SpringBig Holdings, Inc. 2022 Long-Term Incentive Plan (the “2022 Incentive Plan”), which became effective upon the Closing.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ended December 31, 2023; provided that the annual increase with respect to the fiscal year ended December 31, 2023, which is 1,332,986 shares of common stock, took effect on the first business day following the annual shareholder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automatically added to the number of shares authorized for issuance on January 1, 2025, and 2026 was 2,317,417 and 2,427,439, respectively, being 5% of the number of the Company’s common stock issued and outstanding on December 31, 2024, and 2025, respectively. The total number of shares of common stock authorized for issuance under the 2022 Incentive Plan is 9,759,984 as of March 31, 2026.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as of March 31, 2026, under the Legacy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8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r>
      <w:tr>
        <w:trPr>
          <w:trHeight w:val="194"/>
        </w:trPr>
        <w:tc>
          <w:tcPr>
            <w:tcW w:w="4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46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1,331,034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March 31,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1,301,389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1,301,389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and 2025, $0 of compensation expense was recorded in connection with the Legacy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charges are recorded in general and administrative expense on the condensed consolidated statements of operations.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options were exercised during the three months ended March 31, 2026. As of March 31, 2026, the intrinsic value of the 1,301,389 options outstanding and exercisable was $0. As of March 31, 2026, all options are vested and exercisable and the total compensation cost related to non-vested awards not yet recognized was $0.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Restricted Stock Units outstanding as of March 31, 2026, under the 2022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w:t>
            </w: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2,665,852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0.45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15,992,103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(2,331,250)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0.38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(1,008,892)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15,317,813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0.06</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(38,654)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0.26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(238,160)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0.24</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Outstanding Balance, March 31, 2026</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15,040,999</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ind w:left="680"/>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22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compensation expense recorded in connection with the 2022 Incentive Plan was $71,000 and $163,000, respectively. The expense is reported within general and administrative expenses. The remaining expense of approximately $866,000 will be recognized in future periods through March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in Boca Raton, Florida, Seattle, Washington and Toronto, Ontario, Canada under non-cancelable operating lease agreements. The leases require monthly payments ranging from $4,000 to $10,000 and expire on various dates through April 2028. In addition to minimum rent, the Company is required to pay a proportionate share of operating expenses under these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lease, for the Boca Raton office facilities, which became effective on January 1, 2024, after completion of leasehold improvements. The lease term was for 98 months, and monthly rental payments range from $38,000 to $48,000 over the life of the lease. In June 2025, the Company terminated the existing lease. The Company is treating the transaction as a lease extinguishment. The lease included a termination penalty of $550,000, payable in two installments of $275,000, paid June 10, 2025, and the second paid on August 31, 2025. The Company subsequently entered a new lease for new office space, which became effective on May 1, 2025. The new lease term is for 36 months, and monthly rental payments of approximately $10,000 over the life of the lease.</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following amounts were presented on the Company’s consolidated balance sheets in accordance with </w:t>
      </w:r>
      <w:r>
        <w:rPr>
          <w:rFonts w:ascii="Times New Roman" w:cs="Times New Roman" w:eastAsia="Times New Roman" w:hAnsi="Times New Roman"/>
          <w:sz w:val="18"/>
          <w:szCs w:val="18"/>
          <w:i w:val="1"/>
          <w:iCs w:val="1"/>
          <w:color w:val="auto"/>
        </w:rPr>
        <w:t>ASC 842 - Lease Accounting</w:t>
      </w:r>
      <w:r>
        <w:rPr>
          <w:rFonts w:ascii="Times New Roman" w:cs="Times New Roman" w:eastAsia="Times New Roman" w:hAnsi="Times New Roman"/>
          <w:sz w:val="18"/>
          <w:szCs w:val="18"/>
          <w:color w:val="auto"/>
        </w:rPr>
        <w:t xml:space="preser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313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Company’s operating lease cost was $64,000 and $160,000, respectively. Other information pertaining to capitalized assets and liabilities under the leasing standard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64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paid to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(months)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2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March 31, 2026, the Company’s lease liabilities mature as follows (in thousands):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6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6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6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10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the possible resolution of any legal and other contingencies when losses are possible in accordance with </w:t>
      </w:r>
      <w:r>
        <w:rPr>
          <w:rFonts w:ascii="Times New Roman" w:cs="Times New Roman" w:eastAsia="Times New Roman" w:hAnsi="Times New Roman"/>
          <w:sz w:val="18"/>
          <w:szCs w:val="18"/>
          <w:i w:val="1"/>
          <w:iCs w:val="1"/>
          <w:color w:val="auto"/>
        </w:rPr>
        <w:t>ASC 450,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 (“ASC 450”)</w:t>
      </w:r>
      <w:r>
        <w:rPr>
          <w:rFonts w:ascii="Times New Roman" w:cs="Times New Roman" w:eastAsia="Times New Roman" w:hAnsi="Times New Roman"/>
          <w:sz w:val="18"/>
          <w:szCs w:val="18"/>
          <w:color w:val="auto"/>
        </w:rPr>
        <w:t>. Significant judgment is required in both the determination of the probability of an outcome as well as the determination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the amount of any potential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a civil investigative demand from the United States Attorney’s Office with regard to its Paycheck Protection Program Loan (“PPP Loan”) originally received in 2020 and forgiven in 2021. The investigation is based on whether the Company was eligible for a PPP Loan if its software products are in fact used to support the use, growth, enhancement or development of marijuana. The amount of the PPP Loan was approximately $790,000. This creates the potential for a contingent loss of up to $1.6 million. The Company believes a loss is reasonably possible, but not probable, and can be reasonably estimated, therefore pursuant to ASC 450 the potential loss has been disclosed but not recorded.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Retention Payroll Tax Credits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year ended December 31, 2023, we received $2.0 million related to these credits, recognized $0.6 million as an offset related to operating expenses thorough accounts payable, During the year ended December 31, 2025 the Company received an additional $0.2 million in the form of a payroll tax refund. We have deferred recognition of remaining $2.0 million, which is recorded in current liabilities on the accompanying consolidated balance sheets.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the Company entered into an agreement with their largest vendor. As part of the agreement the Company has committed to spending a specified minimum monthly spend with the vendor for the next 34 Months, with additional 1 year renewals. The minimum monthly spend is reflected in each month reported, based on the activity for each month. In February 2026, the Company and the vendor amended the agreement to adjust the minimum monthly spend and in the process finalized all minimum monthly payment requirements relating to 2025. Those costs have all been recorded through the cost of revenues in the consolidated statements of operations. The term of the agreement was extended to October 2030.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the observable inputs and unobservable inputs used in order to value the assets and liabilities:</w:t>
      </w:r>
    </w:p>
    <w:p>
      <w:pPr>
        <w:spacing w:after="0" w:line="160"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unadjusted quoted prices in active markets for identical assets and liabilities that are accessible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valuations are based on quoted prices that are readily and regularly available in an active market, valuation of these products does not entail a significant degree of judgment.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 is determined from pricing inputs that are other than quoted prices in active markets that are either directly or indirectly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 is based on inputs that are both significant to the fair value measurement and unobservable. Level 3 inputs include situations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little, if any, market activity for the financial instrument. The inputs into the determination of fair value generally require significant management judgment or estimation.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March 31, 2026,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45"/>
        </w:trPr>
        <w:tc>
          <w:tcPr>
            <w:tcW w:w="59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2025,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45"/>
        </w:trPr>
        <w:tc>
          <w:tcPr>
            <w:tcW w:w="59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during the year ended December 31, 2025. The Company’s public warrants remained classified as Level 2 throughout all periods presented.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liabilities measured at fair value on a recurring basis and within the fair value hierarchy.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a fair value approach to account for its warrants based on the quoted price at March 31, 2026, the calculation is consistent with ASC 820, Fair Value Measurement, with changes in fair value recorded in current earnings.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2026, the value of the public warrants was approximately $16,000 using a closing price of $0.0010.</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Fair Value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provides a roll-forward in the changes in fair value in the public warrants for the three months ended March 31, 2026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March 31, 2026</w:t>
            </w: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Fair Value Considerations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accounts receivables, contract assets, prepaid expenses and other assets,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fair value due to their short-term maturities and/or low credit risk.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Sponsor Escrow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Contingent and Earnout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80"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and 2025, there were 48,786,932 and 46,470,682 shares of common stock issued and outstanding,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there are losses during the period, the inclusion of all potential common shares outstanding would have been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actual basic and diluted earnings per share for the three months ended March 31, 2026, and 2025, respectively (in thousands, except share and per share data).</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48,559,870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46,386,410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anti-dilutive securities excluded from the weighted-average shares used to calculate the diluted net loss per common share for the three months ended March 31, 2026, and 2025, were as follows: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1,301,389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convertible notes stock conversion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54,760,000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48,276,080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warrants stock conversion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contingent earn out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15,040,979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2,996,809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safe harbor 401(k) retirement plan for the benefit of its employees. The plan allows participants to make contributions subject to certain limitations. Company matching contributions were $78,000 and $79,000 for the three months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The Company’s effective tax rate for the three months ended March 31, 2026 and March 31, 2025 is 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20 – SEGMENT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determined that it has a single operating segment.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CEO is the CODM. The CODM reviews financial information presented for the purposes of allocating resources and evaluating financial performance at an entity level and the Company has no segment managers who are held accountable by the CODM for operations and operating results. The products and services across the Company are similar in nature, distributed in a comparable manner and have customers with common characteristics. Refer to Note 2 – Summary of Significant Accounting Policies.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Employee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Contractor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platform hosting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all other operating expenses, including insurance, subscriptions for software used in the operations, stock-based compensation, depreciation and amortization and severance payments.</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 of segment assets is reported on the condensed balance sheet as total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 2026, the Company and the CEO, Jaret Christopher, executed an employment agreement, whereby, the equity structure and separation terms were agreed to with the CEO. The accompanying financials do not reflect the impact of the new employment agreement. In conjunction with the CEO’s employment agreement, the Company also reached a compensation agreement with a board member of the Company. The compensation agreement will pay the board member $10,000 monthly during their term and provide an equity grant.</w:t>
      </w:r>
    </w:p>
    <w:p>
      <w:pPr>
        <w:spacing w:after="0" w:line="18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On April 21, 2026, the Company received a Notice of Default, Reservation of Rights and Notice of Termination in relation to the Notes and related documents. The Notice constitutes a notice of default under Section 2.1(c) of each of the Notes. The Notice advises, and the Notes provide, that upon the occurrence of an event of default, the holders of the Notes may exercise a variety of remedies afforded to them under the Notes or by applicable law or equity, including without limitation, acceleration of the due date of the unpaid principal balance of the Notes and all accrued but unpaid interest thereon. Further, according to the Notes, the holders of the Notes may, during an event of default and in accordance with applicable law, foreclose on the Company’s assets and its security interest in the Company’s property and exercise any other remedies provided therein. At this time, the holders of the Notes have not:</w:t>
      </w:r>
    </w:p>
    <w:p>
      <w:pPr>
        <w:spacing w:after="0" w:line="5" w:lineRule="exact"/>
        <w:rPr>
          <w:sz w:val="20"/>
          <w:szCs w:val="20"/>
          <w:color w:val="auto"/>
        </w:rPr>
      </w:pPr>
    </w:p>
    <w:p>
      <w:pPr>
        <w:jc w:val="both"/>
        <w:ind w:firstLine="8"/>
        <w:spacing w:after="0" w:line="255"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or demanded any payment of principal; (ii) foreclosed on all or any part of any lien or security interest created by any of the Note documents; and (iii) exercised any other right or remedy that may be available to them. The Company has no assurance that the holders of the Notes will not seek to enforce their rights in the future.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serves approximately 750 clients across more than 2,250 distinct retail locations in North America. Our clients distribute approximately 640 million messages annually, via text, push or email, and in the last year more than $5.7 billion of gross merchandise value was accounted for by clients utilizing our platform.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OTCQB® Venture Market.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is our analysis for the three months ended March 31, 2026, and 2025, in thousands:</w:t>
      </w:r>
    </w:p>
    <w:p>
      <w:pPr>
        <w:spacing w:after="0" w:line="17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retail clients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messages (million)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of net loss to Adjusted EBITDA see “EBITDA” and “Adjusted EBITDA,”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Key Operating Metrics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Retail Clients. </w:t>
      </w:r>
      <w:r>
        <w:rPr>
          <w:rFonts w:ascii="Times New Roman" w:cs="Times New Roman" w:eastAsia="Times New Roman" w:hAnsi="Times New Roman"/>
          <w:sz w:val="18"/>
          <w:szCs w:val="18"/>
          <w:color w:val="auto"/>
        </w:rPr>
        <w:t>We disclose in the table above the number of discrete SpringBig platforms used by clients of the business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w:t>
      </w:r>
      <w:r>
        <w:rPr>
          <w:rFonts w:ascii="Times New Roman" w:cs="Times New Roman" w:eastAsia="Times New Roman" w:hAnsi="Times New Roman"/>
          <w:sz w:val="18"/>
          <w:szCs w:val="18"/>
          <w:color w:val="auto"/>
        </w:rPr>
        <w:t>We believe that the growth in the use of our platform by our clients is an important metric in evaluating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Messages Sent. </w:t>
      </w:r>
      <w:r>
        <w:rPr>
          <w:rFonts w:ascii="Times New Roman" w:cs="Times New Roman" w:eastAsia="Times New Roman" w:hAnsi="Times New Roman"/>
          <w:sz w:val="18"/>
          <w:szCs w:val="18"/>
          <w:color w:val="auto"/>
        </w:rPr>
        <w:t>We believe that the volume of messages sent is important as it indicates the frequency of use and level of engagement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by our clients. Messages are distributed by text, email, and direct push notifications to mobile applications.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which is a non-GAAP financial measure that we calculate as net income (loss) before interest, taxes, depreciation and amortization and Adjusted EBITDA, which represents EBITDA adjusted for certain unusual, infrequent items, or non-cash items (such as credit loss expense and stock-based compensation).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5" w:name="page26"/>
    <w:bookmarkEnd w:id="2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before taxes to non-GAAP EBITDA and Adjusted EBITDA is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(494)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(134)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8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Growth and Retention of Customers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color w:val="auto"/>
        </w:rPr>
        <w:t>Regulation and Maturation of Cannabis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customers and to our ability to attract new customers.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amounts payable to distributors of messages on behalf of the Company’s customers across cellular networks and integrations.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Servicing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Software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 w:cs="Times New Roman" w:eastAsia="Times New Roman" w:hAnsi="Times New Roman"/>
          <w:sz w:val="18"/>
          <w:szCs w:val="18"/>
          <w:i w:val="1"/>
          <w:iCs w:val="1"/>
          <w:color w:val="auto"/>
        </w:rPr>
        <w:t>Intangibles – Goodwill and Other – Internal Use Software</w:t>
      </w:r>
      <w:r>
        <w:rPr>
          <w:rFonts w:ascii="Times New Roman" w:cs="Times New Roman" w:eastAsia="Times New Roman" w:hAnsi="Times New Roman"/>
          <w:sz w:val="18"/>
          <w:szCs w:val="18"/>
          <w:color w:val="auto"/>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compared to Three Months Ended March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5,444</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2,407</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21"/>
                <w:szCs w:val="21"/>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$0.1 million for the three months ended March 31, 2026, representing a 1% year-on-year reduction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Our subscription revenue was $4.8 million for the three months ended March 31, 2026, compared with $4.8 million in the same quarter in 2025. Subscription revenue as a proportion of total revenue was 88% for the three months ended March 31, 2026, compared with 87% in the same period last year. Excess use revenue declined year-over-year, driven by softer macro conditions in the cannabis sector and increased client budget discipline, resulting in messaging activity being constrained within subscription volume limits. Excess use revenue represented 7% of total revenue for the three months ended March 31, 2026, compared with 9% in the same period last year.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revenue retention rate was 86% for the twelve months ended March 31, 2026, consistent with 86% for the twelve months ended March 31, 2025. Performance reflects continued macroeconomic pressure in the cannabis market and financial constraints among certain retail clients, which in some cases resulted in the suspension or termination of access to our platform.</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by $0.7 million to $3.6 million for the three months ended March 31, 2026, from $4.3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representing a 17% year-over-year decline. The decrease was primarily attributable to one-time higher messaging costs associated with the amendment with our largest vendor. The revised minimum monthly commitment establishes a more sustainable cost structure on a go-forward basis.</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decreased by $1.0 million, or 21%, for the three months ended March 31, 2026, compared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$0.4 million, or 37%, for the quarter ended March 31, 2026, compared to the same period in 2025, primarily due to organizational restructuring and improved operating efficiency within the group.</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Technology and software development expenses decreased by $0.1 million, or 3%, for the quarter ended March 31, 2026, compared to the same period in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decreased by $0.6 million, or 24%, for the quarter ended March 31, 2026,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driven by improved operating efficiency under new management, organizational restructuring efforts, and enhanced expense discipline.</w:t>
      </w:r>
    </w:p>
    <w:p>
      <w:pPr>
        <w:spacing w:after="0" w:line="20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$0.4 million for the quarter ended March 31, 2026, compared with $0.3 million for the quarter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warrants. </w:t>
      </w:r>
      <w:r>
        <w:rPr>
          <w:rFonts w:ascii="Times New Roman" w:cs="Times New Roman" w:eastAsia="Times New Roman" w:hAnsi="Times New Roman"/>
          <w:sz w:val="18"/>
          <w:szCs w:val="18"/>
          <w:color w:val="auto"/>
        </w:rPr>
        <w:t>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March 31, 2026, the market value of the public warrants, which are quoted for trading on the OTC Pink Market, was $0.0010 per warrant which was the same as the quoted price at December 31, 2025. Therefore, there is no expense or credit in our income statement for the three months ended March 31, 2026.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raised $6.4 million through the issuance of 2024 Convertible Notes and $1.6 million through the issuance of 2024 Term Notes. The net cash proceeds, after transaction expenses, were $7.2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 Convertible Notes accrue interest which is added to the outstanding principal balance semi-annually. The Notes are convertible into common stock at a conversion price of $0.15 per share at the holder’s option any time up to the day prior to maturity, initially in January 2026. The 2024 Term Notes, initially due at issuance in January 2026, accrue interest payable in cash semi-annually. The 2024 Convertible Notes and 2024 Term Notes rank pari passu and are secured by substantially all the assets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classified all outstanding debt as current as such obligations are contractually due within twelve months. As noted above in Note 21 to our condensed consolidated financial statements, the Company also received a Notice of Default, Reservation of Rights and Notice of Termination in relation to the Notes and related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accounts receivable, and working capital at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r>
    </w:tbl>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Includes Long-term debt reclassified to Short-term liabilities.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2024 Convertible Notes and 2024 Term Notes also contain a number of restrictive covenants that may impose significant restrictions on obtaining future financings, including restrictions on SpringBig’s ability to: (i) incur additional indebtedness or guarantee indebtedness; (ii) incur liens or other encumbrances; (iii) prepay, redeem, or repurchase certain other debt; (iv) pay dividends or make other distributions or repurchase or redeem capital stock; (v) sell assets or enter into certain transactions, including reorganizations or similar transactions; (vi) issue additional equity outside of our equity compensation plans; and (vii) amend certain provisions of our governing documents, among other restrictions. Accordingly, we may be limited in our ability to raise additional capital on acceptable terms, or at all. Such restrictions may be waived with the consent of the noteholders.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under “Going Concern,” the reclassification of our long-term debt to current liabilities and our resulting working capital deficit raise substantial doubt about our ability to continue as a going concern.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three months ended March 31, 2026, and 2025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in: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(229)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tcPr>
          <w:p>
            <w:pPr>
              <w:spacing w:after="0"/>
              <w:rPr>
                <w:sz w:val="18"/>
                <w:szCs w:val="18"/>
                <w:color w:val="auto"/>
              </w:rPr>
            </w:pP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(229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loss was $0.5 million, and cash used in operating activities was $0.2 million. The $0.3 million difference was primarily attributable to a $0.3 million decrease in working capital, partially offset by $0.6 million of non-cash expenses, including depreciation, amortization and stock-based compensation.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loss was $0.7 million and cash used in operating activities was $0.1 million. The $0.6 million difference was primarily attributable to $0.5 million of non-cash expenses, including depreciation, amortization and stock-based compensation, as well as a $0.1 million decrease in working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SpringBig has low capital investment requirements, with our needs being comprised primarily of computer equipment and office furniture and related items. Cash used in investing activities was $0 for the three months ended March 31, 2026, and $6,000 for the three months ended March 31,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cash flows due to financing activities during the three months ended March 31, 2026 and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2026,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w:t>
      </w:r>
      <w:r>
        <w:rPr>
          <w:rFonts w:ascii="Times New Roman" w:cs="Times New Roman" w:eastAsia="Times New Roman" w:hAnsi="Times New Roman"/>
          <w:sz w:val="18"/>
          <w:szCs w:val="18"/>
          <w:i w:val="1"/>
          <w:iCs w:val="1"/>
          <w:color w:val="auto"/>
        </w:rPr>
        <w:t>ASU 2016-17,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March 31, 2026, and 2025, there are no uncertain tax positions taken, or expected to be taken, that would require recognition of a liability or disclosure in the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 Market-Based Vesting 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and April 2025, the Company granted market-based restricted stock units (“RSUs”) to certain executives. The awards vest in multiple tranches upon the Company’s common stock achieving specified volume-weighted average price (“VWAP”) targets for at least twenty consecutive trading days during the ten-year contractual term, subject to continued service. If the applicable target is not achieved prior to expiration, the corresponding tranche will be forfeited.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grant-date fair values of the awards were determined using a Monte Carlo simulation model incorporating assumptions regarding expected volatility, risk-free interest rates, and other factors. In accordance with ASC 718, the total grant-date fair value is recognized over the derived service periods for each tranche, regardless of whether the market conditions are ultimately satisfied.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The Company is currently evaluating this ASU to determine its impact on the Company’s disclosures.</w:t>
      </w:r>
    </w:p>
    <w:p>
      <w:pPr>
        <w:spacing w:after="0" w:line="18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Measurement of Credit Losses for Accounts Receivable and Contract Assets. The ASU amends certain aspects of the current expected credit loss (“CECL”) model as it applies to trade receivables and contract assets, including clarifications related to measurement methodologies and disclosure requirements. The Company adopted this guidance effective January 1, 2026. The adoption of ASU No. 2025-05 did not have a material impact on the Company’s consolidated financial statements or related disclosures.</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which clarifies the accounting for costs incurred in the development and implementation of internal-use software. The Company is currently evaluating the impact of this guidance on its consolidated financial statements. The Company does not expect the adoption of this standard to have a material impact on its financial position, results of operations, or cash flows.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(our principal executive officer) and Chief Financial Officer (our principal financial and accounting officer) evaluated the effectiveness of our “disclosure controls and procedures” (as defined in Exchange Act Rules 13a-15(e) and 15d-15(e)) as of March 31, 2026, the end of the period covered by this report. Based on that evaluation, our Chief Executive Officer and Chief Financial Officer concluded that our disclosure controls and procedures were effective as of such date.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2026,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developments to legal proceedings during the three months ended March 31, 2026, see “Litigation” under Note 14, “Commitments and Contingencies” to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involves a high degree of risk. You should carefully consider the risks described under the caption “Risk Factors” in Part I, Item 1A of our Annual Report on Form 10-K for the year ended December 31, 2025, as well as the risks, uncertainties and other information set forth in this Item 1A and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obligations to the holders of the Notes are secured by a security interest in substantially all of our assets, so if we default on those obligations, the noteholders could foreclose on, liquidate and/or take possession of our assets and/or accelerate the payment of principal. We have received a notice of default related to the Notes. To date, the noteholders have not enforced these rights under the Notes. If they were to enforce, we could be forced to curtail, or even to cease, our operations.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23, 2024, the Company entered into that certain securities purchase agreement (the “Notes Purchase Agreement”), dated January 23, 2024, between the Company and Shalcor Management, Inc. and other Purchasers (the “Investors”), pursuant to which the Company agreed to sell a total of $5.4 million of 8% Senior Secured Convertible Notes due 2026. Simultaneously, SpringBig, Inc. entered into a guaranty agreement to guarantee the Company’s obligations under the 2024 Secured Convertible Notes and the Company and SpringBig, Inc. entered into a security agreement, pursuant to which the Investors were granted a security interest in all the assets of the Company and SpringBig, Inc. to secure repayment of amounts due under the 2024 Secured Convertible Notes. On April 21, 2026, the Company received a Notice of Default, Reservation of Rights and Notice of Termination in relation to the Notes and related documents. The Notice constitutes a notice of default under Section 2.1(c) of each of the Notes. The Notice advises, and the Notes provide, that upon the occurrence of an event of default, the holders of the Notes may exercise a variety of remedies afforded to them under the Notes or by applicable law or equity, including without limitation, acceleration of the due date of the unpaid principal balance of the Notes and all accrued but unpaid interest thereon. Further, according to the Notes, the holders of the Notes may, during an event of default and in accordance with applicable law, foreclose on the Company’s assets and its security interest in the Company’s property and exercise any other remedies provided therein. The holders of the Notes may: (i) accelerate or demand any payment of principal; (ii) foreclose on all or any part of any lien or security interest created by any of the Note documents; or (iii) exercise any other right or remedy that may be available to them. As a result, if the Investors seek to enforce their rights under (i), (ii), or (iii), the Investors could foreclose on its security interests and liquidate or take possession of some or all of the assets of the Company, SpringBig, Inc. and its subsidiaries, which would harm our business, financial condition and results of operations and could require us to curtail, or even to cease our operations. The Company has no assurance that the holders of the Notes will not seek to enforce their rights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 “Long-Term Debt” to and Note 21, “Subsequent Events”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9020" w:type="dxa"/>
            <w:vAlign w:val="bottom"/>
            <w:gridSpan w:val="20"/>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860" w:type="dxa"/>
            <w:vAlign w:val="bottom"/>
          </w:tcPr>
          <w:p>
            <w:pPr>
              <w:spacing w:after="0"/>
              <w:rPr>
                <w:sz w:val="24"/>
                <w:szCs w:val="24"/>
                <w:color w:val="auto"/>
              </w:rPr>
            </w:pP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900" w:type="dxa"/>
            <w:vAlign w:val="bottom"/>
            <w:gridSpan w:val="12"/>
          </w:tcPr>
          <w:p>
            <w:pPr>
              <w:ind w:left="16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 File #</w:t>
            </w:r>
          </w:p>
        </w:tc>
      </w:tr>
      <w:tr>
        <w:trPr>
          <w:trHeight w:val="175"/>
        </w:trPr>
        <w:tc>
          <w:tcPr>
            <w:tcW w:w="8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4800" w:type="dxa"/>
            <w:vAlign w:val="bottom"/>
            <w:tcBorders>
              <w:top w:val="single" w:sz="8" w:color="auto"/>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Incorporation of SpringBig Holdings, Inc.</w:t>
              </w:r>
            </w:hyperlink>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36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4900" w:type="dxa"/>
            <w:vAlign w:val="bottom"/>
            <w:gridSpan w:val="12"/>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SpringBig Holdings, Inc.</w:t>
              </w:r>
            </w:hyperlink>
          </w:p>
        </w:tc>
        <w:tc>
          <w:tcPr>
            <w:tcW w:w="9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3.2</w:t>
            </w:r>
          </w:p>
        </w:tc>
        <w:tc>
          <w:tcPr>
            <w:tcW w:w="120" w:type="dxa"/>
            <w:vAlign w:val="bottom"/>
          </w:tcPr>
          <w:p>
            <w:pPr>
              <w:spacing w:after="0"/>
              <w:rPr>
                <w:sz w:val="15"/>
                <w:szCs w:val="15"/>
                <w:color w:val="auto"/>
              </w:rPr>
            </w:pPr>
          </w:p>
        </w:tc>
        <w:tc>
          <w:tcPr>
            <w:tcW w:w="11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5"/>
                <w:szCs w:val="15"/>
                <w:color w:val="auto"/>
              </w:rPr>
            </w:pPr>
          </w:p>
        </w:tc>
        <w:tc>
          <w:tcPr>
            <w:tcW w:w="49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Employment Agreement, dated as of April 1, 2026, between</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SpringBig Holdings, Inc. and Jaret Christopher</w:t>
            </w:r>
          </w:p>
        </w:tc>
        <w:tc>
          <w:tcPr>
            <w:tcW w:w="94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5"/>
                <w:szCs w:val="15"/>
                <w:color w:val="auto"/>
              </w:rPr>
            </w:pPr>
          </w:p>
        </w:tc>
        <w:tc>
          <w:tcPr>
            <w:tcW w:w="448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Restricted Stock Award Agreement, dated as of April 1, 2026,</w:t>
            </w:r>
          </w:p>
        </w:tc>
        <w:tc>
          <w:tcPr>
            <w:tcW w:w="42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between SpringBig Holdings, Inc. and Jaret Christopher</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5"/>
                <w:szCs w:val="15"/>
                <w:color w:val="auto"/>
              </w:rPr>
            </w:pPr>
          </w:p>
        </w:tc>
        <w:tc>
          <w:tcPr>
            <w:tcW w:w="49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56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206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5"/>
                <w:szCs w:val="15"/>
                <w:color w:val="auto"/>
              </w:rPr>
            </w:pPr>
          </w:p>
        </w:tc>
        <w:tc>
          <w:tcPr>
            <w:tcW w:w="49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shd w:val="clear" w:color="auto" w:fill="CCEEFF"/>
          </w:tcPr>
          <w:p>
            <w:pPr>
              <w:spacing w:after="0"/>
              <w:rPr>
                <w:sz w:val="15"/>
                <w:szCs w:val="15"/>
                <w:color w:val="auto"/>
              </w:rPr>
            </w:pPr>
          </w:p>
        </w:tc>
        <w:tc>
          <w:tcPr>
            <w:tcW w:w="49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56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206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Pr>
          <w:p>
            <w:pPr>
              <w:spacing w:after="0"/>
              <w:rPr>
                <w:sz w:val="15"/>
                <w:szCs w:val="15"/>
                <w:color w:val="auto"/>
              </w:rPr>
            </w:pPr>
          </w:p>
        </w:tc>
        <w:tc>
          <w:tcPr>
            <w:tcW w:w="49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4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4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4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4900" w:type="dxa"/>
            <w:vAlign w:val="bottom"/>
            <w:gridSpan w:val="1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Jaret Christopher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Jaret Christopher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May 13, 2026</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Moos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Jason Moos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May 13, 2026</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April,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SpringBig Holdings, Inc., a Delaware corporation with its principal place of business at 621 NW 53rd St, Suite 260, Boca Raton, FL 33487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Jaret Christopher, a Massachusetts resident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entered into that certain Offer Letter, dated as of March 13, 2025 (the “</w:t>
      </w:r>
      <w:r>
        <w:rPr>
          <w:rFonts w:ascii="Times New Roman" w:cs="Times New Roman" w:eastAsia="Times New Roman" w:hAnsi="Times New Roman"/>
          <w:sz w:val="18"/>
          <w:szCs w:val="18"/>
          <w:u w:val="single" w:color="auto"/>
          <w:color w:val="auto"/>
        </w:rPr>
        <w:t>Offer Letter</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Executive commenced service as Chief Executive Officer of the Company on April 1, 2025;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continue to employ the Executive as the Chief Executive Officer of the Company and the Executive desires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continue to be employed by the Company on the new terms and conditions contained 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of the mutual promises contained herein and of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hereto hereby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POSITION AND DUTIES.</w:t>
      </w:r>
    </w:p>
    <w:p>
      <w:pPr>
        <w:spacing w:after="0" w:line="225" w:lineRule="exact"/>
        <w:rPr>
          <w:sz w:val="20"/>
          <w:szCs w:val="20"/>
          <w:color w:val="auto"/>
        </w:rPr>
      </w:pPr>
    </w:p>
    <w:p>
      <w:pPr>
        <w:jc w:val="both"/>
        <w:ind w:firstLine="656"/>
        <w:spacing w:after="0" w:line="256" w:lineRule="auto"/>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Commencing on the Effective Date, the Executive shall continue to serve as the Company’s Chief Executive Officer,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to the Board of Directors of the Company. The Executive will serve as a member on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(without additional compensation) if and as elected thereon. In the position as Chief Executive Officer, the Executive shall have such duties, authorities and responsibilities as are customary for an employee in such position, and such other duties, authorities and responsibilities as may reasonably be assigned to the Executive from time to time by the Board. The Executive’s place of employment shall be at the Company’s headquarters located in Boca Raton, Florida or such other place as approved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from time to time, Executive may work remotely as long as Executive is satisfying Executive’s obligations hereunder.</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9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Executive will be employed hereunder commencing on the Effective Date and ending on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thereof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 xml:space="preserve">”), which Employment Term will automatically extend for successive one-year periods unless either party provides written notice of non-renewal to the other party at least 60 days prior to the expiration of the Employment Term (or any renewal period thereto). Non-renewal by the Company shall be deemed a termination by the Company without Cause for purposes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Upon Executive’s termination for any reason, Executive shall be deemed to have resigned from all positions that Executive holds as an officer and director of the Company and any subsidiaries or affiliates of the Company, and as a fiduciary of any benefit plan of the Company or any affiliate of the Company. Executive agrees that he will execute all documents reasonably required to effectuate such resignations.</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ACTIVITIES</w:t>
      </w:r>
      <w:r>
        <w:rPr>
          <w:rFonts w:ascii="Times New Roman" w:cs="Times New Roman" w:eastAsia="Times New Roman" w:hAnsi="Times New Roman"/>
          <w:sz w:val="18"/>
          <w:szCs w:val="18"/>
          <w:color w:val="auto"/>
        </w:rPr>
        <w:t>. During the Employment Term, the Executive shall devote substantially all of the Executive’s business time,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knowledge and skill to the performance of the Executive’s duties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prevent the Executive from engaging in any non-Company activity so long as such activity, individually, or together with any other non-Company activity, does not pose a conflict of interest or interfere with Executive’s performance of his duties under this Agreement and does not violate the restrictive covenants set forth herein or in any exhibit hereto or in any other agreement between Executive and the Company, in each case, whether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jc w:val="both"/>
        <w:ind w:firstLine="656"/>
        <w:spacing w:after="0" w:line="257" w:lineRule="auto"/>
        <w:tabs>
          <w:tab w:leader="none" w:pos="82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BASE SALARY</w:t>
      </w:r>
      <w:r>
        <w:rPr>
          <w:rFonts w:ascii="Times New Roman" w:cs="Times New Roman" w:eastAsia="Times New Roman" w:hAnsi="Times New Roman"/>
          <w:sz w:val="18"/>
          <w:szCs w:val="18"/>
          <w:color w:val="auto"/>
        </w:rPr>
        <w:t>. During the Employment Term, the Company agrees to pay the Executive an annual base salary at an annual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$450,000, payable subject to all applicable federal and state payroll withholding requirements in accordance with the regular payroll practices of the Company. The Executive’s annual base salary shall be subject to annual review by the Board (or a committee thereof), and may be increased (but not decreased below $450,000, except pursuant to across-the-board reductions affecting similarly situated senior executives of the Company or any of its subsidiaries) from time to time as determined by the Board (or a committee thereof). The annual base salary as may be adjusted from time to time is referred to herein as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AND BONUS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Cash Incentive</w:t>
      </w:r>
      <w:r>
        <w:rPr>
          <w:rFonts w:ascii="Times New Roman" w:cs="Times New Roman" w:eastAsia="Times New Roman" w:hAnsi="Times New Roman"/>
          <w:sz w:val="18"/>
          <w:szCs w:val="18"/>
          <w:color w:val="auto"/>
        </w:rPr>
        <w:t>. With respect to each calendar year (or portion thereof) during the Employment Term, the Executive shall be eligible to participate in the Company’s annual cash incentive plan (the “</w:t>
      </w:r>
      <w:r>
        <w:rPr>
          <w:rFonts w:ascii="Times New Roman" w:cs="Times New Roman" w:eastAsia="Times New Roman" w:hAnsi="Times New Roman"/>
          <w:sz w:val="18"/>
          <w:szCs w:val="18"/>
          <w:u w:val="single" w:color="auto"/>
          <w:color w:val="auto"/>
        </w:rPr>
        <w:t>Annual Incentive Plan</w:t>
      </w:r>
      <w:r>
        <w:rPr>
          <w:rFonts w:ascii="Times New Roman" w:cs="Times New Roman" w:eastAsia="Times New Roman" w:hAnsi="Times New Roman"/>
          <w:sz w:val="18"/>
          <w:szCs w:val="18"/>
          <w:color w:val="auto"/>
        </w:rPr>
        <w:t>”) as in effect from time to time, with the actual amount of bonus payable under the Annual Incentive Plan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to be determined by the Board in accordance with the terms and conditions of the Annual Incentive Plan. The Executive’s target bonus opportunity under the Annual Incentive Plan shall be equal to 50% of the then-current Annual Base Salary. Any earned Annual Bonus shall be paid to the Executive promptly following the Board’s certification of financial results for the calendar year in respect of which the Annual Bonus is earned, subject to the Executive’s continued employment with the Company through the applicable payment date. With respect to the 2025 calendar year, to the extent unpaid as of the Effective Date, the Executive’s Annual Bonus shall be prorated based on the number of days in such year that the Executive was employed with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w:t>
      </w:r>
      <w:r>
        <w:rPr>
          <w:rFonts w:ascii="Times New Roman" w:cs="Times New Roman" w:eastAsia="Times New Roman" w:hAnsi="Times New Roman"/>
          <w:sz w:val="18"/>
          <w:szCs w:val="18"/>
          <w:color w:val="auto"/>
        </w:rPr>
        <w:t>. During the Employment Term and subject to approval of the Board (or a committee thereof), Executive shall be eligible to receive additional equity incentive awards under the Company’s long-term incentive plan as in effect from time to time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subject to the terms and conditions thereof, and Company shall determine the amount and timing of any such equity incentive awards (each, an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Incentive Award</w:t>
      </w:r>
      <w:r>
        <w:rPr>
          <w:rFonts w:ascii="Times New Roman" w:cs="Times New Roman" w:eastAsia="Times New Roman" w:hAnsi="Times New Roman"/>
          <w:sz w:val="18"/>
          <w:szCs w:val="18"/>
          <w:color w:val="auto"/>
        </w:rPr>
        <w:t>”), with the valuation methodology for such awards to be determined by the Board (or a committee thereof) in its discretion. The Executive’s eligibility for Equity Incentive Awards shall be reviewed annually by the Board (or a committee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EXECUTIVE BENEFITS.</w:t>
      </w:r>
    </w:p>
    <w:p>
      <w:pPr>
        <w:spacing w:after="0" w:line="225" w:lineRule="exact"/>
        <w:rPr>
          <w:sz w:val="20"/>
          <w:szCs w:val="20"/>
          <w:color w:val="auto"/>
        </w:rPr>
      </w:pPr>
    </w:p>
    <w:p>
      <w:pPr>
        <w:jc w:val="both"/>
        <w:ind w:firstLine="656"/>
        <w:spacing w:after="0" w:line="256"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During the Employment Term, the Executive shall be entitled to participate in any employee and/or executive benefit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(or an affiliate thereof) has adopted or may adopt, maintain or contribute to for the benefit of its employees and/or executives generally, currently including, without limitation, health and dental insurance coverage, long-term and short-term disability insurance coverage and group life insurance coverage, subject, in all events to satisfying the applicable eligibility requirements, and except to the extent such plans are duplicative of the benefits otherwise provided hereunder. The Executive’s participation will be subject to the terms of the applicable plan documents and generally applicable Company policies. Notwithstanding the foregoing, the Company (or any applicable affiliate thereof) may modify or terminate any employee and/or executive benefit plan at any time.</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 TIME</w:t>
      </w:r>
      <w:r>
        <w:rPr>
          <w:rFonts w:ascii="Times New Roman" w:cs="Times New Roman" w:eastAsia="Times New Roman" w:hAnsi="Times New Roman"/>
          <w:sz w:val="18"/>
          <w:szCs w:val="18"/>
          <w:color w:val="auto"/>
        </w:rPr>
        <w:t>. During the Employment Term, the Executive shall be entitled to paid vacation in accordance with the Company’s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its executives as in effect from time to time.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ind w:firstLine="656"/>
        <w:spacing w:after="0" w:line="262" w:lineRule="auto"/>
        <w:tabs>
          <w:tab w:leader="none" w:pos="9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EXPENSES</w:t>
      </w:r>
      <w:r>
        <w:rPr>
          <w:rFonts w:ascii="Times New Roman" w:cs="Times New Roman" w:eastAsia="Times New Roman" w:hAnsi="Times New Roman"/>
          <w:sz w:val="18"/>
          <w:szCs w:val="18"/>
          <w:color w:val="auto"/>
        </w:rPr>
        <w:t>. Upon presentation of such reasonable substantiation and documentation as the Company reasonably may specify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or as otherwise provided under the Company’s business expense reimbursement policy in effect from time to time, the Executive shall be reimbursed for all reasonable out-of-pocket business expenses incurred and paid by the Executive during the Employment Term in connection with the performance of the Executive’s duties hereunder.</w:t>
      </w:r>
    </w:p>
    <w:p>
      <w:pPr>
        <w:spacing w:after="0" w:line="176"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The Executive’s employment under this Agreement and the Employment Term shall terminate on the first of the following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occur:</w:t>
      </w:r>
    </w:p>
    <w:p>
      <w:pPr>
        <w:spacing w:after="0" w:line="203" w:lineRule="exact"/>
        <w:rPr>
          <w:sz w:val="20"/>
          <w:szCs w:val="20"/>
          <w:color w:val="auto"/>
        </w:rPr>
      </w:pPr>
    </w:p>
    <w:p>
      <w:pPr>
        <w:jc w:val="both"/>
        <w:ind w:firstLine="656"/>
        <w:spacing w:after="0" w:line="259" w:lineRule="auto"/>
        <w:tabs>
          <w:tab w:leader="none" w:pos="8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Thirty (30) days after written notice by the Company to the Executive of a termination due to Disability.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shall be defined as the inability of the Executive to perform the Executive’s material duties hereunder with a reasonable accommodation due to a physical or mental injury, infirmity or incapacity for one hundred twenty (120) days (including weekends and holidays) in any three hundred sixty-five (365)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disability also qualifies as a “disability” as defined in Treasury Regulation Section 1.409A-3(i)(4)(i). The Executive shall reasonably cooperate with the Company if a question arises as to whether the Executive has become disabled.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Automatically upon the date of death of the Executive.</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Thirty (30) days after written notice by the Company to the Executive of a termination for Cause if the Executive shall have failed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cure or remedy such matter, if curable, within such thirty (30) day period. In the event that the basis for Cause is not curable, then such thirty (30) day cure period shall not be required, and such termination shall be effective on the date the Company delivers notice of such termination for Cause. For purposes herein,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Company’s termination of the Executive’s employment with the Company or any of its subsidiaries as a result of: (i) fraud or embezzlement by the Executive in connection with or relating to the Executive’s employment with the Company or any of its affiliates; (ii) theft or misappropriation of Company’s property, information or other assets by the Executive; (iii) willful misconduct or intentional acts of dishonesty that results in material loss, damage or injury to the Company and/or its affiliates, its goodwill, business or reputation; (iv) the Executive’s conviction, guilty plea, no contest plea, or similar plea for any felony or any crime of moral turpitude, or any other crime that results in or could reasonably be expected to result in material loss, damage or injury to the Company and its affiliates, its goodwill, business or reputation; (v) the Executive’s willful failure or refusal to follow the reasonable, legal and clear directives of the Board unless the following of such directive would be a violation of applicable law (which is either incapable of cure or is not cured within thirty (30) days after the Company has provided written notice of such breach to Executive); or (vi) the Executive’s material breach of any Company policies, codes of conduct, obligations under this Agreement or his fiduciary duties to the Company (which breach is either incapable of cure or is not cured within thirty (30) days after the Company has provided written notice of such breach to Executive).</w:t>
      </w:r>
    </w:p>
    <w:p>
      <w:pPr>
        <w:spacing w:after="0" w:line="187"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WITHOUT CAUSE</w:t>
      </w:r>
      <w:r>
        <w:rPr>
          <w:rFonts w:ascii="Times New Roman" w:cs="Times New Roman" w:eastAsia="Times New Roman" w:hAnsi="Times New Roman"/>
          <w:sz w:val="18"/>
          <w:szCs w:val="18"/>
          <w:color w:val="auto"/>
        </w:rPr>
        <w:t>. The date of termination set forth in any written notice by the Company to the Executive of an involuntary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Cause (other than death or Disability). For the avoidance of doubt, the expiration of the Employment Term pursuant to the Company’s provision of a notice of non-renewal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constitute a termination of the Executive’s employment by the Company without Cause for purposes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ind w:firstLine="575"/>
        <w:spacing w:after="0" w:line="254" w:lineRule="auto"/>
        <w:tabs>
          <w:tab w:leader="none" w:pos="8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Thirty (30) days after written notice by the Executive to the Company of an alleged condition giving rise to a resignation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Reason if the Company shall have failed to cure or remedy such matter, if curable, within such thirty (30) day period. In the event that the basis for Good Reason is not curable, then such thirty (30) day cure period shall not be required, and such resignation shall be effective on the date the Executive delivers such notice. For purposes herein,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shall mean the occurrence of any of the following events, without the express written consent of the Executive: (i) the Company’s material breach of any of its obligations under this Agreement or the RSA Agreement (as defined below); (ii) any material adverse change in the Executive’s duties or authority or responsibilities, or the assignment of duties or responsibilities to the Executive materially inconsistent with his position; (iii) without limiting the generality of clause (ii) above, the Executive no longer serving as the Chief Executive Officer of the Company; (iv) reduction in the Executive’s Annual Base Salary or material reduction in target Annual Bonus (in each case, other than across-the-board reductions affecting similarly situated senior executives of the Company or any of its subsidiaries); or (v) the failure of a successor to the Company to assume the Company’s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has given written notice to the Company of the condition giving rise to Good Reason within thirty (30) days after the Executive becomes aware of its initial occurrence.</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91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WITHOUT GOOD REASON</w:t>
      </w:r>
      <w:r>
        <w:rPr>
          <w:rFonts w:ascii="Times New Roman" w:cs="Times New Roman" w:eastAsia="Times New Roman" w:hAnsi="Times New Roman"/>
          <w:sz w:val="18"/>
          <w:szCs w:val="18"/>
          <w:color w:val="auto"/>
        </w:rPr>
        <w:t>. Thirty (30) days after written notice by the Executive to the Company of the Executive’s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without Good Reason (which the Company may, in its sole discretion, make effective earlier).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 CONSEQUENCES OF TERMINATION;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56"/>
        <w:spacing w:after="0" w:line="268" w:lineRule="auto"/>
        <w:tabs>
          <w:tab w:leader="none" w:pos="9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 In the event that the Executive’s employment ends on account of the Executive’s death or Disability,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or the Executive’s estate, as the case may be, shall be entitled to the following (with the amounts due under </w:t>
      </w:r>
      <w:r>
        <w:rPr>
          <w:rFonts w:ascii="Times New Roman" w:cs="Times New Roman" w:eastAsia="Times New Roman" w:hAnsi="Times New Roman"/>
          <w:sz w:val="18"/>
          <w:szCs w:val="18"/>
          <w:u w:val="single" w:color="auto"/>
          <w:color w:val="auto"/>
        </w:rPr>
        <w:t>Sections 6(a)(i)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hereof to be paid within thirty (30) days following termination of employment, or such earlier date as may be required by applicable law):</w:t>
      </w:r>
    </w:p>
    <w:p>
      <w:pPr>
        <w:spacing w:after="0" w:line="17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Annual Base Salary earned through the date of termination;</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for any unreimbursed business expenses incurred through the date of termination that are submitted in accordance with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accrued and vested payments, benefits or fringe benefits required to be paid or provided to the Executive under the applicable plans or by law, including without limitation, payment for all accrued but unpaid vacation (collectively, </w:t>
      </w:r>
      <w:r>
        <w:rPr>
          <w:rFonts w:ascii="Times New Roman" w:cs="Times New Roman" w:eastAsia="Times New Roman" w:hAnsi="Times New Roman"/>
          <w:sz w:val="18"/>
          <w:szCs w:val="18"/>
          <w:u w:val="single" w:color="auto"/>
          <w:color w:val="auto"/>
        </w:rPr>
        <w:t>Sections 6(a)(i)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hereof shall be hereafter referred to as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and the Executive shall not be entitled to any other payments or benefits under this Agreement.</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9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CAUSE OR WITHOUT GOOD REASON</w:t>
      </w:r>
      <w:r>
        <w:rPr>
          <w:rFonts w:ascii="Times New Roman" w:cs="Times New Roman" w:eastAsia="Times New Roman" w:hAnsi="Times New Roman"/>
          <w:sz w:val="18"/>
          <w:szCs w:val="18"/>
          <w:color w:val="auto"/>
        </w:rPr>
        <w:t>. If the Executive’s employment is terminated (i)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Cause, or (ii) by the Executive without Good Reason, the Company shall pay to the Executive the Accrued Benefits, at such times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xml:space="preserve"> above, and the Executive shall not be entitled to any other payments or benefits under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firstLine="656"/>
        <w:spacing w:after="0" w:line="254"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WITHOUT CAUSE OR FOR GOOD REASON</w:t>
      </w:r>
      <w:r>
        <w:rPr>
          <w:rFonts w:ascii="Times New Roman" w:cs="Times New Roman" w:eastAsia="Times New Roman" w:hAnsi="Times New Roman"/>
          <w:sz w:val="18"/>
          <w:szCs w:val="18"/>
          <w:color w:val="auto"/>
        </w:rPr>
        <w:t>. If the Executive’s employment by the Company is terminated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Term by the Company without Cause, or, subject to the Executive Limited Waiver (defined below), by the Executive for Good Reason (each, a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xml:space="preserve">”), then the Company will provide Executive with the Accrued Benefits at such times as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and, provided that the Executive is in full compliance with his obligations under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attached hereto and Executive or the Executive’s estate (in the event of Executive’s death after becoming entitled to severance hereunder), as the case may be, executes, returns to the Company and does not revoke the release and waiver of claims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(with such changes as may be required in order to reflect or comply with applicable laws at such time, as determined by the Company in its reasonable judgment, the “</w:t>
      </w:r>
      <w:r>
        <w:rPr>
          <w:rFonts w:ascii="Times New Roman" w:cs="Times New Roman" w:eastAsia="Times New Roman" w:hAnsi="Times New Roman"/>
          <w:sz w:val="18"/>
          <w:szCs w:val="18"/>
          <w:u w:val="single" w:color="auto"/>
          <w:color w:val="auto"/>
        </w:rPr>
        <w:t>Release and Waiver</w:t>
      </w:r>
      <w:r>
        <w:rPr>
          <w:rFonts w:ascii="Times New Roman" w:cs="Times New Roman" w:eastAsia="Times New Roman" w:hAnsi="Times New Roman"/>
          <w:sz w:val="18"/>
          <w:szCs w:val="18"/>
          <w:color w:val="auto"/>
        </w:rPr>
        <w:t>”) and the Release and Waiver becomes effective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irrevocable) pursuant to its terms and conditions, all within sixty (60) days following termination of employment, then the Company shall also pay or provide the Executive or the Executive’s estate (in the event of Executive’s death after becoming entitled to severance hereunder), as the case may be, with the following: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Not in Connection with Change in Control</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6(c)(ii)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in the event of a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not within the eighteen (18) month period following the consummation of a Change in Control (as defined below), the Company shall provide Executive:</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Executive’s Annual Base Salary, less all applicable withholdings and deductions, payable in substantially equal monthly installments over the twelve (12)-month period following such termination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payments that otherwise would be paid prior to the date that the Release and Waiver becomes effective instead will be paid within five (5) business days after such effective date, and the remaining such payments will be paid over the remainder of such twelve (12)-month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period during which the Executive may execute the Release and Waiver begins in one calendar year and ends in the next calendar year, then any such payments that otherwise would be paid in such first calendar year instead will be paid during the first five (5) business days after such effective date of the Release and Waiver).</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severance amount in an amount equal to the Annual Bonus to which the Executive would be entitled for the year of termination if the Executive were employed by the Company on the last day of such year, based on actual performance against the applicable performance goals established for such bonus, pro-rated based on the number of days Executive was employed by the Company during such year, less all applicable withholdings and deductions, payable at the same time as bonuses are paid to active employees but no later than the end of the year after the year of termination.</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“applicable premium” for COBRA coverage to the extent timely elected by the Executive with respect to the medical, dental, and/or vision benefit plans maintained by the Company in which the Executive is participating on the date of such termination of</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employment for the Severance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is eligible and remains eligible for COBRA coverage under such plans;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that the Executive obtains other employment that offers the Executive health benefits, such payment for COBRA coverage by the Company under this </w:t>
      </w:r>
      <w:r>
        <w:rPr>
          <w:rFonts w:ascii="Times New Roman" w:cs="Times New Roman" w:eastAsia="Times New Roman" w:hAnsi="Times New Roman"/>
          <w:sz w:val="18"/>
          <w:szCs w:val="18"/>
          <w:u w:val="single" w:color="auto"/>
          <w:color w:val="auto"/>
        </w:rPr>
        <w:t>Section (6)(c)(i)(C)</w:t>
      </w:r>
      <w:r>
        <w:rPr>
          <w:rFonts w:ascii="Times New Roman" w:cs="Times New Roman" w:eastAsia="Times New Roman" w:hAnsi="Times New Roman"/>
          <w:sz w:val="18"/>
          <w:szCs w:val="18"/>
          <w:color w:val="auto"/>
        </w:rPr>
        <w:t xml:space="preserve"> shall immediately cease (such twelve (12)-month or shorter period, the “</w:t>
      </w:r>
      <w:r>
        <w:rPr>
          <w:rFonts w:ascii="Times New Roman" w:cs="Times New Roman" w:eastAsia="Times New Roman" w:hAnsi="Times New Roman"/>
          <w:sz w:val="18"/>
          <w:szCs w:val="18"/>
          <w:u w:val="single" w:color="auto"/>
          <w:color w:val="auto"/>
        </w:rPr>
        <w:t>COBRA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Notwithstanding the foregoing, if at any time the Company determines that its payment of COBRA premiums on the Executive’s behalf would result in a violation of applicable law (including but not limited to the Patient Protection and Affordable Care Act, as amended by the 2010 Health Care and Education Reconciliation Act), then in lieu of paying COBRA premiums pursuant to this </w:t>
      </w:r>
      <w:r>
        <w:rPr>
          <w:rFonts w:ascii="Times New Roman" w:cs="Times New Roman" w:eastAsia="Times New Roman" w:hAnsi="Times New Roman"/>
          <w:sz w:val="18"/>
          <w:szCs w:val="18"/>
          <w:u w:val="single" w:color="auto"/>
          <w:color w:val="auto"/>
        </w:rPr>
        <w:t>Section (6)(c)(i)(C)</w:t>
      </w:r>
      <w:r>
        <w:rPr>
          <w:rFonts w:ascii="Times New Roman" w:cs="Times New Roman" w:eastAsia="Times New Roman" w:hAnsi="Times New Roman"/>
          <w:sz w:val="18"/>
          <w:szCs w:val="18"/>
          <w:color w:val="auto"/>
        </w:rPr>
        <w:t>, the Company shall pay the Executive on the last day of each remaining month of the COBRA Payment Period, a fully taxable cash payment equal to the COBRA applicable premium for such month, subject to applicable tax withholding for the remainder of the COBRA Payment Period.</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Any and all other payments or awards that Executive has earned and are vested for which Company has yet to provide or pay.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firstLine="1304"/>
        <w:spacing w:after="0" w:line="284" w:lineRule="auto"/>
        <w:tabs>
          <w:tab w:leader="none" w:pos="15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in Connection with Change in Control</w:t>
      </w:r>
      <w:r>
        <w:rPr>
          <w:rFonts w:ascii="Times New Roman" w:cs="Times New Roman" w:eastAsia="Times New Roman" w:hAnsi="Times New Roman"/>
          <w:sz w:val="18"/>
          <w:szCs w:val="18"/>
          <w:color w:val="auto"/>
        </w:rPr>
        <w:t>. In the event of a Qualifying Termination prior to the eighteen (18) 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consummation of a Change in Control, the Company shall provide Executive:</w:t>
      </w:r>
    </w:p>
    <w:p>
      <w:pPr>
        <w:spacing w:after="0" w:line="158" w:lineRule="exact"/>
        <w:rPr>
          <w:rFonts w:ascii="Times New Roman" w:cs="Times New Roman" w:eastAsia="Times New Roman" w:hAnsi="Times New Roman"/>
          <w:sz w:val="18"/>
          <w:szCs w:val="18"/>
          <w:color w:val="auto"/>
        </w:rPr>
      </w:pPr>
    </w:p>
    <w:p>
      <w:pPr>
        <w:jc w:val="both"/>
        <w:ind w:firstLine="1952"/>
        <w:spacing w:after="0" w:line="267" w:lineRule="auto"/>
        <w:tabs>
          <w:tab w:leader="none" w:pos="21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severance in an amount equal to the sum of (x) the Annual Base Salary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target Annual Bonus, less all applicable withholdings and deductions, payable in a single lump sum payment on the first regular payroll date of the Company that is sixty (60) days following the date of Executive’s termination.</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“applicable premium” for COBRA coverage on the terms and conditions set forth in </w:t>
      </w:r>
      <w:r>
        <w:rPr>
          <w:rFonts w:ascii="Times New Roman" w:cs="Times New Roman" w:eastAsia="Times New Roman" w:hAnsi="Times New Roman"/>
          <w:sz w:val="18"/>
          <w:szCs w:val="18"/>
          <w:u w:val="single" w:color="auto"/>
          <w:color w:val="auto"/>
        </w:rPr>
        <w:t>Section 6(c)(i)(C)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payments or awards that the Executive has earned and vested and for which Company has yet to provide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w:t>
      </w:r>
    </w:p>
    <w:p>
      <w:pPr>
        <w:spacing w:after="0" w:line="204" w:lineRule="exact"/>
        <w:rPr>
          <w:rFonts w:ascii="Times New Roman" w:cs="Times New Roman" w:eastAsia="Times New Roman" w:hAnsi="Times New Roman"/>
          <w:sz w:val="18"/>
          <w:szCs w:val="18"/>
          <w:color w:val="auto"/>
        </w:rPr>
      </w:pPr>
    </w:p>
    <w:p>
      <w:pPr>
        <w:ind w:firstLine="1304"/>
        <w:spacing w:after="0" w:line="284"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Limited Waiver for Good Reason</w:t>
      </w:r>
      <w:r>
        <w:rPr>
          <w:rFonts w:ascii="Times New Roman" w:cs="Times New Roman" w:eastAsia="Times New Roman" w:hAnsi="Times New Roman"/>
          <w:sz w:val="18"/>
          <w:szCs w:val="18"/>
          <w:color w:val="auto"/>
        </w:rPr>
        <w:t>. In the event of a Change in Control, the Executive agrees that the Executive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to terminate this Agreement for Good Reason within the three (3) month period following the date of a Change in Control.</w:t>
      </w:r>
    </w:p>
    <w:p>
      <w:pPr>
        <w:spacing w:after="0" w:line="156"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 PAYMENT</w:t>
      </w:r>
      <w:r>
        <w:rPr>
          <w:rFonts w:ascii="Times New Roman" w:cs="Times New Roman" w:eastAsia="Times New Roman" w:hAnsi="Times New Roman"/>
          <w:sz w:val="18"/>
          <w:szCs w:val="18"/>
          <w:color w:val="auto"/>
        </w:rPr>
        <w:t>. In connection with the consummation of a Change in Control, the Executive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one-time cash payment (the “</w:t>
      </w: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payable in a lump sum on the first regular payroll date following such Change in Control, regardless of whether the Executive’s employment is terminated in connection therewith. The amount of the Change in Control Payment shall be determined as follows: (a) to the extent that the aggregate value realized by Executive in respect of equity proceeds received pursuant to the RSA Agreement in connection with such Change in Control equals or exceeds $2,100,000, no Change in Control Payment shall be payable; or (b) to the extent that the aggregate value realized by the Executive in respect of equity proceeds received pursuant to the RSA Agreement in connection with such Change in Control is less than $2,100,000, the Change in Control Payment shall equal the difference between $2,100,000 and such aggregate RSA Agreement proceeds value, subject to a maximum Change in Control Payment of $2,100,000. For purposes of the foregoing, the value realized by Executive in respect of the RSA Agreement on a Change in Control shall be determined in good faith by the Board, consistent with the transaction consideration, the RSA Agreement, and applicable equity award terms. Additionally, for of this Agreement, the term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will have the meaning set forth in the Equity Incentive Plan. For the avoidance of doubt, no transaction shall be considered a Change in Control hereunder unless it also constitutes a “change in control event” within the meaning of Code Section 409A (as defined below).</w:t>
      </w:r>
    </w:p>
    <w:p>
      <w:pPr>
        <w:spacing w:after="0" w:line="190" w:lineRule="exact"/>
        <w:rPr>
          <w:sz w:val="20"/>
          <w:szCs w:val="20"/>
          <w:color w:val="auto"/>
        </w:rPr>
      </w:pPr>
    </w:p>
    <w:p>
      <w:pPr>
        <w:jc w:val="both"/>
        <w:ind w:firstLine="656"/>
        <w:spacing w:after="0" w:line="268" w:lineRule="auto"/>
        <w:tabs>
          <w:tab w:leader="none" w:pos="84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PROPERTY</w:t>
      </w:r>
      <w:r>
        <w:rPr>
          <w:rFonts w:ascii="Times New Roman" w:cs="Times New Roman" w:eastAsia="Times New Roman" w:hAnsi="Times New Roman"/>
          <w:sz w:val="18"/>
          <w:szCs w:val="18"/>
          <w:color w:val="auto"/>
        </w:rPr>
        <w:t>. Within ten (10) days after the Executive’s termination of employment with the Company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the Executive shall return all property belonging to the Company or its affiliates (including, but not limited to, any Company-provided laptops, computers, cell phones, wireless electronic mail devices or other equipment, or documents and property belonging to the Company).</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6" w:lineRule="auto"/>
        <w:tabs>
          <w:tab w:leader="none" w:pos="8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All corporate action on the part of the Company and its directors necessary for the authorization,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by the Company, and the performance of all of the Company’s obligations under this Agreement has been taken.</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This Agreement, when executed and delivered by the Company, will constitute valid and legally binding obligations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enforceable in accordance with its terms.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3" w:name="page44"/>
    <w:bookmarkEnd w:id="43"/>
    <w:p>
      <w:pPr>
        <w:jc w:val="both"/>
        <w:ind w:firstLine="656"/>
        <w:spacing w:after="0" w:line="257" w:lineRule="auto"/>
        <w:tabs>
          <w:tab w:leader="none" w:pos="82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ASSIGNMENTS</w:t>
      </w:r>
      <w:r>
        <w:rPr>
          <w:rFonts w:ascii="Times New Roman" w:cs="Times New Roman" w:eastAsia="Times New Roman" w:hAnsi="Times New Roman"/>
          <w:sz w:val="18"/>
          <w:szCs w:val="18"/>
          <w:color w:val="auto"/>
        </w:rPr>
        <w:t>. This Agreement is personal to each of the parties hereto and no party may assign or delegate any rights 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without first obtaining the written consent of the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assign this Agreement to any successor to all or substantially all of the business and/or assets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the Company and any successor to its business and/or assets, which assumes and agrees to perform the duties and obligations of the Company under this Agreement by operation of law or otherwise.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For purposes of this Agreement, notices and all other communications provided for in this Agreement shall be in writing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have been duly given (a) on the date of delivery, if delivered by hand, (b) on the date of transmission, if delivered by confirmed facsimile on a business day or, if not so delivered, then on the next business day, (c) on the date of delivery, if delivered by guaranteed overnight delivery service, or mailed by registered or certified mail, return receipt requested, postage prepaid, addressed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If to the Executive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most recent address in the books and records of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If to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SpringBig Holdings,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621 NW 53rd Street, Ste. 500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Jason Moos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jmoos@springbig.com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Benesch Friedlander Coplan &amp; Aronoff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1301 Avenue of the Americas, Floor 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Aslam Rawoof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arawoof@beneschlaw.com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to such other address or fax number as either party may have furnished to the other in writing in accordance herewith.</w:t>
      </w:r>
    </w:p>
    <w:p>
      <w:pPr>
        <w:spacing w:after="0" w:line="221" w:lineRule="exact"/>
        <w:rPr>
          <w:sz w:val="20"/>
          <w:szCs w:val="20"/>
          <w:color w:val="auto"/>
        </w:rPr>
      </w:pPr>
    </w:p>
    <w:p>
      <w:pPr>
        <w:jc w:val="both"/>
        <w:ind w:firstLine="656"/>
        <w:spacing w:after="0" w:line="268" w:lineRule="auto"/>
        <w:tabs>
          <w:tab w:leader="none" w:pos="90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HEADINGS; INCONSISTENCY</w:t>
      </w:r>
      <w:r>
        <w:rPr>
          <w:rFonts w:ascii="Times New Roman" w:cs="Times New Roman" w:eastAsia="Times New Roman" w:hAnsi="Times New Roman"/>
          <w:sz w:val="18"/>
          <w:szCs w:val="18"/>
          <w:color w:val="auto"/>
        </w:rPr>
        <w:t>. The section headings used in this Agreement are included solely for convenience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or be used in connection with, the interpretation of this Agreement. In the event of any conflict or inconsistency between the terms and conditions of this Agreement and any offer letter, form, award, plan or policy of the Company, the terms of this Agreement shall govern and control.</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4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Each provision of this Agreement will be construed as separable and divisible from every other provision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one (1) provision will not limit the enforceability, in whole or in part, of any other provision. In the event that a court or administrative body of competent jurisdiction holds any provision of this Agreement to be invalid, illegal, void or less than fully enforceable as to time, scope or otherwise, then such provision will be construed by limiting and reducing it so that such provision is valid, legal and fully enforceable while preserving to the greatest extent permissible the original intent of the parties; the remaining terms and conditions of this Agreement will not be affected by such alteration, and will remain in full force and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firstLine="656"/>
        <w:spacing w:after="0" w:line="286" w:lineRule="auto"/>
        <w:tabs>
          <w:tab w:leader="none" w:pos="93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instrument.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1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ARBITRATION</w:t>
      </w:r>
      <w:r>
        <w:rPr>
          <w:rFonts w:ascii="Times New Roman" w:cs="Times New Roman" w:eastAsia="Times New Roman" w:hAnsi="Times New Roman"/>
          <w:sz w:val="18"/>
          <w:szCs w:val="18"/>
          <w:color w:val="auto"/>
        </w:rPr>
        <w:t>. This Agreement, the rights and obligations of the parties hereto, and all claims or disputes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thereto, shall be governed by and construed in accordance with the laws of the State of Florida, without regard to the choice of law provisions thereof. Except for disputes arising under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hereof, which shall be decided pursuant to the terms of those Exhibits, any dispute arising from this Agreement or Executive’s employment with the Company, including but not limited to claims for wrongful termination; violation of Title VII of the Civil Rights Act of 1964 as amended; violations of the Americans with Disabilities Act of 1990; violations of Florida law; or claims for violations of any state law or rule or regulation regarding discrimination, harassment or other wrongful conduct, shall be decided solely and exclusively in a final and binding arbitration administered by the JAMS in Miami, Florida, in accordance with the JAMS Employment Arbitration Rules in effect at the time of the filing of the demand for arbitration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a copy of which is available at http://www.jamsadr.com/rules-employment-arbitration/. The arbitrator shall be a single arbitrator with expertise in employment disputes, mutually selected by the parties, or, if the parties are unable to agree thereon, a single arbitrator with expertise in employment disputes designated by the Miami office of JAMS. The arbitrator shall have the authority to award all remedies available in a court of law. The Company, as applicable, shall pay the arbitrator’s fees and all fees and costs to administer the arbitration. The parties acknowledge and agree that its obligations to arbitrate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survive the termination of the Agreement and continue after the termination of the employment relationship between the Executive and the Company. By agreeing to arbitrate disputes arising out of the Executive’s employment, the Executive and the Company voluntarily and irrevocably waive any and all rights to have any such dispute heard or resolved in any forum other than through arbitration as provided herein. This waiver specifically includes, but is not limited to, any right to trial by jury. Notwithstanding anything to the contrary set forth herein,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will not apply to claims for workers’ compensation or unemployment benefits and will not apply to claims for injunctive relief, or any other claim by the Company under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All arbitration proceedings hereunder shall be confidential, except: (a) to the extent the parties otherwise agree in writing; (b) as may be otherwise appropriate in response to a request from a government agency, subpoena, or legal process; (c) if the substantive law of the State of Florida (without giving effect to choice of law principles) provides to the contrary; or (d) as is necessary in a court proceeding to enforce, correct, modify or vacate the arbitrator’s award or decision (and in the case of this subpart (d), the parties agree to take all reasonable steps to ensure that the arbitrator’s award, decision or findings and all other documents, pleadings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1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agreed to in writing and signed by the Executive and an authorized representative of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the exhibits attached hereto collectively set forth the entire agreement of the parties hereto in respect of the subject matter contained herein and supersede any and all prior agreements or understandings between the Executive and the Company with respect to the subject matter hereof (including, without limitation, the Executive’s offer letter dated March 13, 2025). However, nothing herein shall supersede any obligations Executive may have under any restrictive covenants in favor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nondisclosure, noncompetition non-solicitation and intellectual property assignment), which shall continue to survive following the Effective Date in addition to any restrictive covenant obligation herein (including any exhibit hereto). No agreements or representations, oral or otherwise, express or implied, with respect to the subject matter hereof have been made by either party which are not expressly set forth in this Agreement. In the event of any conflict or inconsistency between the terms and conditions of this Agreement and any offer letter, form, award, plan or policy of the Company, the terms of this Agreement shall govern and control. Notwithstanding the foregoing, in the event of any conflict or inconsistency between this Agreement (including the exhibits hereto) and the Company’s Equity Incentive Plan (or any award agreement under such plans to which Executive is a party) regarding (1) the definitions of “Cause” or “Disability,” (2) the treatment of equity-based awards in connection with a termination of employment (whether before or after a Change in Control) or (3) the governing law and dispute resolution procedures, then such provisions in this Agreement (including the exhibits hereto) shall control.</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together with the RSA Agreement fully supersedes the Offer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b w:val="1"/>
          <w:bCs w:val="1"/>
          <w:color w:val="auto"/>
        </w:rPr>
        <w:t>16. TAX MATTERS.</w:t>
      </w:r>
    </w:p>
    <w:p>
      <w:pPr>
        <w:spacing w:after="0" w:line="225" w:lineRule="exact"/>
        <w:rPr>
          <w:sz w:val="20"/>
          <w:szCs w:val="20"/>
          <w:color w:val="auto"/>
        </w:rPr>
      </w:pPr>
    </w:p>
    <w:p>
      <w:pPr>
        <w:ind w:right="20" w:firstLine="656"/>
        <w:spacing w:after="0" w:line="286" w:lineRule="auto"/>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may withhold from any and all amounts payable under this Agreement or otherwise such federal,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taxes as may be required to be withheld pursuant to any applicable law or regulation.</w:t>
      </w:r>
    </w:p>
    <w:p>
      <w:pPr>
        <w:spacing w:after="0" w:line="15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COMPLIANCE.</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are exempt from or comply with Internal Revenue Code Section 409A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prevent the imposition of taxes or penalties under Code Section 409A, a termination of employment shall not be deemed to have occurred for purposes of any provision of this Agreement providing for the payment of any amount or benefit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18"/>
          <w:szCs w:val="18"/>
          <w:u w:val="single" w:color="auto"/>
          <w:color w:val="auto"/>
        </w:rPr>
        <w:t>Section 17(b)(ii)</w:t>
      </w:r>
      <w:r>
        <w:rPr>
          <w:rFonts w:ascii="Times New Roman" w:cs="Times New Roman" w:eastAsia="Times New Roman" w:hAnsi="Times New Roman"/>
          <w:sz w:val="18"/>
          <w:szCs w:val="18"/>
          <w:color w:val="auto"/>
        </w:rPr>
        <w:t xml:space="preserve"> (whether they would have otherwise been payable in a single sum or in installments in the absence of such delay) shall be paid or reimbursed to the Executive in a lump sum, and all remaining payments and benefits due under this Agreement shall be paid or provided in accordance with the normal payment dates specified for them herein.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ind w:firstLine="1304"/>
        <w:spacing w:after="0" w:line="266" w:lineRule="auto"/>
        <w:tabs>
          <w:tab w:leader="none" w:pos="16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the Executive’s right to receive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(A) in no event shall any payment or benefit under this Agreement that constitutes “nonqualified deferred compensation” for purposes of Code Section 409A be subject to offset by any other amount unless otherwise permitted by Code Section 409A and (B) in no event shall the Company or any of its affiliates have any liability to the Executive with respect to any additional taxes, penalties or interest that may be imposed on Executive under Code Section 409A.</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7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NONDISCLOSURE &amp; ASSIGNMENT OF INVENTIONS AGREEMENT AND NONCOMPETITION COVENANT</w:t>
      </w:r>
      <w:r>
        <w:rPr>
          <w:rFonts w:ascii="Times New Roman" w:cs="Times New Roman" w:eastAsia="Times New Roman" w:hAnsi="Times New Roman"/>
          <w:sz w:val="18"/>
          <w:szCs w:val="18"/>
          <w:color w:val="auto"/>
        </w:rPr>
        <w:t>. As a condition of continuing employment and as a condition to be eligible to receive the severance compensation set forth herein (even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ultimately entitled to receive such severance compensation), Executive agrees to execute and abide by the Nonsolicitation, Nondisclosure &amp; Assignment of Inventions Agreement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Noncompetition Covenant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execution of the Covenants by Executive is a condition precedent to this Agreement becoming effective. The Covenants contain provisions that are intended by the parties to survive and do survive termination of this Agreement and the Executives employment hereunder according to the terms of those Covenants.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5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Executive will be insured under the Company’s Director’s and Officer’s Liability Insurance to the extent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maintains such a policy and will be entitled to indemnification by the Company and/ pursuant to the terms and conditions of the Company’s certificate of incorporation and by-laws to the same extent as the Company’s executive officers and directors, and pursuant to an Indemnification Agreement substantially similar to those executed by the Company in favor of its directors and executive officers.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1" w:lineRule="auto"/>
        <w:tabs>
          <w:tab w:leader="none" w:pos="91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GOLDEN PARACHUTE</w:t>
      </w:r>
      <w:r>
        <w:rPr>
          <w:rFonts w:ascii="Times New Roman" w:cs="Times New Roman" w:eastAsia="Times New Roman" w:hAnsi="Times New Roman"/>
          <w:sz w:val="18"/>
          <w:szCs w:val="18"/>
          <w:color w:val="auto"/>
        </w:rPr>
        <w:t>. Anything in this Agreement to the contrary notwithstanding, if any payment or benefit Executive would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otherwise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would (a) constitute a “parachute payment” within the meaning of Internal Revenue Code Section 280G (“</w:t>
      </w: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 xml:space="preserve">”) and (b) but for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be subject to the excise tax imposed by Internal Revenue Code Section 4999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shall be equal to the Reduced Amount. For purposes of this Agreement,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xml:space="preserve">” shall be either (i) the largest portion of the Payment that would result in no portion of the Payment being subject to the Excise Tax or (ii)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be made in accordance with the following order of priority: (A) Full Credit Payments (as defined below) that are payable in cash, (B) non-cash Full Credit Payments that are taxable, (C) non-cash Full Credit Payments that are not taxable, (D) Partial Credit Payments (as defined below), (E) non-cash employee welfare benefits and (F) stock options whose exercise price exceeds the fair market value of the optioned stock.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For purposes of this Agreement, “</w:t>
      </w:r>
      <w:r>
        <w:rPr>
          <w:rFonts w:ascii="Times New Roman" w:cs="Times New Roman" w:eastAsia="Times New Roman" w:hAnsi="Times New Roman"/>
          <w:sz w:val="18"/>
          <w:szCs w:val="18"/>
          <w:u w:val="single" w:color="auto"/>
          <w:color w:val="auto"/>
        </w:rPr>
        <w:t>Full Credit Payment</w:t>
      </w:r>
      <w:r>
        <w:rPr>
          <w:rFonts w:ascii="Times New Roman" w:cs="Times New Roman" w:eastAsia="Times New Roman" w:hAnsi="Times New Roman"/>
          <w:sz w:val="18"/>
          <w:szCs w:val="18"/>
          <w:color w:val="auto"/>
        </w:rPr>
        <w:t>” means a payment, distribution or benefit, whether paid or payable or distributed or distributable pursuant to the terms of this Agreement or otherwise, that if reduced in value by one dollar reduces the amount of the parachute payment (as defined in Code Section 280G) by one dollar, determined as if such payment, distribution or benefit had been paid or distributed on the date of the event triggering the excise tax. For purposes of this Agreement, “</w:t>
      </w:r>
      <w:r>
        <w:rPr>
          <w:rFonts w:ascii="Times New Roman" w:cs="Times New Roman" w:eastAsia="Times New Roman" w:hAnsi="Times New Roman"/>
          <w:sz w:val="18"/>
          <w:szCs w:val="18"/>
          <w:u w:val="single" w:color="auto"/>
          <w:color w:val="auto"/>
        </w:rPr>
        <w:t>Partial Credit Payment</w:t>
      </w:r>
      <w:r>
        <w:rPr>
          <w:rFonts w:ascii="Times New Roman" w:cs="Times New Roman" w:eastAsia="Times New Roman" w:hAnsi="Times New Roman"/>
          <w:sz w:val="18"/>
          <w:szCs w:val="18"/>
          <w:color w:val="auto"/>
        </w:rPr>
        <w:t xml:space="preserve">” means any payment, distribution or benefit that is not a Full Credit Payment. In no event shall Executive have any discretion with respect to the ordering of payment reductions. Unless the Company and Executive otherwise agree in writing, any determination required under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will be made in writing by a certified professional services firm selected by the Company, the Company’s legal counsel or such other person or entity to which the parties mutually agree, provided that such firm shall be a nationally recognized accounting or tax advisory firm with expertise in Section 280G matters, and Executive shall have the right to approve the selection of such firm (such approval not to be unreasonably withheld) (the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xml:space="preserve">”), whose determination will be conclusive and binding upon Executive and the Company for all purposes. For purposes of making the calculations required by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the Firm may make reasonable assumptions and approximations concerning applicable taxes and may rely on reasonable, good faith interpretations concerning the application of Code Section 280G and Internal Revenue Code Section 4999. The Company and Executive will furnish to the Firm such information and documents as the Firm may reasonably request in order to make a determination under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The Company will bear all costs the Firm may reasonably incur in connection with any calculations contemplated by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Firm shall make its determination under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no later than fifteen (15) business days prior to the consummation of any transaction that would constitute a Change in Control, or, if later, within fifteen (15) business days after the date on which the Payment becomes determinable. The Firm shall provide its detailed calculations and supporting analysis to both the Company and Executive simultaneously. Executive shall have the right, at Executive’s own expense, to engage a separate nationally recognized accounting or tax advisory firm to review and verify the Firm’s calculations, and to present any objections to the Firm within ten (10) business days of receipt of such calculations. The Firm shall consider such objections in good faith and issue a revised determination if warranted.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avoidance of doubt, in determining whether any Payment constitutes a “parachute payment” under Code Section 280G, the Firm shall take into account all applicable exclusions and exceptions, including without limitation: (i) the exclusion under Treasury Regulation Section 1.280G-1 Q&amp;A-9 for reasonable compensation for personal services to be rendered by Executive on or after the date of the Change in Control (including, without limitation, any post-closing consulting, integration, or transition services obligations); (ii) the exclusion under Code Section 280G(b)(4)(B) and Treasury Regulation Section 1.280G-1 Q&amp;A-40 through Q&amp;A-44 for payments made under a covenant not to compete, to the extent such payments represent reasonable compensation for the agreement to refrain from performing services, as determined by an independent valuation; and (iii) the exclusion for any portion of payments that are not contingent on a Change in Control within the meaning of Treasury Regulation Section 1.280G-1 Q&amp;A-22 through Q&amp;A-27, including equity that has vested prior to the Change in Control solely by passage of time.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agrees to use commercially reasonable efforts to cooperate with Executive in structuring any Payments in a manner designed to minimize the application of the Excise Tax, including (without limitation) obtaining independent appraisals of the value of any non-competition obligations, accelerating the vesting of equity awards prior to any anticipated Change in Control where doing so would reduce or eliminate parachute payment treatment, and engaging 280G tax advisors sufficiently in advance of any anticipated Change in Control transaction to permit adequate planning.</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CLAWBACK/RECOVERY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incentive payments hereunder shall be subject to recoupment in accordance with any clawback policy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 or any affiliate) is required to adopt pursuant to the listing standards of such national securities exchange or association on which the Company’s securities are listed or as is otherwise required by the Dodd-Frank Wall Street Reform and Consumer Protection Act or other applicable law, rule, regulation or listing requirement. No recovery of compensation under such a clawback policy will be an event giving rise to the Executive’s right to voluntary terminate employment with Good Reason.</w:t>
      </w:r>
    </w:p>
    <w:p>
      <w:pPr>
        <w:spacing w:after="0" w:line="179" w:lineRule="exact"/>
        <w:rPr>
          <w:sz w:val="20"/>
          <w:szCs w:val="20"/>
          <w:color w:val="auto"/>
        </w:rPr>
      </w:pPr>
    </w:p>
    <w:p>
      <w:pPr>
        <w:ind w:right="20" w:firstLine="656"/>
        <w:spacing w:after="0" w:line="286" w:lineRule="auto"/>
        <w:tabs>
          <w:tab w:leader="none" w:pos="91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AGREEMENTS</w:t>
      </w:r>
      <w:r>
        <w:rPr>
          <w:rFonts w:ascii="Times New Roman" w:cs="Times New Roman" w:eastAsia="Times New Roman" w:hAnsi="Times New Roman"/>
          <w:sz w:val="18"/>
          <w:szCs w:val="18"/>
          <w:color w:val="auto"/>
        </w:rPr>
        <w:t>. On the Effective Date, the Company and Executive shall execute and deliver that certain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and between the Company and Executive dated as of the Effective Date (the “</w:t>
      </w:r>
      <w:r>
        <w:rPr>
          <w:rFonts w:ascii="Times New Roman" w:cs="Times New Roman" w:eastAsia="Times New Roman" w:hAnsi="Times New Roman"/>
          <w:sz w:val="18"/>
          <w:szCs w:val="18"/>
          <w:u w:val="single" w:color="auto"/>
          <w:color w:val="auto"/>
        </w:rPr>
        <w:t>RSA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executed this Agreement as of the date first written above.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Jason A.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JARET CHRISTOPHER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NONSOLICITATION, NONDISCLOSURE &amp; ASSIGNMENT OF INVENTIONS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Employee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executes this Nonsolicitation, Nondisclosure &amp; Assignment of Inventions Agreement (the “Agreement”) in consideration of, and a material inducement for, the Company’s (as defined below) continuing relationship with Employee, whether by employment, contractor, or in advisory or consulting capacities, or otherwise, and in consideration of receiving any form of compensation or benefit from or in the Company, and the entering into of the Executive Employment Agreement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Employee understands and agrees that this Agreement shall remain in effect and survive any and all changes in Employee’s job duties, titles and compensation during Employee’s relationship with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SpringBig Holdings, Inc., a Delaware corporation, and any entity controlled by, controlling, or under common control with it, including affiliates and subsidiaries. “Control” for this purpose means the direct or indirect possession of the power to direct or cause the direction of the management and policies of an entity, whether through ownership, by contract or otherwise.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shall mean any person, firm, association, corporation or any other legal entity that is engaged in a business that is competitive with any aspect of the Business of the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of the Company</w:t>
      </w:r>
      <w:r>
        <w:rPr>
          <w:rFonts w:ascii="Times New Roman" w:cs="Times New Roman" w:eastAsia="Times New Roman" w:hAnsi="Times New Roman"/>
          <w:sz w:val="18"/>
          <w:szCs w:val="18"/>
          <w:color w:val="auto"/>
        </w:rPr>
        <w:t>” shall mean the business of providing messaging, customer loyalty management and/or customer experiences in the cannabis industry, including, without limitation, the research, design, development, marketing, sales, operations, maintenance and commercial exploitation pertaining to the operation of, and providing products and services for such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information or a compilation of information, in any form (tangible or intangible or otherwise), that is not generally known to competitors or the public, which Company considers to be confidential and/or proprietary, including but not limited to: research and development; techniques; methodologies; strategies; product information, designs, prototypes and technical specifications; algorithms, source codes, object codes, trade secrets or technical data; training materials methods; internal policies and procedures; marketing plans and strategies; pricing and cost policies; customer, supplier, vendor and partner lists and accounts; customer and supplier preferences; contract terms and rates; financial data, information, reports, and forecasts; inventions, improvements and other intellectual property; product plans or proposed product plans; know-how; designs, processes or formulas; software and website applications; computer passwords; market or sales information, plans or strategies; business plans, prospects and opportunities (including, but not limited to, possible acquisitions or dispositions of businesses or facilities); information concerning existing or potential customers, partners or vendors. Confidential Information shall also mean information of or related to Company’s current or potential customers, vendors or partners that is considered to be confidential or proprietary to the applicable customer, vendor or partner.</w:t>
      </w:r>
    </w:p>
    <w:p>
      <w:pPr>
        <w:spacing w:after="0" w:line="191"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does not include: information in the public domain (other than as a result of disclosure directly or indirectly by Employee); information approved in writing for unrestricted release by Company; information that Employee discovered outside of the course and scope of his employment with Company; or information produced or disclosed pursuant to a valid court order, provided Employee has given Company written notice of such request such that Company has an actual, reasonable opportunity to defend, limit or protect such production or disclosure.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right="20" w:firstLine="8"/>
        <w:spacing w:after="0" w:line="268" w:lineRule="auto"/>
        <w:tabs>
          <w:tab w:leader="none" w:pos="1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Duty of Loyalty</w:t>
      </w:r>
      <w:r>
        <w:rPr>
          <w:rFonts w:ascii="Times New Roman" w:cs="Times New Roman" w:eastAsia="Times New Roman" w:hAnsi="Times New Roman"/>
          <w:sz w:val="18"/>
          <w:szCs w:val="18"/>
          <w:color w:val="auto"/>
        </w:rPr>
        <w:t>. During the period of Employee’s relationship with the Company, Employee will devote Employee’s best efforts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Employee agrees not to provide any services to any Competing Business or engage in any conduct which may create an actual or appear to create a conflict of interest, without the expressed, written permission of the Company.</w:t>
      </w:r>
    </w:p>
    <w:p>
      <w:pPr>
        <w:spacing w:after="0" w:line="170" w:lineRule="exact"/>
        <w:rPr>
          <w:rFonts w:ascii="Times New Roman" w:cs="Times New Roman" w:eastAsia="Times New Roman" w:hAnsi="Times New Roman"/>
          <w:sz w:val="18"/>
          <w:szCs w:val="18"/>
          <w:color w:val="auto"/>
        </w:rPr>
      </w:pPr>
    </w:p>
    <w:p>
      <w:pPr>
        <w:jc w:val="both"/>
        <w:ind w:firstLine="8"/>
        <w:spacing w:after="0" w:line="257" w:lineRule="auto"/>
        <w:tabs>
          <w:tab w:leader="none" w:pos="1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Customers, Clients or Vendors</w:t>
      </w:r>
      <w:r>
        <w:rPr>
          <w:rFonts w:ascii="Times New Roman" w:cs="Times New Roman" w:eastAsia="Times New Roman" w:hAnsi="Times New Roman"/>
          <w:sz w:val="18"/>
          <w:szCs w:val="18"/>
          <w:color w:val="auto"/>
        </w:rPr>
        <w:t>. During the period of Employee’s relationship with the Company and for a period of twelve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after termination of such relationship (for any reason), Employee shall not directly or indirectly, induce or attempt to induce any of the individuals or entities actually known to Employee to be the Company’s customers, clients, vendors or partners, or prospective customers, clients, vendors or partners, to reduce or cease doing business with the Company or its affiliates, or interfere with the relationship between any such customer, client, vendor, partner or prospective customers and the Company or any of its affiliate (including making any negative statements or communications concerning the Company or any of its affiliates).</w:t>
      </w:r>
    </w:p>
    <w:p>
      <w:pPr>
        <w:spacing w:after="0" w:line="182" w:lineRule="exact"/>
        <w:rPr>
          <w:rFonts w:ascii="Times New Roman" w:cs="Times New Roman" w:eastAsia="Times New Roman" w:hAnsi="Times New Roman"/>
          <w:sz w:val="18"/>
          <w:szCs w:val="18"/>
          <w:color w:val="auto"/>
        </w:rPr>
      </w:pPr>
    </w:p>
    <w:p>
      <w:pPr>
        <w:jc w:val="both"/>
        <w:ind w:firstLine="8"/>
        <w:spacing w:after="0" w:line="255" w:lineRule="auto"/>
        <w:tabs>
          <w:tab w:leader="none" w:pos="1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Employees and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of Employee’s relationship with the Company and for a period of twelve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months after termination of such relationship (for any reason), Employee will not directly or indirectly either for him/herself or for any other person, partnership, legal entity, or enterprise: (i) solicit, in person or through supervision or control of others, an employee, advisor, consultant or contractor of the Company for the purpose of inducing or encouraging the employee, advisor, consultant or contractor to leave his or her relationship with the Company or to change an existing business relationship with the Company or to change an existing business relationship to the detriment of the Company, (ii) hire away an employee, advisor, consultant or contractor of the Company; or (iii) help another person or entity hire away a Company employee, advisor, consultant or contractor. Notwithstanding the foregoing, the placement of general advertisements offering employment, other service relationships or activities that are not specifically targeted toward employees, advisors, consultants or contractors of the Company shall not be deemed to be a breach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8"/>
        <w:spacing w:after="0" w:line="257"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 of Customer, Partner and Vendor Information</w:t>
      </w:r>
      <w:r>
        <w:rPr>
          <w:rFonts w:ascii="Times New Roman" w:cs="Times New Roman" w:eastAsia="Times New Roman" w:hAnsi="Times New Roman"/>
          <w:sz w:val="18"/>
          <w:szCs w:val="18"/>
          <w:color w:val="auto"/>
        </w:rPr>
        <w:t>. Employee understands and agrees that it is essential to the Company’s success that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customer, partner, and vendor information is deemed and treated as Confidential Information and a confidential trade secret. Employee will not, directly or indirectly, either for him/herself or for any other person, partnership, legal entity, or enterprise, use or disclose any such customer, partner, or vendor information that constitutes Confidential Information or a confidential trade secret, except as may be necessary in the normal conduct of the Company’s business for the specific customer, partner, or vendor. Employee agrees that at the end of Employee’s relationship with the Company, or upon request by the Company, Employee will return to the Company any materials containing such Confidential Information or confidential trade secret.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both"/>
        <w:ind w:firstLine="8"/>
        <w:spacing w:after="0" w:line="26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 of Confidential Information</w:t>
      </w:r>
      <w:r>
        <w:rPr>
          <w:rFonts w:ascii="Times New Roman" w:cs="Times New Roman" w:eastAsia="Times New Roman" w:hAnsi="Times New Roman"/>
          <w:sz w:val="18"/>
          <w:szCs w:val="18"/>
          <w:color w:val="auto"/>
        </w:rPr>
        <w:t>. All such Confidential Information is (and will be) the exclusive property of the Company, and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during or after Employee’s employment: (i) use any Confidential Information for any purpose that is not authorized by the Company; (ii) disclose any Confidential Information to any person or entity, except as authorized by the Company in connection with Employee’s job duties; or (iii) remove or transfer Confidential Information from the Company’s premises or systems except as authorized by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termination of Employee’s relationship (for any reason), or upon the request of the Company, Employee will immediately surrender to the Company all Company property in Employee’s possession, custody, or control, including any and all documents, electronic information, and materials of any nature containing any Confidential Information, without retaining any copies.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understands that the Company is now and may hereafter be subject to non-disclosure or confidentiality agreements with third persons that require the Company to protect or refrain from use of Confidential Information. Employee agrees to respect and be bound by the terms of such agreements in the event Employee has access to such Confidential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Employee understands that Confidential Information is never to be used or disclosed by Employee, as provided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If a temporal limitation on Employee’s obligation not to use or disclose such information is required under applicable law, and the Agreement or its restriction(s) cannot otherwise be enforced, Employee agrees and the Company agrees that the five (5) year period after the date Employee’s employment ends (or such longer period as may be permitted under applicable law) will be the temporal limitation relevant to the contested restriction;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sentence will not apply to trade secrets protected without temporal limitation under applicable law.</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anything to the contrary in this Agreement or any other agreement between the Company and Employee, nothing in this Agreement shall limit Employee’s right to discuss Employee’s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his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 Employee agrees to take all reasonable steps to ensure that the Company’s Confidential Information is not made public during any such disclosure. Pursuant to 18 U.S.C. Section 1833(b), Employee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188" w:lineRule="exact"/>
        <w:rPr>
          <w:sz w:val="20"/>
          <w:szCs w:val="20"/>
          <w:color w:val="auto"/>
        </w:rPr>
      </w:pPr>
    </w:p>
    <w:p>
      <w:pPr>
        <w:jc w:val="both"/>
        <w:ind w:firstLine="8"/>
        <w:spacing w:after="0" w:line="253"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of Inventions</w:t>
      </w:r>
      <w:r>
        <w:rPr>
          <w:rFonts w:ascii="Times New Roman" w:cs="Times New Roman" w:eastAsia="Times New Roman" w:hAnsi="Times New Roman"/>
          <w:sz w:val="18"/>
          <w:szCs w:val="18"/>
          <w:color w:val="auto"/>
        </w:rPr>
        <w:t>. Employee expressly understands and agrees that any and all right or interest Employee obtains in any designs, trade secrets,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specifications and technical data, know-how and show-how, customer and vendor lists, marketing plans, pricing policies, inventions, concepts, ideas, expressions, discoveries, improvements and patent or patent rights which are authored, conceived, devised, developed, reduced to practice, or otherwise obtained by him during the term of his employment under the Employment Agreement or at any time prior thereto which relate to or arise out of his employment with the Company and which relate to the business of the Company are expressly regarded as “</w:t>
      </w:r>
      <w:r>
        <w:rPr>
          <w:rFonts w:ascii="Times New Roman" w:cs="Times New Roman" w:eastAsia="Times New Roman" w:hAnsi="Times New Roman"/>
          <w:sz w:val="18"/>
          <w:szCs w:val="18"/>
          <w:i w:val="1"/>
          <w:iCs w:val="1"/>
          <w:color w:val="auto"/>
        </w:rPr>
        <w:t>works for hire</w:t>
      </w:r>
      <w:r>
        <w:rPr>
          <w:rFonts w:ascii="Times New Roman" w:cs="Times New Roman" w:eastAsia="Times New Roman" w:hAnsi="Times New Roman"/>
          <w:sz w:val="18"/>
          <w:szCs w:val="18"/>
          <w:color w:val="auto"/>
        </w:rPr>
        <w:t>” or works invented or authored during the course and scope of employment or engagement, whether as an adviser, consultant, officer, executive, director or other capacity (the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Employee hereby assigns to the Company the sole and exclusive right to such Inventions. Any assignment of Inventions (and all intellectual property rights with respect thereto) hereunder includes an assignment of all “Moral Rights” (which shall mean all paternity, integrity, disclosure, withdrawal, special and any other similar rights recognized by the laws of any jurisdiction or country). To the extent such Moral Rights cannot be assigned to the Company and to the extent the following is allowed by the laws in any country where Moral Rights exist, Employee hereby unconditionally and irrevocably waives the enforcement of such Moral Rights, and all claims and causes of action of any kind against the Company or related to the Company’s customers, with respect to such rights. Employee further acknowledges and agrees that neither his successors-in-interest nor legal heirs retain any Moral Rights in any Inventions (and any intellectual property rights with respect thereto).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Employee agrees to disclose all Inventions fully and in writing to the Company promptly after development, conception, invention, creation or discovery of the same, and at any time upon request. Employee will provide all assistance that the Company reasonably requests to secure or enforce its rights throughout the world with respect to Inventions, including signing all necessary documents to memorialize those rights and take any other action which the Company shall deem necessary to assign to and vest completely in the Company, to perfect trademark, copyright and patent protection with respect to, or to otherwise protect the Company’s trade secrets and proprietary interest in such Inventions. The obligations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continue beyond the termination of Employee’s relationship with respect to such Inventions conceived of, reduced to practice, or developed by Employee during the term of this Agreement. The Company agrees to pay any and all copyright, trademark and patent fees and expenses or other costs incurred by Employee for any assistance rendered to the Company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the Company is unable, after reasonable effort, to secure Employee’s signature on any patent application, copyright or trademark registration or other analogous protection relating to an Invention, Employee hereby irrevocably designates and appoints the Company and its duly authorized officer and agent as his agent and attorney-in-fact, to act for and on his behalf and stead to execute and file any such application or applications and to do all other lawfully permitted acts to further the prosecution and issuance of letters patent, copyright or other analogous protection thereon with the same legal force and effect as if executed by Employee.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Attachment A to this Agreement, Employee has listed all Inventions that relate to the business of the Company that Employee (alone or jointly with others) made, conceived, or first reduced to practice by Employee prior to Employee’s execution of this Agreement, and in which Employee has any property interest or claim of ownership. If no such Inventions are listed in said Attachment, Employee represents that Employee has no such Inventions.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Employee is a citizen of and subject to law of a state which provides a limitation on invention assignments, then this Agreement’s assignment shall not include inventions excluded under such law.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apply to inventions that Employee develops entirely on his own time without using the Company’s equipment, supplies, facilities, or trade secret information, except to the extent such inventions (a) relate at the time of conception or reduction to practice of the invention to the Company’s business, or actual or demonstrably anticipated research or development of the Company; or (b) result from any work performed by Employee for the Company.</w:t>
      </w:r>
    </w:p>
    <w:p>
      <w:pPr>
        <w:spacing w:after="0" w:line="176" w:lineRule="exact"/>
        <w:rPr>
          <w:sz w:val="20"/>
          <w:szCs w:val="20"/>
          <w:color w:val="auto"/>
        </w:rPr>
      </w:pPr>
    </w:p>
    <w:p>
      <w:pPr>
        <w:jc w:val="both"/>
        <w:ind w:firstLine="8"/>
        <w:spacing w:after="0" w:line="259"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Absence of Conflicting Agreements</w:t>
      </w:r>
      <w:r>
        <w:rPr>
          <w:rFonts w:ascii="Times New Roman" w:cs="Times New Roman" w:eastAsia="Times New Roman" w:hAnsi="Times New Roman"/>
          <w:sz w:val="18"/>
          <w:szCs w:val="18"/>
          <w:color w:val="auto"/>
        </w:rPr>
        <w:t>. Employee understands that the Company does not desire to acquire from Employee any trade secrets,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confidential business information that Employee may have acquired from others, and Employee agrees not to disclose any such information to the Company or otherwise utilize any such information in connection with Employee’s performance of duties with the Company. Employee represents that Employee is not bound by any agreement or any other existing or previous business relationship which purports to conflict or impact the full performance of Employee’s duties and obligations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8"/>
        <w:spacing w:after="0" w:line="257"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 Upon Breach</w:t>
      </w:r>
      <w:r>
        <w:rPr>
          <w:rFonts w:ascii="Times New Roman" w:cs="Times New Roman" w:eastAsia="Times New Roman" w:hAnsi="Times New Roman"/>
          <w:sz w:val="18"/>
          <w:szCs w:val="18"/>
          <w:color w:val="auto"/>
        </w:rPr>
        <w:t>. Employee agrees that any action that violates this Agreement would cause the Company irreparable harm for which monetary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are inadequate. Accordingly, in the event of a breach, or threatened breach, the Company shall be entitled to an injunction restraining such breach or threatened breach, or requiring specific performance, in addition to any and all rights and remedies at law and equity. The Company shall not be obligated to present additional evidence of irreparable harm or the insufficiency of monetary damages and, to the extent permitted by law or under applicable court rule, does not need to post a bond or other surety. Nothing herein shall be construed as prohibiting the Company from pursuing any other remedy available to the Company for such breach or threatened breach.</w:t>
      </w:r>
    </w:p>
    <w:p>
      <w:pPr>
        <w:spacing w:after="0" w:line="182"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Jurisdiction, Venue and Choice of Law</w:t>
      </w:r>
      <w:r>
        <w:rPr>
          <w:rFonts w:ascii="Times New Roman" w:cs="Times New Roman" w:eastAsia="Times New Roman" w:hAnsi="Times New Roman"/>
          <w:sz w:val="18"/>
          <w:szCs w:val="18"/>
          <w:color w:val="auto"/>
        </w:rPr>
        <w:t>. The parties hereby mutually agree to the exclusive jurisdiction of the 15th Judicial Circuit Court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Florida or the United States District Court for the Southern District of Florida for any dispute arising hereunder. Accordingly, with respect to any such court action, Employee (a) submits to the personal jurisdiction of such courts; (b) consents to service of process by regular mail to his last known address; and (c) waives any other requirement (whether imposed by statute, rule of court, or otherwise) with respect to personal jurisdiction or service of process. If either party hereto commences a legal action or other proceeding against the other party concerning a dispute arising from or relating to this Agreement outside of Florida, such commencing party shall reimburse such other party for its or his reasonable attorneys’ fees, costs and expenses if such other party prevails in staying, transferring, dismissing or otherwise defending such action or proceeding based on the location of the action or proceeding, regardless of whether such fees, costs and expenses are incurred in the forum where such commencing party commenced the action or in a Florida forum. This Agreement shall be governed by the internal substantive laws of Florida, without regard to the doctrine of conflicts of law.</w:t>
      </w:r>
    </w:p>
    <w:p>
      <w:pPr>
        <w:spacing w:after="0" w:line="188" w:lineRule="exact"/>
        <w:rPr>
          <w:rFonts w:ascii="Times New Roman" w:cs="Times New Roman" w:eastAsia="Times New Roman" w:hAnsi="Times New Roman"/>
          <w:sz w:val="18"/>
          <w:szCs w:val="18"/>
          <w:color w:val="auto"/>
        </w:rPr>
      </w:pPr>
    </w:p>
    <w:p>
      <w:pPr>
        <w:jc w:val="both"/>
        <w:ind w:firstLine="8"/>
        <w:spacing w:after="0" w:line="259" w:lineRule="auto"/>
        <w:tabs>
          <w:tab w:leader="none" w:pos="2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and acknowledges that Employee is an employee “at will” and nothing in this Agreement is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employment for any period of time. The parties enter this Agreement with the understanding that Employee’s position, title, duties and responsibilities could change in a material way in the future and, in light of that understanding, the parties intend that this Agreement shall follow Employee throughout the entire course of Employee’s employment with the Company (and thereafter), and such subsequent material change shall not affect the enforceability or validity of this Agreement.</w:t>
      </w:r>
    </w:p>
    <w:p>
      <w:pPr>
        <w:spacing w:after="0" w:line="179" w:lineRule="exact"/>
        <w:rPr>
          <w:rFonts w:ascii="Times New Roman" w:cs="Times New Roman" w:eastAsia="Times New Roman" w:hAnsi="Times New Roman"/>
          <w:sz w:val="18"/>
          <w:szCs w:val="18"/>
          <w:color w:val="auto"/>
        </w:rPr>
      </w:pPr>
    </w:p>
    <w:p>
      <w:pPr>
        <w:jc w:val="both"/>
        <w:ind w:firstLine="8"/>
        <w:spacing w:after="0" w:line="262" w:lineRule="auto"/>
        <w:tabs>
          <w:tab w:leader="none" w:pos="2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Property</w:t>
      </w:r>
      <w:r>
        <w:rPr>
          <w:rFonts w:ascii="Times New Roman" w:cs="Times New Roman" w:eastAsia="Times New Roman" w:hAnsi="Times New Roman"/>
          <w:sz w:val="18"/>
          <w:szCs w:val="18"/>
          <w:color w:val="auto"/>
        </w:rPr>
        <w:t>. Employee agrees that, within ten (10) days of the time of termination of Employee’s employment (for any reason), Employee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immediately to the Company, in good condition, all property of the Company. This return of property includes, without limitation, a return of physical property (such as computer, phone or other mobile devices, credit card, promotional materials, etc.) and intangible property (such as computer passwords).</w:t>
      </w:r>
    </w:p>
    <w:p>
      <w:pPr>
        <w:spacing w:after="0" w:line="176" w:lineRule="exact"/>
        <w:rPr>
          <w:rFonts w:ascii="Times New Roman" w:cs="Times New Roman" w:eastAsia="Times New Roman" w:hAnsi="Times New Roman"/>
          <w:sz w:val="18"/>
          <w:szCs w:val="18"/>
          <w:color w:val="auto"/>
        </w:rPr>
      </w:pPr>
    </w:p>
    <w:p>
      <w:pPr>
        <w:jc w:val="both"/>
        <w:ind w:firstLine="8"/>
        <w:spacing w:after="0" w:line="253" w:lineRule="auto"/>
        <w:tabs>
          <w:tab w:leader="none" w:pos="29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Litigation and Regulatory Cooperation</w:t>
      </w:r>
      <w:r>
        <w:rPr>
          <w:rFonts w:ascii="Times New Roman" w:cs="Times New Roman" w:eastAsia="Times New Roman" w:hAnsi="Times New Roman"/>
          <w:sz w:val="18"/>
          <w:szCs w:val="18"/>
          <w:color w:val="auto"/>
        </w:rPr>
        <w:t>. During and after Employee’s relationship with the Company, Employee shall cooperate fully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in the defense or prosecution of any claims or actions now in existence or that may be brought in the future against or on behalf of the Company by/against third parties that relate to events or occurrences that transpired while Employee was employed by the Company. Employee’s full cooperation in connection with such claims or actions shall include, but not be limited to, being available to meet with counsel to prepare for discovery or trial and to act as a witness at mutually convenient times. During and after Employee’s employment, Employee also shall cooperate fully with the Company in connection with any investigation or review of any federal, state, or local regulatory authority as any such investigation or review relates to events or occurrences that transpired while Employee was employed by the Company, unless such claim is brought by Employee. As consideration for Employee’s services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Company shall remit to Employee, as agreed between the parties in advance, (a) reasonable expenses related to such cooperation, and</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 hourly rate equal to Employee’s last base salary divided by 2,000.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firstLine="8"/>
        <w:spacing w:after="0" w:line="262" w:lineRule="auto"/>
        <w:tabs>
          <w:tab w:leader="none" w:pos="2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Communication to Future Employers</w:t>
      </w:r>
      <w:r>
        <w:rPr>
          <w:rFonts w:ascii="Times New Roman" w:cs="Times New Roman" w:eastAsia="Times New Roman" w:hAnsi="Times New Roman"/>
          <w:sz w:val="18"/>
          <w:szCs w:val="18"/>
          <w:color w:val="auto"/>
        </w:rPr>
        <w:t>. Employee agrees to communicate the contents of all post-relationship obligations in this Agreement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Competing Business that Employee intends to be employed by, associated with, or represent. Employee understands and agrees that the Company may, in its discretion, also share any post-employment obligation set out in this Agreement with any future employer or potential employer of Employee, or any entity which seeks to be associated with Employee for Employee’s services.</w:t>
      </w:r>
    </w:p>
    <w:p>
      <w:pPr>
        <w:spacing w:after="0" w:line="176" w:lineRule="exact"/>
        <w:rPr>
          <w:rFonts w:ascii="Times New Roman" w:cs="Times New Roman" w:eastAsia="Times New Roman" w:hAnsi="Times New Roman"/>
          <w:sz w:val="18"/>
          <w:szCs w:val="18"/>
          <w:color w:val="auto"/>
        </w:rPr>
      </w:pPr>
    </w:p>
    <w:p>
      <w:pPr>
        <w:jc w:val="both"/>
        <w:ind w:firstLine="8"/>
        <w:spacing w:after="0" w:line="255" w:lineRule="auto"/>
        <w:tabs>
          <w:tab w:leader="none" w:pos="2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Any waiver by the Company of a breach of any provision of this Agreement shall not operate or be construed as a waiver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breach hereof. If a court determines that one or more of the provisions contained in this Agreement shall be invalid or unenforceable, such court shall construe, reform or otherwise revise such provision(s) so as to render it/them enforceable to the maximum extent allowed by law, without invalidating the remaining provisions of this Agreement. The obligations of each party hereto under this Agreement shall survive the termination of Employee’s relationship with the Company regardless of the manner of such termination to the extent expressly provided in, or logically would be expected under, this Agreement. All covenants and agreements hereunder shall inure to the benefit of and be enforceable by the successors of the Company. This Agreement amends, supplants and supersedes any agreement previously executed between the parties regarding the subject matter of this Agreement, other than the obligations of Executive in favor of the Company with respect to any restrictive covenants, which shall continue in effect in addition to the terms hereof.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recognizes and agrees that the enforcement of this Agreement is necessary, among other things, to ensure the preservation, protection and continuity of Confidential Information, trade secrets and goodwill of the Company. Employee agrees that, due to the proprietary nature of the Business of the Company and relationships with others, the post-employment restrictions set forth above are reasonable as to duration and scope.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is advised to consult with an attorney before entering into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Employee and the Company have executed this Nonsolicitation, Nondisclosure and Assignment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Agreement as an instrument under seal as of this 1 day of April, 2026.</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Jason A.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JARET CHRISTOPHER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NONSOLICITATION, NONDISCLOSURE &amp; ASSIGNMENT OF INVENTIONS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List of all inventions or improvements (referred to in Section 6) made by Employee, alone or jointly with others, prior to the execution of the Nonsolicitation, Nondisclosure &amp; Assignment of Inventions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060" w:type="dxa"/>
            <w:vAlign w:val="bottom"/>
            <w:gridSpan w:val="3"/>
            <w:vMerge w:val="restart"/>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Right, Title or Interest</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Identifying Number or</w:t>
            </w:r>
          </w:p>
        </w:tc>
        <w:tc>
          <w:tcPr>
            <w:tcW w:w="1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060" w:type="dxa"/>
            <w:vAlign w:val="bottom"/>
            <w:gridSpan w:val="3"/>
            <w:vMerge w:val="continue"/>
          </w:tcPr>
          <w:p>
            <w:pPr>
              <w:spacing w:after="0"/>
              <w:rPr>
                <w:sz w:val="17"/>
                <w:szCs w:val="17"/>
                <w:color w:val="auto"/>
              </w:rPr>
            </w:pPr>
          </w:p>
        </w:tc>
        <w:tc>
          <w:tcPr>
            <w:tcW w:w="3800" w:type="dxa"/>
            <w:vAlign w:val="bottom"/>
            <w:gridSpan w:val="4"/>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Date Acquired</w:t>
            </w:r>
          </w:p>
        </w:tc>
        <w:tc>
          <w:tcPr>
            <w:tcW w:w="3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Brief Description of</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4"/>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auto"/>
              </w:rPr>
              <w:t>(If none, please write “NONE”.)</w:t>
            </w:r>
          </w:p>
        </w:tc>
        <w:tc>
          <w:tcPr>
            <w:tcW w:w="3800" w:type="dxa"/>
            <w:vAlign w:val="bottom"/>
            <w:gridSpan w:val="4"/>
            <w:vMerge w:val="continue"/>
          </w:tcPr>
          <w:p>
            <w:pPr>
              <w:spacing w:after="0"/>
              <w:rPr>
                <w:sz w:val="17"/>
                <w:szCs w:val="17"/>
                <w:color w:val="auto"/>
              </w:rPr>
            </w:pPr>
          </w:p>
        </w:tc>
        <w:tc>
          <w:tcPr>
            <w:tcW w:w="3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Inventions or Improvements</w:t>
            </w:r>
          </w:p>
        </w:tc>
        <w:tc>
          <w:tcPr>
            <w:tcW w:w="0" w:type="dxa"/>
            <w:vAlign w:val="bottom"/>
          </w:tcPr>
          <w:p>
            <w:pPr>
              <w:spacing w:after="0"/>
              <w:rPr>
                <w:sz w:val="1"/>
                <w:szCs w:val="1"/>
                <w:color w:val="auto"/>
              </w:rPr>
            </w:pPr>
          </w:p>
        </w:tc>
      </w:tr>
      <w:tr>
        <w:trPr>
          <w:trHeight w:val="453"/>
        </w:trPr>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NONE</w:t>
            </w:r>
          </w:p>
        </w:tc>
        <w:tc>
          <w:tcPr>
            <w:tcW w:w="10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Employee: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NONCOMPETITION COVENANT</w:t>
      </w:r>
    </w:p>
    <w:p>
      <w:pPr>
        <w:spacing w:after="0" w:line="229" w:lineRule="exact"/>
        <w:rPr>
          <w:sz w:val="20"/>
          <w:szCs w:val="20"/>
          <w:color w:val="auto"/>
        </w:rPr>
      </w:pPr>
    </w:p>
    <w:p>
      <w:pPr>
        <w:jc w:val="both"/>
        <w:ind w:left="328" w:hanging="328"/>
        <w:spacing w:after="0" w:line="252"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of your relationship with Company, you, Jaret Christopher (hereinafter “you”), agree to not, anywhere within the Restricted Area (defined below), acting individually, or as an owner, shareholder, partner, employee, contractor, agent or otherwise (other than on behalf of Company): provide services to a Competing Business (defined below). For a period of twelve (12) months following termination of your relationship with Company (for any reason), you agree to not, anywhere within the Restricted Area, acting individually, or as an owner, shareholder, partner, employee, contractor, agent or otherwise (other than on behalf of Company): directly or indirectly, provide services to a Competing Business that relate to any aspect of the Business of the Company (i.e., providing messaging and customer experiences in the cannabis industry) for which you performed services or received Confidential Information at any time. The foregoing shall not be construed to preclude you from: (i) owning up to one percent (1%) of the outstanding stock of a publicly held corporation that constitutes or is affiliated with a Competing Business; or (ii) becoming a passive shareholder, partner, employee or member of a private equity, venture capital or other investment firm. The foregoing shall, however, be construed to specifically prevent you from (x) acting individually, or as an owner, shareholder, partner, employee, contractor, agent or otherwise (other than on behalf of Company) anywhere within the Restricted Area, during the period of your relationship with the Company and for a period of twelve (12) months following termination of your relationship with Company (for any reason other than referenced below in section (b)), and (y) providing services that relate to any aspect of the Business of the Company for any private equity, venture capital or other investment firm that owns or controls a Competing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may work for a division, entity or subgroup of any companies that engage in a Competing Business (a “</w:t>
      </w:r>
      <w:r>
        <w:rPr>
          <w:rFonts w:ascii="Times New Roman" w:cs="Times New Roman" w:eastAsia="Times New Roman" w:hAnsi="Times New Roman"/>
          <w:sz w:val="18"/>
          <w:szCs w:val="18"/>
          <w:u w:val="single" w:color="auto"/>
          <w:color w:val="auto"/>
        </w:rPr>
        <w:t>Separate BU</w:t>
      </w:r>
      <w:r>
        <w:rPr>
          <w:rFonts w:ascii="Times New Roman" w:cs="Times New Roman" w:eastAsia="Times New Roman" w:hAnsi="Times New Roman"/>
          <w:sz w:val="18"/>
          <w:szCs w:val="18"/>
          <w:color w:val="auto"/>
        </w:rPr>
        <w:t>”) so long as such Separate BU does not engage in any Competing Business and you do not provide any service, investment advice or consulting related service to any Competing Business. To the extent that you act individually, or as an owner, shareholder, partner, employee, contractor, agent or otherwise and provide services unrelated to the Business of the Company for any Separate BU or private equity, venture capital or other investment firm at any time during such twelve (12) month period, you agree to institute an ethical screen that prevents your access to communications, information and participation in all services related to the Business of the Company.</w:t>
      </w:r>
    </w:p>
    <w:p>
      <w:pPr>
        <w:spacing w:after="0" w:line="189" w:lineRule="exact"/>
        <w:rPr>
          <w:sz w:val="20"/>
          <w:szCs w:val="20"/>
          <w:color w:val="auto"/>
        </w:rPr>
      </w:pPr>
    </w:p>
    <w:p>
      <w:pPr>
        <w:jc w:val="both"/>
        <w:ind w:left="388"/>
        <w:spacing w:after="0" w:line="261" w:lineRule="auto"/>
        <w:rPr>
          <w:sz w:val="20"/>
          <w:szCs w:val="20"/>
          <w:color w:val="auto"/>
        </w:rPr>
      </w:pPr>
      <w:r>
        <w:rPr>
          <w:rFonts w:ascii="Times New Roman" w:cs="Times New Roman" w:eastAsia="Times New Roman" w:hAnsi="Times New Roman"/>
          <w:sz w:val="18"/>
          <w:szCs w:val="18"/>
          <w:color w:val="auto"/>
        </w:rPr>
        <w:t>You and the Company agree that the opportunity for post-employment benefits and compensation set forth in the Executive Employment Agreement dated April 1, 2026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constitute mutually-agreed upon consideration for this Noncompetition Covenant, and is fair and reasonable consideration for this Noncompetition Covenant, in addition to continued employment and other benefits received. Such consideration is specifically designated and you acknowledge the receipt and sufficiency of the consideration</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both"/>
        <w:ind w:left="968" w:hanging="320"/>
        <w:spacing w:after="0" w:line="266" w:lineRule="auto"/>
        <w:tabs>
          <w:tab w:leader="none" w:pos="9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any entity controlled by, controlling, or under common control with SpringBig Holdings, Inc., a Delaware corporation, including affiliates and subsidiaries. “Control” means the direct or indirect possession of the power to direct or cause the direction of the management and policies of an entity, whether through ownership, by contract or otherwise.</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shall mean the entire United States since the Business of the Company encompasses the entire United States, of which you acknowledge and agree.</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3" w:right="339" w:bottom="1440" w:gutter="0" w:footer="0" w:header="0"/>
        </w:sectPr>
      </w:pPr>
    </w:p>
    <w:bookmarkStart w:id="58" w:name="page59"/>
    <w:bookmarkEnd w:id="58"/>
    <w:p>
      <w:pPr>
        <w:ind w:left="968" w:hanging="320"/>
        <w:spacing w:after="0" w:line="282"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shall mean any person, firm, association, corporation or any other legal entity that is engaged in a business that is competitive with any aspect of the Business of the Company.</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of the Company</w:t>
      </w:r>
      <w:r>
        <w:rPr>
          <w:rFonts w:ascii="Times New Roman" w:cs="Times New Roman" w:eastAsia="Times New Roman" w:hAnsi="Times New Roman"/>
          <w:sz w:val="18"/>
          <w:szCs w:val="18"/>
          <w:color w:val="auto"/>
        </w:rPr>
        <w:t>” shall mean providing messaging, customer loyalty management and/or and customer experiences in the cannabis industry, including, without limitation, the research, design, development, marketing, sales, operations, maintenance and commercial exploitation pertaining to the operation of, and providing products and services for such business.</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information or a compilation of information, in any form (tangible or intangible or otherwise), that is not generally known to competitors or the public, which Company considers to be confidential and/or proprietary, including but not limited to: research and development; techniques; methodologies; strategies; product information, designs, prototypes and technical specifications; algorithms, source codes, object codes, trade secrets or technical data; training materials methods; internal policies and procedures; marketing plans and strategies; pricing and cost policies; customer, supplier, vendor and partner lists and accounts; customer and supplier preferences; contract terms and rates; financial data, information, reports, and forecasts; inventions, improvements and other intellectual property; product plans or proposed product plans; know-how; designs, processes or formulas; software and website applications; computer passwords; market or sales information, plans or strategies; business plans, prospects and opportunities (including, but not limited to, possible acquisitions or dispositions of businesses or facilities); information concerning existing or potential customers, partners or vendors. Confidential Information shall also mean information of or related to Company’s current or potential customers, vendors or partners that is considered to be confidential or proprietary to the applicable customer, vendor or partner.</w:t>
      </w:r>
    </w:p>
    <w:p>
      <w:pPr>
        <w:spacing w:after="0" w:line="191" w:lineRule="exact"/>
        <w:rPr>
          <w:rFonts w:ascii="Times New Roman" w:cs="Times New Roman" w:eastAsia="Times New Roman" w:hAnsi="Times New Roman"/>
          <w:sz w:val="18"/>
          <w:szCs w:val="18"/>
          <w:color w:val="auto"/>
        </w:rPr>
      </w:pPr>
    </w:p>
    <w:p>
      <w:pPr>
        <w:jc w:val="both"/>
        <w:ind w:left="96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Information does not include: information in the public domain (other than as a result of disclosure by you); approved in writing for unrestricted release by Company; information that Employee discovered outside of the course and scope of his employment with Company; or produced or disclosed pursuant to a valid court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you have given Company written notice of such request such that Company has an actual, reasonable opportunity to defend, limit or protect such production or disclosure.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communicate the contents of all post-relationship obligations in this Noncompetition Covenant to any Competing Business that you intend to be employed by, associated with, or represent. You understand and agree that the Company may, in its discretion, also share any post-relationship obligation in this Noncompetition Covenant with any future (or potential) employer or association that is a Competing Business that seeks to be associated with you or employ you for your services.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enforcement of the Noncompetition Covenant is necessary, among other things, to ensure the preservation, protection and continuity of the Company’s Confidential Information, trade secrets and goodwill of the Company. You agree that, due to the proprietary nature of the Business of the Company and relationships with others, the post-employment restrictions set forth above are reasonable as to duration and scope.</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59" w:name="page60"/>
    <w:bookmarkEnd w:id="59"/>
    <w:p>
      <w:pPr>
        <w:jc w:val="both"/>
        <w:ind w:left="328" w:hanging="328"/>
        <w:spacing w:after="0" w:line="256"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any action that violates this Noncompetition Covenant would cause the Company irreparable harm for which monetary damages are inadequate. Accordingly, in the event of a breach, or threatened breach, of this Noncompetition Covenant, the Company shall be entitled to an injunction restraining such breach or threatened breach, or requiring specific performance, in addition to any and all rights and remedies at law and equity. The Company shall not be obligated to present additional evidence of irreparable harm or the insufficiency of monetary damages and, to the extent permitted by law or under applicable court rule, does not need to post a bond or other surety. Nothing herein shall be construed as prohibiting the Company from pursuing any other remedy available to the Company for such breach or threatened breach.</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hereby mutually agree to the exclusive jurisdiction of the 15th Judicial Circuit Court of the State of Florida or the United States District Court for the Southern District of Florida for any dispute arising hereunder. Accordingly, with respect to any such court action, you</w:t>
      </w:r>
    </w:p>
    <w:p>
      <w:pPr>
        <w:jc w:val="both"/>
        <w:ind w:left="328"/>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submit to the personal jurisdiction of such courts; (b) consent to service of process by regular mail to your last known address; and (c) waive any other requirement (whether imposed by statute, rule of court, or otherwise) with respect to personal jurisdiction or service of process. If either party hereto commences a legal action or other proceeding against the other party hereto concerning a dispute arising from or relating to this Noncompetition Covenant outside of Florida, such commencing party shall reimburse such other party for its or his reasonable attorneys’ fees, costs and expenses if such other party prevails in staying, transferring, dismissing or otherwise defending such action or proceeding based on the location of the action or proceeding, regardless of whether such fees, costs and expenses are incurred in the forum where such commencing party commenced the action or in a Florida forum. This Noncompetition Covenant shall be governed by the internal substantive laws of Florida, without regard to the doctrine of conflicts of law.</w:t>
      </w:r>
    </w:p>
    <w:p>
      <w:pPr>
        <w:spacing w:after="0" w:line="19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you or Company to insist upon strict performance of this Noncompetition Covenant irrespective of the length of time for which such failure continues, shall not be a waiver of such party’s rights herein. No term or provision of this Noncompetition Covenant may be waived unless such waiver is in writing.</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determines that one or more of the provisions contained in this Noncompetition Covenant shall be invalid or unenforceable, such court shall construe, reform or otherwise revise such provision(s) so as to render it/them enforceable to the maximum extent allowed by law, without invalidating the remaining provisions of this Noncompetition Covenant.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obligations under this Noncompetition Covenant shall survive the termination of your relationship with the Company regardless of the manner of such termination.</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to the Company under the Noncompetition Covenant shall inure to the benefit of, and be enforceable by, the successors or assigns of Company.</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you are employed “at will” and nothing in this Noncompetition Covenant is intended to guarantee employment for any period of time. Even though the nature of your relationship with the Company is as an “at will” employee, the parties enter this Noncompetition Covenant with the understanding that your position, title, duties and responsibilities could change in a material way in the future and, in light of that understanding, the parties intend that this Noncompetition Covenant shall follow you throughout the entire course of your employment with the Company, and such subsequent material change shall not affect the enforceability or validity of this Noncompetition Covenant.</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60" w:name="page61"/>
    <w:bookmarkEnd w:id="6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Employee and the Company have executed this Non-Competition Covenant as an instrument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seal as of this April 1, 2026.</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Jason A.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JARET CHRISTOPHER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AND WAIVER OF CLAIMS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consideration for the end of employment and termination benefits set forth in the Executive Employment Agreement, to which this form is attached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including without limitation the end of employment/termination benefits set forth in Section 6 thereof, among other things, Jaret Christopher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and SpringBig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enter into the following release and waiver of claims (the “Release”). For the avoidance of doubt, nothing in this Release is intended or shall be construed to waive, release or limit in any manner the end of employment / termination benefits described in the Employment Agreement.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Executive hereby generally and completely release the Company, its present and future affiliates, and its and their current and former directors, officers, employees, shareholders, partners, agents, attorneys, predecessors, successors, parent and subsidiary entities, insurers, affiliates, family and assigns (collectively, the “Released Parties”) of and from any and all claims, liabilities and obligations, both known and unknown, that arise out of or are in any way related to events, acts, conduct, or omissions occurring prior to or on the date that Executive signs this Release (collectively,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The Released Claims include, but are not limited to: (i) all claims arising out of or in any way related to the Executive’s employment with the Company, or the termination of that employment; (ii) all claims related to the Executive’s compensation or benefits from the Company, including salary, bonuses, retention bonuses, commissions, vacation pay, expense reimbursements, severance pay, fringe benefits, stock, stock options, or any other ownership interests or equity-based awards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(as amended), the federal Family and Medical Leave Act (as amended), the federal Age Discrimination in Employment Act of 1967 (as amended)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the Employee Retirement Income Security Act of 1974 (as amended), the National Labor Relations Act of 1935 (as amended), and any similar applicable state laws, including those of the State of Florida and any other federal, state or local civil or human rights law or any other local, state or federal law, regulation or ordinance, and any public policy, contract, tort, or common law. Notwithstanding the foregoing, the following are not included in the Released Claims: (i) any rights or claims for indemnification that Executive may have pursuant to any written indemnification agreement with the Company, the charter, bylaws, or operating agreements of the Company, or under applicable law; (ii) any rights which are not waivable as a matter of law; (iii) any claims arising from the breach of this Release; or (iv) any claims related to any Accrued Benefits or other vested benefits or any severance benefits under the Executive Employment Agreement payable or due to the Executive on account of the end of the Executive’s employment, the Executive’s termination under the terms of the Executive Employment Agreement, or the Executive’s execution of this Release. For the avoidance of doubt, nothing in this Release shall prevent Executive from challenging the validity of the Release in a legal or administrative proceeding. Nothing in this Release shall prevent the Executive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exercising any rights pursuant to Section 7 of the National Labor Relations Act. The Executive further understands that this Release does not limit the Executive’s ability to voluntarily communicate with any Government Agencies or otherwise participate in any investigation or proceeding that may be conducted by any Government Agency, including providing documents or other information, without notice to the Company. While this Release does not limit the Executive’s right to receive an award for information provided to the Securities and Exchange Commission, the Executive understands and agrees that the Executive is otherwise waiving, to the fullest extent permitted by law, any and all rights the Executive may have to individual relief based upon any claims arising out of any proceeding or investigation before one or more of the Government Agencies. If any such claim is not subject to release, to the extent permitted by law, the Executive waives any right or ability to be a class or collective action representative or to otherwise participate in any putative or certified class, collective or multi-party action or proceeding based on such a claim in which any of the Released Parties is a party. Notwithstanding anything to the contrary set forth herein, this Release does not abrogate the Executive’s existing rights to vested benefits under any Company benefit plan, the Executive Employment Agreement or any plan or agreement related to equity ownership in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acknowledge that I am knowingly and voluntarily waiving and releasing any rights I may have under the ADEA (“ADEA Waiver”). I also acknowledge that (i) the consideration given for the ADEA Waiver is in addition to anything of value to which I was already entitled; and (ii) that, subject only to Company providing the end of employment / termination benefits described in the first paragraph of this Release, I have been paid for all time worked, has received all the leave, leaves of absence and leave benefits and protections for which I am eligible, and have not suffered any on-the-job injury for which I have not already filed a claim. I affirm that all of the decisions of the Released Parties regarding my pay and benefits through the date of my execution of this Release were not discriminatory based on age, disability, race, color, sex, religion, national origin or any other classification protected by law. I affirm that I have not filed or caused to be filed, and am not presently a party to, a claim against any of the Released Parties. I further affirm that I have no known workplace injuries or occupational diseases. I acknowledge and affirm that I have not been retaliated against for reporting any allegation of corporate fraud or other wrongdoing by any of the Released Parties, or for exercising any rights protected by law, including any rights protected by the Fair Labor Standards Act, the Family Medical Leave Act or any related statute or local leave or disability accommodation laws, or any applicable state workers’ compensation law. I have been advised by this writing, as required by the ADEA, that: (a) my waiver and release do not apply to any claims that may arise after I sign this Release; (b) I should consult with an attorney prior to executing this release; (c) I have twenty-one (21) days within which to consider this release (although I may choose to voluntarily execute this release earlier); (d) I have seven (7) days following the execution of this release to revoke this Release (in a written revocation sent to the Board of Directors of the Company); and (e) this Release will not be effective until the eighth day after I sign this Release,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have not earlier revoked this Release (the “Effective Date”). I will not be entitled to receive any of the benefits specified by this Release unless and until it becomes effective.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granting the release herein, which includes claims that may be unknown to me at present, I acknowledge that I expressly waive and relinquish any and all rights and benefits under any applicable law or statute providing, in substance, that a general release does not extend to claims which a party does not know or suspect to exist in his or her favor at the time of executing the release, which if known by him or her would have materially affected the terms of such release.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parties hereby mutually agree to the exclusive jurisdiction of the 15th Judicial Circuit Court of the State of Florida or the United States District Court for the Southern District of Florida for any dispute arising hereunder. Accordingly, with respect to any such court action, I (a) submit to the personal jurisdiction of such courts; (b) consent to service of process by regular mail to my last known address; and (c) waive any other requirement (whether imposed by statute, rule of court, or otherwise) with respect to personal jurisdiction or service of process. If either party hereto commences a legal action or other proceeding against the other party hereto concerning a dispute arising from or relating to this Release outside of Florida, such commencing party will reimburse such other party for its or my reasonable attorneys’ fees, costs and expenses if such other party prevails in staying, transferring, dismissing or otherwise defending such action or proceeding based on the location of the action or proceeding, regardless of whether such fees, costs and expenses are incurred in the forum where such commencing party commenced the action or in a Florida forum.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Release constitutes the complete, final and exclusive embodiment of the entire agreement between the Company and me with regard to the subject matter hereof. I am not relying on any promise or representation by the Company that is not expressly stated herein. This Release may only be modified by a writing signed by both me and a duly authorized officer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294005</wp:posOffset>
            </wp:positionV>
            <wp:extent cx="2846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294005</wp:posOffset>
            </wp:positionV>
            <wp:extent cx="28460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This Restricted Stock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April 1, 2026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 and between SpringBig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Jaret Christopher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Capitalized terms used but not defined herein shall have the meanings set forth in the Company’s 2022 Amended and Restated Long-Term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Employee entered into that certain Executive Employment Agreement dated as of the Grant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 as a condition set forth in the Employment Agreement, the parties are executing and delivering this Agreement;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 to provide equity and equity-based incentive award agreements to its service providers;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in the best interests of the Company and its shareholders to grant the award of Restricted Stock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 to shares of common stock, par value $0.0001 per share, of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provided for herein; and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grant of Restricted Stock herein to the Employee shall be subject to the terms of, but will not be granted under, the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intending to be legally bound, agree as follows:</w:t>
      </w:r>
    </w:p>
    <w:p>
      <w:pPr>
        <w:spacing w:after="0" w:line="22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1.1 The Company hereby issues to the Employee on the Grant Date an award consisting of, in the aggregate, 12,891,251 shares of Common Stock (the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on the terms and conditions and subject to the restrictions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The Restricted Stock granted herein shall be subject to all terms and conditions of the Plan (which (a) may be amended from time to time and</w:t>
      </w:r>
    </w:p>
    <w:p>
      <w:pPr>
        <w:spacing w:after="0" w:line="27" w:lineRule="exact"/>
        <w:rPr>
          <w:sz w:val="20"/>
          <w:szCs w:val="20"/>
          <w:color w:val="auto"/>
        </w:rPr>
      </w:pPr>
    </w:p>
    <w:p>
      <w:pPr>
        <w:jc w:val="both"/>
        <w:ind w:firstLine="8"/>
        <w:spacing w:after="0" w:line="255"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provisions are incorporated herein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though the Restricted Stock were granted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grant of Restricted Stock herein is expressly granted outside of the number of shares allocated to the Plan and shall not be deemed as an award under the Plan purposes of the Plan’s share pool or otherwise.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The Employee acknowledges and agrees that, other than any shares owed pursuant to the VICE transaction, the Restricted Stock granted herein satisfy all equity or equity-based commitments that the Company owes (or may owe) to the Employee as of the Grant Date, and, as of the Grant Date, no additional equity or equity-based incentives are due to the Employee from the Company or any of its Affiliates (including pursuant to any offer letter, employment agreement or similar agreement or arrangement).</w:t>
      </w:r>
    </w:p>
    <w:p>
      <w:pPr>
        <w:spacing w:after="0" w:line="180" w:lineRule="exact"/>
        <w:rPr>
          <w:sz w:val="20"/>
          <w:szCs w:val="20"/>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grant of the Restricted Stock is made in consideration of past services and the future services to be rendered by the Employee to the Company. No cash payment is required for the Restricted Stock (except to the extent necessary to pay applicable Tax-Related Items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Except as otherwise provided herein, provided that the Employee remains in Continuous Service through the applicable vesting date,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will vest in accordance with the following schedule: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Vesting Date</w:t>
            </w:r>
          </w:p>
        </w:tc>
        <w:tc>
          <w:tcPr>
            <w:tcW w:w="5600" w:type="dxa"/>
            <w:vAlign w:val="bottom"/>
            <w:tcBorders>
              <w:top w:val="single" w:sz="8" w:color="auto"/>
              <w:bottom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5600" w:type="dxa"/>
            <w:vAlign w:val="bottom"/>
            <w:tcBorders>
              <w:bottom w:val="single" w:sz="8" w:color="auto"/>
              <w:right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color w:val="auto"/>
              </w:rPr>
              <w:t>8,320,938.5</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 quarterly anniversary of March 13, 2026</w:t>
            </w:r>
          </w:p>
        </w:tc>
        <w:tc>
          <w:tcPr>
            <w:tcW w:w="5600" w:type="dxa"/>
            <w:vAlign w:val="bottom"/>
            <w:tcBorders>
              <w:bottom w:val="single" w:sz="8" w:color="auto"/>
              <w:right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380,859.375</w:t>
            </w:r>
          </w:p>
        </w:tc>
      </w:tr>
    </w:tbl>
    <w:p>
      <w:pPr>
        <w:spacing w:after="0" w:line="1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period over which the Restricted Stock vests is referred to as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3.2 If a Change in Control occurs and the Employee remains in Continuous Service through the consummation of such Change in Control, all unvested shares of Restricted Stock shall become 100% vested hereunder.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3.3. If the Employee’s Continuous Service terminates for any reason at any time before all of the Employee’s Restricted Stock has vested, the Employee’s unvested Restricted Stock shall be automatically forfeited upon such termination of Continuous Service and neither the Company nor any Affiliate shall have any further obligations to the Employee under this Agreement with respect to the unvested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Employee’s Continuous Service is terminated by the Company without Cause or by the Employee for Good Reason (as defined in the Employment Agreement), (a) an additional 1,523,437.5 shares of Restricted Stock (but not to exceed the total amount of unvested granted hereunder) shall immediately become vested and (b) if such termination occurs within the twelve (12)-month period immediately preceding the consummation of a Change in Control, 100% of all unvested shares of Restricted Stock shall become vested.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3.4 If the Employee’s Continuous Service terminates for any reason at any time, the Employee’s vested Restricted Stock (including any additional vesting pursuant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above) shall remain subject to the provisions of the Plan (as incorporated by reference) governing the treatment of Restricted Stock, including any transfer restrictions and/or repurchase rights, and this Agreement.</w:t>
      </w:r>
    </w:p>
    <w:p>
      <w:pPr>
        <w:spacing w:after="0" w:line="176" w:lineRule="exact"/>
        <w:rPr>
          <w:sz w:val="20"/>
          <w:szCs w:val="20"/>
          <w:color w:val="auto"/>
        </w:rPr>
      </w:pPr>
    </w:p>
    <w:p>
      <w:pPr>
        <w:jc w:val="both"/>
        <w:ind w:left="660" w:hanging="328"/>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Subject to any exceptions set forth in this Agreement or the Plan, during the Restricted Period, neither the Restricted Stock nor the rights relating thereto may be assigned, alienated, pledged, attached, sold, or otherwise transferred or encumbered by the Employee. Any attempt to assign, alienate, pledge, attach, sell, or otherwise transfer or encumber the Restricted Stock or the rights relating thereto during the Restricted Period shall be wholly ineffective and, if any such attempt is made, the Restricted Stock will be forfeited by the Employee and all of the Employee’s rights to such shares shall immediately terminate without any payment or consideration by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 The Employee shall be the record owner of the Restricted Stock until the shares of Common Stock are sold or otherwise disposed of, and shall be entitled to all of the rights of a shareholder of the Company including, without limitation, the right to vote such shares and receive all dividends or other distributions paid with respect to such shares. Notwithstanding the foregoing, any dividends or other distributions shall be subject to the same restrictions on transferability as the shares of Restricted Stock with respect to which they were 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5.2 The Company may evidence the Employee’s interest by using a restricted book entry account with the Company’s transfer agent.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Subject to all provisions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if the Employee forfeits any of the Restricted Stock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 the Employee shall, on the date of such forfeiture, no longer have any rights as a shareholder with respect to such Restricted Stock that has been forfeited and shall no longer be entitled to vote or receive dividends on such shares.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 on the Board</w:t>
      </w:r>
      <w:r>
        <w:rPr>
          <w:rFonts w:ascii="Times New Roman" w:cs="Times New Roman" w:eastAsia="Times New Roman" w:hAnsi="Times New Roman"/>
          <w:sz w:val="18"/>
          <w:szCs w:val="18"/>
          <w:color w:val="auto"/>
        </w:rPr>
        <w:t>. Neither the provisions of the Plan nor this Agreement shall confer upon the Employee any right to be retained as an employee of the Company or in any other capacity. Further, subject to the Employment Agreement, neither any provision of the Plan nor this Agreement shall be construed to limit the discretion of the Company to terminate the Employee’s Continuous Service at any time.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If any change is made to the outstanding Common Stock or the capital structure of the Company, if required, the shares of Common Stock shall be equitably adjusted or terminated in any manner as contemplated by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and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8.1 As a condition to the issuance of any Restricted Stock, the Employee shall pay or make adequate arrangements satisfactory to the Company and/or its Affiliates to satisfy any and all U.S. federal, state, local and/or foreign tax or social insurance contribution withholding obligations of the Company and/or its Affiliates arising from the grant or vesting of the Restricted Stock award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In this regard, following written notice by the Company to the Employee, the Employee authorizes the Company and/or its Affiliates, in their sole discretion, to satisfy any Tax-Related Items arising from the grant or vesting of the Restricted Stock award by any of the following means or by a combination of such means, if permissible under local law: (1) causing the Employee to tender a cash payment; (2) withholding shares of Common Stock from the shares of Common Stock issued or otherwise issuable to the Employee in connection with the grant of the Restricted Stock; (3) withholding cash from any Restricted Stock settled in cash; (4) withholding payment from any amounts otherwise payable to the Employee; or (5) by any other arrangement approved by the Board. In addition, the Employee shall take all reasonable actions as the Board deems necessary to satisfy all Tax-Related Items. Finally, the Employee shall pay to the Company and/or its Affiliates any amount of Tax-Related Items that the Company and/or its Affiliates may be required to withhold as a result of the Employee’s receipt of the Restricted Stock hereunder.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8.2 Notwithstanding any action the Company or its Affiliates take with respect to any and all Tax Related Items, the ultimate liability for all Tax-Related Items is and remains the Employee’s responsibility, and neither the Company nor any Affiliate (a) makes any representation or undertakings regarding the tax consequences of the grant or vesting of the Restricted Stock award or the subsequent sale of any shares, (b) makes any representation or undertakings regarding the treatment of any Tax-Related Items in connection with the grant or vesting of the Restricted Stock award or the subsequent sale of any shares, (c) commits to structure the Restricted Stock to minimize, reduce or eliminate the tax consequences of the grant or vesting of the Restricted Stock award or (d) commits to structure the Restricted Stock to minimize, reduce or eliminate the Employee’s liability for Tax-Related Items. The Employee is advised to consult with his or her own personal tax, financial and other legal advisors regarding the tax consequences of the grant and vesting of the Restricted Stock award and the disposition of the Restricted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8.3 As a condition to the issuance of any Restricted Stock, the Employee hereby (a) agrees to not make any claim against the Company or any of its Officers, employees, directors or Affiliates related to tax liabilities arising from the grant or vesting of the Restricted Stock award and (b) acknowledges that the Employee was advised to consult with his or her own personal tax, financial and other legal advisors regarding the tax consequences of the grant and vesting of the Restricted Stock award and the disposition of the Restricted Stock and has either done so or knowingly and voluntarily declined to do so.</w:t>
      </w:r>
    </w:p>
    <w:p>
      <w:pPr>
        <w:spacing w:after="0" w:line="399" w:lineRule="exact"/>
        <w:rPr>
          <w:sz w:val="20"/>
          <w:szCs w:val="20"/>
          <w:color w:val="auto"/>
        </w:rPr>
      </w:pPr>
    </w:p>
    <w:p>
      <w:pPr>
        <w:jc w:val="both"/>
        <w:ind w:left="660" w:hanging="328"/>
        <w:spacing w:after="0" w:line="25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The Employee may make an election under Code Section 83(b) (a “</w:t>
      </w:r>
      <w:r>
        <w:rPr>
          <w:rFonts w:ascii="Times New Roman" w:cs="Times New Roman" w:eastAsia="Times New Roman" w:hAnsi="Times New Roman"/>
          <w:sz w:val="18"/>
          <w:szCs w:val="18"/>
          <w:b w:val="1"/>
          <w:bCs w:val="1"/>
          <w:color w:val="auto"/>
        </w:rPr>
        <w:t>Section 83(b) Election</w:t>
      </w:r>
      <w:r>
        <w:rPr>
          <w:rFonts w:ascii="Times New Roman" w:cs="Times New Roman" w:eastAsia="Times New Roman" w:hAnsi="Times New Roman"/>
          <w:sz w:val="18"/>
          <w:szCs w:val="18"/>
          <w:color w:val="auto"/>
        </w:rPr>
        <w:t>”) with respect to the Restricted Stock. Any such election must be made within thirty (30) days after the Grant Date. If the Employee elects to make a Section 83(b) Election, the Employee shall provide the Company with a copy of an executed version and satisfactory evidence of the filing of the executed Section 83(b) Election with the US Internal Revenue Service. The Employee agrees to assume full responsibility for ensuring that the Section 83(b) Election is actually and timely filed with the US Internal Revenue Service and for all tax consequences resulting from the Section 83(b) Election. The Employee acknowledges and agrees that the Company has not made and makes no representation regarding whether the Employee is eligible to make the Section 83(b) Election or the advisability of making the Section 83(b) Election, and the Employee acknowledges and agrees that the Employee has had the opportunity to seek the advice of the Employee’s own legal counsel, tax advisors and/or investment advisors with respect to the advisability of, risks or potential benefits with respect to, and consequences of, making the Section 83(b) Election.</w:t>
      </w:r>
    </w:p>
    <w:p>
      <w:pPr>
        <w:spacing w:after="0" w:line="19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This Agreement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provided, that, notwithstanding the foregoing, nothing in any agreement governing a Corporate Transaction shall reduce, eliminate, alter, modify or supersede the Employee’s rights in and to the Restricted Stock as set out in this Agreement.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issuance and transfer of shares of Common Stock shall be subject to compliance by the Company and the Employee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The Employee understands that the Company is under no obligation to register the shares of Common Stock with the Securities and Exchange Commission, any state securities commission or any stock exchange to effect such compliance.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 legend may be placed on any certificate(s) or other document(s) delivered to the Employee indicating restrictions on transferability of the shares of Restricted Stock pursuant to this Agreement or any other restrictions that the Board may deem advisable under the rules, regulations and other requirements of the Securities and Exchange Commission, any applicable federal or state securities laws or any stock exchange on which the shares of Common Stock are then listed or quoted.</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to be delivered to the Company under this Agreement shall be in writing and addressed to the Chief Financial Officer of the Company at the Company’s principal corporate offices. Any notice required to be delivered to the Employee under this Agreement shall be in writing and addressed to the Employee at the Employee’s address as shown in the records of the Company. Either party may designate another address in writing (or by such other method approved by the Company)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left="328" w:hanging="328"/>
        <w:spacing w:after="0" w:line="266"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controversy arising out of or relating to this Agreement shall be governed by, and construed in accordance with, the internal laws of the State of Delaware, without regard to conflict of law principles that would result in any application of any law other than the law of the State of Delaware.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Any dispute arising from this Agreement shall be decided solely and exclusively in a final and binding arbitration administered by the JAMS in Miami, Florida, in accordance with the JAMS Employment Arbitration Rules in effect at the time of the filing of the demand for arbitration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a copy of which is available at http://www.jamsadr.com/rules-employment-arbitration/. The arbitrator shall be a single arbitrator with expertise in employment disputes, mutually selected by the parties, or, if the parties are unable to agree thereon, a single arbitrator with expertise in employment disputes designated by the Miami office of JAMS. The arbitrator shall have the authority to award all remedies available in a court of law. The Company, as applicable, shall pay the arbitrator’s fees and all fees and costs to administer the arbitration. By agreeing to arbitrate disputes arising out of this Agreement, the Employee and the Company voluntarily and irrevocably waive any and all rights to have any such dispute heard or resolved in any forum other than through arbitration as provided herein. This waiver specifically includes, but is not limited to, any right to trial by jury. All arbitration proceedings hereunder shall be confidential, except: (a) to the extent the parties otherwise agree in writing; (b) as may be otherwise appropriate in response to a request from a government agency, subpoena, or legal process; (c) if the substantive law of the State of Delaware (without giving effect to choice of law principles) provides to the contrary; or (d) as is necessary in a court proceeding to enforce, correct, modify or vacate the arbitrator’s award or decision (and in the case of this subpart (d), the parties agree to take all reasonable steps to ensure that the arbitrator’s award, decision or findings and all other documents, pleadings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95" w:lineRule="exact"/>
        <w:rPr>
          <w:rFonts w:ascii="Times New Roman" w:cs="Times New Roman" w:eastAsia="Times New Roman" w:hAnsi="Times New Roman"/>
          <w:sz w:val="18"/>
          <w:szCs w:val="18"/>
          <w:color w:val="auto"/>
        </w:rPr>
      </w:pPr>
    </w:p>
    <w:p>
      <w:pPr>
        <w:jc w:val="both"/>
        <w:ind w:left="328" w:right="20" w:hanging="328"/>
        <w:spacing w:after="0" w:line="261"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Employee and the Employee’s beneficiaries, executors, administrators and the person(s) to whom the Restricted Stock may be transferred by will or the laws of descent or distribution.</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Agreement is declared by any court or governmental authority to be unlawful or invalid, such unlawfulness or invalidity will not invalidate any portion of this Agreement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69" w:name="page70"/>
    <w:bookmarkEnd w:id="69"/>
    <w:p>
      <w:pPr>
        <w:ind w:left="328" w:hanging="328"/>
        <w:spacing w:after="0" w:line="282"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Nature</w:t>
      </w:r>
      <w:r>
        <w:rPr>
          <w:rFonts w:ascii="Times New Roman" w:cs="Times New Roman" w:eastAsia="Times New Roman" w:hAnsi="Times New Roman"/>
          <w:sz w:val="18"/>
          <w:szCs w:val="18"/>
          <w:color w:val="auto"/>
        </w:rPr>
        <w:t>. The grant of the Restricted Stock in this Agreement does not create any contractual right or other right to receive any Restricted Stock or other Awards in the future. Future Awards, if any, will be at the sole discretion of the Company.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Employee and an authorized representative of the Company.</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Employee hereby acknowledges receipt of a copy of the Plan and this Agreement. The Employee has read and understands the terms and provisions thereof. The Employee acknowledges that there may be adverse tax consequences upon the grant or vesting of the Restricted Stock award or disposition of the shares, and the Employee acknowledges that the Employee has been advised to consult with his or her own personal tax, financial and other legal advisors regarding the tax consequences of the grant and vesting of the Restricted Stock award and the disposition of the Restricted Stock and has either done so or knowingly and voluntarily declined to do so.</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Employee hereby acknowledges receipt of or the right to receive a document providing the information required by Rule 428(b)(1) promulgated under the Securities Act, which includes the Prospectus. In addition, the Employee acknowledges receipt of the Company’s Insider Trading Policy.</w:t>
      </w:r>
    </w:p>
    <w:p>
      <w:pPr>
        <w:spacing w:after="0" w:line="17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i w:val="1"/>
          <w:iCs w:val="1"/>
          <w:color w:val="auto"/>
        </w:rPr>
        <w:t>[SIGNATURES APPEAR OF THE FOLLOWING PAGE]</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Grant Date.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Jason A.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JARET CHRISTOPHER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Jaret Christopher,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SpringBig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Jaret Christopher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Moos,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SpringBig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 S. C. Section 1350,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Jaret Christopher, hereby certify that, to the best of my knowledge, SpringBig Holdings, Inc’s Quarterly Report on Form 10-Q for the three months ended March 31, 2026 (the Report), as filed with the Securities and Exchange Commission on May 13, 2026,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Jaret Christopher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Jaret Christopher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May 13, 2026</w:t>
            </w:r>
          </w:p>
        </w:tc>
      </w:tr>
    </w:tbl>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18 U. S. C. Section 1350,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Jason Moos, hereby certify that, to the best of my knowledge, SpringBig Holdings, Inc’s Quarterly Report on Form 10-Q for the three months ended March 31, 2026 (the Report), as filed with the Securities and Exchange Commission on May 13, 2026,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Jason Moos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13,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Roman"/>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decimal"/>
      <w:start w:val="2"/>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3"/>
    </w:lvl>
  </w:abstractNum>
  <w:abstractNum w:abstractNumId="14">
    <w:nsid w:val="77465F01"/>
    <w:multiLevelType w:val="hybridMultilevel"/>
    <w:lvl w:ilvl="0">
      <w:lvlJc w:val="left"/>
      <w:lvlText w:val="%1."/>
      <w:numFmt w:val="decimal"/>
      <w:start w:val="5"/>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lowerLetter"/>
      <w:start w:val="5"/>
    </w:lvl>
    <w:lvl w:ilvl="1">
      <w:lvlJc w:val="left"/>
      <w:lvlText w:val="(%2)"/>
      <w:numFmt w:val="lowerLetter"/>
      <w:start w:val="6"/>
    </w:lvl>
  </w:abstractNum>
  <w:abstractNum w:abstractNumId="17">
    <w:nsid w:val="2463B9EA"/>
    <w:multiLevelType w:val="hybridMultilevel"/>
    <w:lvl w:ilvl="0">
      <w:lvlJc w:val="left"/>
      <w:lvlText w:val="(%1)"/>
      <w:numFmt w:val="lowerLetter"/>
      <w:start w:val="1"/>
    </w:lvl>
    <w:lvl w:ilvl="1">
      <w:lvlJc w:val="left"/>
      <w:lvlText w:val="(%2)"/>
      <w:numFmt w:val="lowerRoman"/>
      <w:start w:val="1"/>
    </w:lvl>
  </w:abstractNum>
  <w:abstractNum w:abstractNumId="18">
    <w:nsid w:val="5E884AD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
    <w:nsid w:val="51EAD36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0">
    <w:nsid w:val="2D51779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
    <w:nsid w:val="580BD78F"/>
    <w:multiLevelType w:val="hybridMultilevel"/>
    <w:lvl w:ilvl="0">
      <w:lvlJc w:val="left"/>
      <w:lvlText w:val="%1."/>
      <w:numFmt w:val="decimal"/>
      <w:start w:val="7"/>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decimal"/>
      <w:start w:val="9"/>
    </w:lvl>
  </w:abstractNum>
  <w:abstractNum w:abstractNumId="24">
    <w:nsid w:val="70A64E2A"/>
    <w:multiLevelType w:val="hybridMultilevel"/>
    <w:lvl w:ilvl="0">
      <w:lvlJc w:val="left"/>
      <w:lvlText w:val="%1."/>
      <w:numFmt w:val="decimal"/>
      <w:start w:val="11"/>
    </w:lvl>
  </w:abstractNum>
  <w:abstractNum w:abstractNumId="25">
    <w:nsid w:val="6A2342EC"/>
    <w:multiLevelType w:val="hybridMultilevel"/>
    <w:lvl w:ilvl="0">
      <w:lvlJc w:val="left"/>
      <w:lvlText w:val="%1."/>
      <w:numFmt w:val="decimal"/>
      <w:start w:val="13"/>
    </w:lvl>
  </w:abstractNum>
  <w:abstractNum w:abstractNumId="26">
    <w:nsid w:val="2A487CB0"/>
    <w:multiLevelType w:val="hybridMultilevel"/>
    <w:lvl w:ilvl="0">
      <w:lvlJc w:val="left"/>
      <w:lvlText w:val="(%1)"/>
      <w:numFmt w:val="lowerLetter"/>
      <w:start w:val="1"/>
    </w:lvl>
    <w:lvl w:ilvl="1">
      <w:lvlJc w:val="left"/>
      <w:lvlText w:val="(%2)"/>
      <w:numFmt w:val="lowerRoman"/>
      <w:start w:val="1"/>
    </w:lvl>
  </w:abstractNum>
  <w:abstractNum w:abstractNumId="27">
    <w:nsid w:val="1D4ED43B"/>
    <w:multiLevelType w:val="hybridMultilevel"/>
    <w:lvl w:ilvl="0">
      <w:lvlJc w:val="left"/>
      <w:lvlText w:val="%1"/>
      <w:numFmt w:val="decimal"/>
      <w:start w:val="1"/>
    </w:lvl>
    <w:lvl w:ilvl="1">
      <w:lvlJc w:val="left"/>
      <w:lvlText w:val="(%2)"/>
      <w:numFmt w:val="lowerRoman"/>
      <w:start w:val="4"/>
    </w:lvl>
  </w:abstractNum>
  <w:abstractNum w:abstractNumId="28">
    <w:nsid w:val="725A06FB"/>
    <w:multiLevelType w:val="hybridMultilevel"/>
    <w:lvl w:ilvl="0">
      <w:lvlJc w:val="left"/>
      <w:lvlText w:val="%1."/>
      <w:numFmt w:val="decimal"/>
      <w:start w:val="17"/>
    </w:lvl>
    <w:lvl w:ilvl="1">
      <w:lvlJc w:val="left"/>
      <w:lvlText w:val="%2"/>
      <w:numFmt w:val="lowerRoman"/>
      <w:start w:val="1"/>
    </w:lvl>
  </w:abstractNum>
  <w:abstractNum w:abstractNumId="29">
    <w:nsid w:val="2CD89A32"/>
    <w:multiLevelType w:val="hybridMultilevel"/>
    <w:lvl w:ilvl="0">
      <w:lvlJc w:val="left"/>
      <w:lvlText w:val="%1."/>
      <w:numFmt w:val="decimal"/>
      <w:start w:val="21"/>
    </w:lvl>
  </w:abstractNum>
  <w:abstractNum w:abstractNumId="30">
    <w:nsid w:val="57E4CCAF"/>
    <w:multiLevelType w:val="hybridMultilevel"/>
    <w:lvl w:ilvl="0">
      <w:lvlJc w:val="left"/>
      <w:lvlText w:val="%1."/>
      <w:numFmt w:val="lowerRoman"/>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5"/>
    </w:lvl>
  </w:abstractNum>
  <w:abstractNum w:abstractNumId="33">
    <w:nsid w:val="542289EC"/>
    <w:multiLevelType w:val="hybridMultilevel"/>
    <w:lvl w:ilvl="0">
      <w:lvlJc w:val="left"/>
      <w:lvlText w:val="%1."/>
      <w:numFmt w:val="decimal"/>
      <w:start w:val="6"/>
    </w:lvl>
  </w:abstractNum>
  <w:abstractNum w:abstractNumId="34">
    <w:nsid w:val="6DE91B18"/>
    <w:multiLevelType w:val="hybridMultilevel"/>
    <w:lvl w:ilvl="0">
      <w:lvlJc w:val="left"/>
      <w:lvlText w:val="%1."/>
      <w:numFmt w:val="decimal"/>
      <w:start w:val="7"/>
    </w:lvl>
  </w:abstractNum>
  <w:abstractNum w:abstractNumId="35">
    <w:nsid w:val="38437FDB"/>
    <w:multiLevelType w:val="hybridMultilevel"/>
    <w:lvl w:ilvl="0">
      <w:lvlJc w:val="left"/>
      <w:lvlText w:val="%1."/>
      <w:numFmt w:val="decimal"/>
      <w:start w:val="8"/>
    </w:lvl>
  </w:abstractNum>
  <w:abstractNum w:abstractNumId="36">
    <w:nsid w:val="7644A45C"/>
    <w:multiLevelType w:val="hybridMultilevel"/>
    <w:lvl w:ilvl="0">
      <w:lvlJc w:val="left"/>
      <w:lvlText w:val="%1."/>
      <w:numFmt w:val="decimal"/>
      <w:start w:val="13"/>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Roman"/>
      <w:start w:val="1"/>
    </w:lvl>
  </w:abstractNum>
  <w:abstractNum w:abstractNumId="39">
    <w:nsid w:val="579478FE"/>
    <w:multiLevelType w:val="hybridMultilevel"/>
    <w:lvl w:ilvl="0">
      <w:lvlJc w:val="left"/>
      <w:lvlText w:val="%1"/>
      <w:numFmt w:val="lowerLetter"/>
      <w:start w:val="1"/>
    </w:lvl>
    <w:lvl w:ilvl="1">
      <w:lvlJc w:val="left"/>
      <w:lvlText w:val="%2."/>
      <w:numFmt w:val="lowerRoman"/>
      <w:start w:val="3"/>
    </w:lvl>
  </w:abstractNum>
  <w:abstractNum w:abstractNumId="40">
    <w:nsid w:val="749ABB43"/>
    <w:multiLevelType w:val="hybridMultilevel"/>
    <w:lvl w:ilvl="0">
      <w:lvlJc w:val="left"/>
      <w:lvlText w:val="(%1)"/>
      <w:numFmt w:val="lowerLetter"/>
      <w:start w:val="2"/>
    </w:lvl>
    <w:lvl w:ilvl="1">
      <w:lvlJc w:val="left"/>
      <w:lvlText w:val="%2"/>
      <w:numFmt w:val="lowerRoman"/>
      <w:start w:val="1"/>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lowerLetter"/>
      <w:start w:val="2"/>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1."/>
      <w:numFmt w:val="decimal"/>
      <w:start w:val="3"/>
    </w:lvl>
  </w:abstractNum>
  <w:abstractNum w:abstractNumId="46">
    <w:nsid w:val="70C6A529"/>
    <w:multiLevelType w:val="hybridMultilevel"/>
    <w:lvl w:ilvl="0">
      <w:lvlJc w:val="left"/>
      <w:lvlText w:val="%1."/>
      <w:numFmt w:val="decimal"/>
      <w:start w:val="4"/>
    </w:lvl>
  </w:abstractNum>
  <w:abstractNum w:abstractNumId="47">
    <w:nsid w:val="520EEDD1"/>
    <w:multiLevelType w:val="hybridMultilevel"/>
    <w:lvl w:ilvl="0">
      <w:lvlJc w:val="left"/>
      <w:lvlText w:val="%1."/>
      <w:numFmt w:val="decimal"/>
      <w:start w:val="6"/>
    </w:lvl>
  </w:abstractNum>
  <w:abstractNum w:abstractNumId="48">
    <w:nsid w:val="374A3FE6"/>
    <w:multiLevelType w:val="hybridMultilevel"/>
    <w:lvl w:ilvl="0">
      <w:lvlJc w:val="left"/>
      <w:lvlText w:val="%1."/>
      <w:numFmt w:val="decimal"/>
      <w:start w:val="9"/>
    </w:lvl>
  </w:abstractNum>
  <w:abstractNum w:abstractNumId="49">
    <w:nsid w:val="4F4EF005"/>
    <w:multiLevelType w:val="hybridMultilevel"/>
    <w:lvl w:ilvl="0">
      <w:lvlJc w:val="left"/>
      <w:lvlText w:val="%1."/>
      <w:numFmt w:val="decimal"/>
      <w:start w:val="14"/>
    </w:lvl>
  </w:abstractNum>
  <w:abstractNum w:abstractNumId="50">
    <w:nsid w:val="23F9C13C"/>
    <w:multiLevelType w:val="hybridMultilevel"/>
    <w:lvl w:ilvl="0">
      <w:lvlJc w:val="left"/>
      <w:lvlText w:val="%1."/>
      <w:numFmt w:val="decimal"/>
      <w:start w:val="18"/>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5"/>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decimal"/>
      <w:start w:val="5"/>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59" Type="http://schemas.openxmlformats.org/officeDocument/2006/relationships/hyperlink" Target="http://www.sec.gov/Archives/edgar/data/1801602/000162828024013998/exhibit31certificateofinco.htm" TargetMode="External"/><Relationship Id="rId60" Type="http://schemas.openxmlformats.org/officeDocument/2006/relationships/hyperlink" Target="http://www.sec.gov/Archives/edgar/data/1801602/000162828024013998/exhibit32bylaw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2026-05-14T05:26:09Z</dcterms:created>
  <dcterms:modified xsi:type="dcterms:W3CDTF">2026-05-14T05:26:09Z</dcterms:modified>
</cp:coreProperties>
</file>